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C33D" w14:textId="77777777" w:rsidR="008F5E15" w:rsidRDefault="008F5E15" w:rsidP="008F5E15">
      <w:pPr>
        <w:widowControl w:val="0"/>
        <w:pBdr>
          <w:top w:val="nil"/>
          <w:left w:val="nil"/>
          <w:bottom w:val="nil"/>
          <w:right w:val="nil"/>
          <w:between w:val="nil"/>
        </w:pBdr>
        <w:spacing w:line="276" w:lineRule="auto"/>
      </w:pPr>
    </w:p>
    <w:p w14:paraId="2685E590" w14:textId="77777777" w:rsidR="008F5E15" w:rsidRDefault="008F5E15" w:rsidP="008F5E15">
      <w:r>
        <w:t>To: Hospital Chief Financial Officers</w:t>
      </w:r>
    </w:p>
    <w:p w14:paraId="79C48D2A" w14:textId="77777777" w:rsidR="008F5E15" w:rsidRDefault="008F5E15" w:rsidP="008F5E15">
      <w:r>
        <w:t>CC: Case Mix Liaisons, Hospital Quality Contacts</w:t>
      </w:r>
    </w:p>
    <w:p w14:paraId="04688BE2" w14:textId="77777777" w:rsidR="008F5E15" w:rsidRDefault="008F5E15" w:rsidP="008F5E15">
      <w:r>
        <w:t>From: HSCRC Quality Team</w:t>
      </w:r>
    </w:p>
    <w:p w14:paraId="39CB07E3" w14:textId="77777777" w:rsidR="008F5E15" w:rsidRDefault="008F5E15" w:rsidP="008F5E15">
      <w:r>
        <w:t>Date: June 20, 2023</w:t>
      </w:r>
    </w:p>
    <w:p w14:paraId="3CFA5E71" w14:textId="77777777" w:rsidR="008F5E15" w:rsidRDefault="008F5E15" w:rsidP="008F5E15">
      <w:r>
        <w:t>Re: Inpatient Diabetes Screening Policy for Calendar Year 2023</w:t>
      </w:r>
    </w:p>
    <w:p w14:paraId="6C05D9C2" w14:textId="77777777" w:rsidR="008F5E15" w:rsidRDefault="008F5E15" w:rsidP="008F5E15"/>
    <w:p w14:paraId="377FD6F9" w14:textId="77777777" w:rsidR="008F5E15" w:rsidRDefault="008F5E15" w:rsidP="008F5E15"/>
    <w:p w14:paraId="6C285C47" w14:textId="0053F6BB" w:rsidR="008F5E15" w:rsidRDefault="008F5E15" w:rsidP="008F5E15">
      <w:r>
        <w:t xml:space="preserve">This memo </w:t>
      </w:r>
      <w:r w:rsidR="00D3239A">
        <w:t xml:space="preserve">provides hospitals and other stakeholders with </w:t>
      </w:r>
      <w:r>
        <w:t xml:space="preserve">operational details regarding the HSCRC’s Inpatient Diabetes Screening Policy. </w:t>
      </w:r>
    </w:p>
    <w:p w14:paraId="4CDD2652" w14:textId="77777777" w:rsidR="008F5E15" w:rsidRDefault="008F5E15" w:rsidP="008F5E15"/>
    <w:p w14:paraId="3E66CCB9" w14:textId="6368F71E" w:rsidR="008F5E15" w:rsidRDefault="008F5E15" w:rsidP="008F5E15">
      <w:r>
        <w:t xml:space="preserve">In CY 2021, the Centers for Medicare and Medicaid Innovation requested HSCRC staff to develop one or more measures that would incentivize hospitals to make improvements in population health. </w:t>
      </w:r>
    </w:p>
    <w:p w14:paraId="08C8ACE0" w14:textId="77777777" w:rsidR="008F5E15" w:rsidRDefault="008F5E15" w:rsidP="008F5E15"/>
    <w:p w14:paraId="159CD4C9" w14:textId="77777777" w:rsidR="008F5E15" w:rsidRDefault="008F5E15" w:rsidP="008F5E15">
      <w:r>
        <w:t xml:space="preserve">The HSCRC convened a workgroup to evaluate potential policies. After the conclusion of the workgroup and additional conversations with stakeholders, HSCRC staff developed a policy focused on encouraging expansion of diabetes screening among those receiving care at Maryland hospitals.  </w:t>
      </w:r>
    </w:p>
    <w:p w14:paraId="3C9BDA78" w14:textId="77777777" w:rsidR="008F5E15" w:rsidRDefault="008F5E15" w:rsidP="008F5E15"/>
    <w:p w14:paraId="4218F0F4" w14:textId="6C059D75" w:rsidR="008F5E15" w:rsidRDefault="008F5E15" w:rsidP="008F5E15">
      <w:r>
        <w:t>Type 2 diabetes is a leading public health concern in Maryland, as well as the focus of the State’s diabetes outcome credit. Over 44% of Maryland residents – about 2.1 million residents – are either prediabetic or have diabetes.</w:t>
      </w:r>
      <w:r>
        <w:rPr>
          <w:vertAlign w:val="superscript"/>
        </w:rPr>
        <w:footnoteReference w:id="1"/>
      </w:r>
      <w:r>
        <w:t xml:space="preserve">  Approximately a third of those who have Type 2 diabetes are unaware that they have it</w:t>
      </w:r>
      <w:r w:rsidR="009D4D37">
        <w:t>.</w:t>
      </w:r>
      <w:r>
        <w:rPr>
          <w:vertAlign w:val="superscript"/>
        </w:rPr>
        <w:footnoteReference w:id="2"/>
      </w:r>
      <w:r>
        <w:t xml:space="preserve"> Early diagnosis can reduce expensive and disabling complications.</w:t>
      </w:r>
    </w:p>
    <w:p w14:paraId="51E0A5CB" w14:textId="77777777" w:rsidR="008F5E15" w:rsidRDefault="008F5E15" w:rsidP="008F5E15"/>
    <w:p w14:paraId="32453ED4" w14:textId="77777777" w:rsidR="008F5E15" w:rsidRDefault="008F5E15" w:rsidP="008F5E15">
      <w:r>
        <w:t>The goal of the diabetes policy is to increase the proportion of adult Marylanders who are screened for Type 2 diabetes under the American Diabetes Association screening guidelines, which indicate that testing should begin at age 35.</w:t>
      </w:r>
      <w:r>
        <w:rPr>
          <w:vertAlign w:val="superscript"/>
        </w:rPr>
        <w:footnoteReference w:id="3"/>
      </w:r>
      <w:r>
        <w:t xml:space="preserve"> </w:t>
      </w:r>
    </w:p>
    <w:p w14:paraId="25881BF1" w14:textId="77777777" w:rsidR="008F5E15" w:rsidRDefault="008F5E15" w:rsidP="008F5E15"/>
    <w:p w14:paraId="71A4A69E" w14:textId="77777777" w:rsidR="008F5E15" w:rsidRDefault="008F5E15" w:rsidP="008F5E15">
      <w:r>
        <w:t xml:space="preserve">This policy was instituted on a monitoring-only basis for CY2023. HSCRC staff will evaluate data sources, measure specifications, and hospital performance at the end of CY2023 prior to making recommendations for further development of the policy, including a potential transition to payment status for CY2024. </w:t>
      </w:r>
    </w:p>
    <w:p w14:paraId="5498F2D5" w14:textId="77777777" w:rsidR="008F5E15" w:rsidRDefault="008F5E15" w:rsidP="008F5E15"/>
    <w:p w14:paraId="0AA8C3E7" w14:textId="77777777" w:rsidR="008F5E15" w:rsidRDefault="008F5E15" w:rsidP="008F5E15">
      <w:r>
        <w:t xml:space="preserve">The policy measures the proportion of eligible inpatient stays during which the patient received a hemoglobin A1c test, and is defined as follows: </w:t>
      </w:r>
    </w:p>
    <w:p w14:paraId="07702553" w14:textId="77777777" w:rsidR="008F5E15" w:rsidRDefault="008F5E15" w:rsidP="008F5E15"/>
    <w:p w14:paraId="7454A1AA" w14:textId="77777777" w:rsidR="008F5E15" w:rsidRDefault="008F5E15" w:rsidP="008F5E15">
      <w:r>
        <w:rPr>
          <w:b/>
        </w:rPr>
        <w:t>Denominator</w:t>
      </w:r>
      <w:r>
        <w:t xml:space="preserve">: Inpatient claims records with a discharge date occurring during the measurement period. Claims for patients who died during the inpatient stay, patients who were transferred, those who left against medical advice, and those under 35 years old are excluded. </w:t>
      </w:r>
    </w:p>
    <w:p w14:paraId="6DCADFA8" w14:textId="77777777" w:rsidR="008F5E15" w:rsidRDefault="008F5E15" w:rsidP="008F5E15"/>
    <w:p w14:paraId="1AF31543" w14:textId="77777777" w:rsidR="008F5E15" w:rsidRDefault="008F5E15" w:rsidP="008F5E15">
      <w:r>
        <w:rPr>
          <w:b/>
        </w:rPr>
        <w:t>Numerator</w:t>
      </w:r>
      <w:r>
        <w:t xml:space="preserve">: Patients in the denominator with an A1c lab result in the CRISP hospital lab feed. Lab records are matched on CRISP EID, admission date, discharge data, and hospital ID. Those records with test units in milligrams per deciliter reflect estimated </w:t>
      </w:r>
      <w:r>
        <w:lastRenderedPageBreak/>
        <w:t>average glucose (EAG) rather than A1c), and are converted to A1c using the following formula</w:t>
      </w:r>
      <w:r>
        <w:rPr>
          <w:vertAlign w:val="superscript"/>
        </w:rPr>
        <w:footnoteReference w:id="4"/>
      </w:r>
      <w:r>
        <w:t>: A1c = (</w:t>
      </w:r>
      <w:proofErr w:type="spellStart"/>
      <w:r>
        <w:t>EAGmg</w:t>
      </w:r>
      <w:proofErr w:type="spellEnd"/>
      <w:r>
        <w:t xml:space="preserve">/dl + 46.7)/28.7 </w:t>
      </w:r>
    </w:p>
    <w:p w14:paraId="7A836E19" w14:textId="77777777" w:rsidR="008F5E15" w:rsidRDefault="008F5E15" w:rsidP="008F5E15"/>
    <w:p w14:paraId="1F23AF38" w14:textId="77777777" w:rsidR="008F5E15" w:rsidRDefault="008F5E15" w:rsidP="008F5E15">
      <w:r>
        <w:t xml:space="preserve">Records with a lab value of less than 3 or over 21 are excluded, as are those with a lab service date outside of the inpatient stay period. </w:t>
      </w:r>
    </w:p>
    <w:p w14:paraId="3705ADD1" w14:textId="77777777" w:rsidR="008F5E15" w:rsidRDefault="008F5E15" w:rsidP="008F5E15"/>
    <w:p w14:paraId="6C0A6628" w14:textId="77777777" w:rsidR="00323CBE" w:rsidRDefault="008F5E15" w:rsidP="008F5E15">
      <w:r>
        <w:t xml:space="preserve">HSCRC obtains A1c test information from lab data feeds reported to CRISP by hospitals. Details on the inpatient stay, such as vital status and whether the patient left against medical advice, are obtained from HSCRC inpatient </w:t>
      </w:r>
      <w:proofErr w:type="spellStart"/>
      <w:r>
        <w:t>casemix</w:t>
      </w:r>
      <w:proofErr w:type="spellEnd"/>
      <w:r>
        <w:t xml:space="preserve"> data.</w:t>
      </w:r>
    </w:p>
    <w:p w14:paraId="5B361CC2" w14:textId="77777777" w:rsidR="00323CBE" w:rsidRDefault="00323CBE" w:rsidP="008F5E15"/>
    <w:p w14:paraId="6FEA06C9" w14:textId="231A4B53" w:rsidR="008F5E15" w:rsidRPr="00BE6B6B" w:rsidRDefault="000C4B4D" w:rsidP="008F5E15">
      <w:r w:rsidRPr="00BE6B6B">
        <w:t xml:space="preserve">The </w:t>
      </w:r>
      <w:r w:rsidR="00323CBE" w:rsidRPr="00BE6B6B">
        <w:t xml:space="preserve">intent of this policy is to encourage testing </w:t>
      </w:r>
      <w:r w:rsidR="00577737" w:rsidRPr="00BE6B6B">
        <w:t>in accordance</w:t>
      </w:r>
      <w:r w:rsidR="00323CBE" w:rsidRPr="00BE6B6B">
        <w:t xml:space="preserve"> with </w:t>
      </w:r>
      <w:r w:rsidR="00577737" w:rsidRPr="00BE6B6B">
        <w:t>the</w:t>
      </w:r>
      <w:r w:rsidR="00323CBE" w:rsidRPr="00BE6B6B">
        <w:t xml:space="preserve"> time intervals</w:t>
      </w:r>
      <w:r w:rsidRPr="00BE6B6B">
        <w:t xml:space="preserve"> recommended by the ADA (e.g., every three years for those whose most recent test was normal)</w:t>
      </w:r>
      <w:r w:rsidR="00577737" w:rsidRPr="00BE6B6B">
        <w:t>. However, we are not currently able to remove patients from the denominator if they were recently tested and thus do not require additional screening. We are working to obtain data that would allow us to do this and will update the measure specification when these data become available. In the meantime, hospitals should provide screening in accordance with the ADA guidelines. Because the measure is focused on improvement,</w:t>
      </w:r>
      <w:r w:rsidR="0039066C" w:rsidRPr="00BE6B6B">
        <w:t xml:space="preserve"> and it is unlikely that 100% of eligible patients will be screened, </w:t>
      </w:r>
      <w:r w:rsidR="00577737" w:rsidRPr="00BE6B6B">
        <w:t xml:space="preserve">hospitals will still be able to perform well even when recently screened individuals appear in the </w:t>
      </w:r>
      <w:proofErr w:type="gramStart"/>
      <w:r w:rsidR="00577737" w:rsidRPr="00BE6B6B">
        <w:t>denominator, but</w:t>
      </w:r>
      <w:proofErr w:type="gramEnd"/>
      <w:r w:rsidR="00577737" w:rsidRPr="00BE6B6B">
        <w:t xml:space="preserve"> are excluded from inpatient screening and hence do not appear in the numerator. </w:t>
      </w:r>
    </w:p>
    <w:p w14:paraId="00134163" w14:textId="77777777" w:rsidR="008F5E15" w:rsidRDefault="008F5E15" w:rsidP="008F5E15"/>
    <w:p w14:paraId="7DC029E2" w14:textId="77777777" w:rsidR="008F5E15" w:rsidRDefault="008F5E15" w:rsidP="008F5E15">
      <w:r>
        <w:t xml:space="preserve">Appendix A contains data on hospital performance during the baseline period (CY2022). Beginning with the next update cycle, a monthly update showing hospital performance for the most recent 12-month period will appear on the CRISP portal. Staff are working with CRISP to develop patient-level reports to accompany the summary level data. </w:t>
      </w:r>
    </w:p>
    <w:p w14:paraId="5013C8C6" w14:textId="77777777" w:rsidR="008F5E15" w:rsidRDefault="008F5E15" w:rsidP="008F5E15"/>
    <w:p w14:paraId="3309E2F2" w14:textId="0335DC5A" w:rsidR="005036F6" w:rsidRPr="00D22DA9" w:rsidRDefault="008F5E15" w:rsidP="00D22DA9">
      <w:r>
        <w:t>The HSCRC is seeking feedback on the monitoring policy, including data sources, measure specification, and other matters, from stakeholders. Feedback may be sent to the Quality Team inbox: hscrc.quality@maryland.gov</w:t>
      </w:r>
      <w:r w:rsidR="00D3239A">
        <w:t>.</w:t>
      </w:r>
    </w:p>
    <w:sectPr w:rsidR="005036F6" w:rsidRPr="00D22DA9" w:rsidSect="00C637AB">
      <w:headerReference w:type="even" r:id="rId7"/>
      <w:headerReference w:type="default" r:id="rId8"/>
      <w:footerReference w:type="even" r:id="rId9"/>
      <w:footerReference w:type="default" r:id="rId10"/>
      <w:headerReference w:type="first" r:id="rId11"/>
      <w:footerReference w:type="first" r:id="rId12"/>
      <w:pgSz w:w="12240" w:h="15840"/>
      <w:pgMar w:top="2322" w:right="1440" w:bottom="220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187A" w14:textId="77777777" w:rsidR="00726E78" w:rsidRDefault="00726E78" w:rsidP="005E6EFF">
      <w:r>
        <w:separator/>
      </w:r>
    </w:p>
  </w:endnote>
  <w:endnote w:type="continuationSeparator" w:id="0">
    <w:p w14:paraId="4D71E20B" w14:textId="77777777" w:rsidR="00726E78" w:rsidRDefault="00726E78" w:rsidP="005E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604020202020204"/>
    <w:charset w:val="4D"/>
    <w:family w:val="auto"/>
    <w:pitch w:val="variable"/>
    <w:sig w:usb0="A00002FF" w:usb1="5000205B" w:usb2="00000000" w:usb3="00000000" w:csb0="00000197" w:csb1="00000000"/>
  </w:font>
  <w:font w:name="Raleway Medium">
    <w:panose1 w:val="020B0604020202020204"/>
    <w:charset w:val="4D"/>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9941460"/>
      <w:docPartObj>
        <w:docPartGallery w:val="Page Numbers (Bottom of Page)"/>
        <w:docPartUnique/>
      </w:docPartObj>
    </w:sdtPr>
    <w:sdtContent>
      <w:p w14:paraId="16023D18" w14:textId="4DD3682C" w:rsidR="00D21E76" w:rsidRDefault="00D21E76" w:rsidP="00253F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77FE1" w14:textId="77777777" w:rsidR="00D21E76" w:rsidRDefault="00D21E76" w:rsidP="00D2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Raleway Medium" w:hAnsi="Raleway Medium"/>
        <w:color w:val="003889"/>
        <w:sz w:val="16"/>
        <w:szCs w:val="16"/>
      </w:rPr>
      <w:id w:val="609556828"/>
      <w:docPartObj>
        <w:docPartGallery w:val="Page Numbers (Bottom of Page)"/>
        <w:docPartUnique/>
      </w:docPartObj>
    </w:sdtPr>
    <w:sdtContent>
      <w:p w14:paraId="3BC7E222" w14:textId="677953C1" w:rsidR="00D21E76" w:rsidRPr="00D21E76" w:rsidRDefault="00D21E76" w:rsidP="003D11B0">
        <w:pPr>
          <w:pStyle w:val="Footer"/>
          <w:framePr w:wrap="none" w:vAnchor="text" w:hAnchor="page" w:x="11342" w:y="-184"/>
          <w:rPr>
            <w:rStyle w:val="PageNumber"/>
            <w:rFonts w:ascii="Raleway Medium" w:hAnsi="Raleway Medium"/>
            <w:color w:val="003889"/>
            <w:sz w:val="16"/>
            <w:szCs w:val="16"/>
          </w:rPr>
        </w:pPr>
        <w:r w:rsidRPr="00D21E76">
          <w:rPr>
            <w:rStyle w:val="PageNumber"/>
            <w:rFonts w:ascii="Raleway Medium" w:hAnsi="Raleway Medium"/>
            <w:color w:val="003889"/>
            <w:sz w:val="16"/>
            <w:szCs w:val="16"/>
          </w:rPr>
          <w:fldChar w:fldCharType="begin"/>
        </w:r>
        <w:r w:rsidRPr="00D21E76">
          <w:rPr>
            <w:rStyle w:val="PageNumber"/>
            <w:rFonts w:ascii="Raleway Medium" w:hAnsi="Raleway Medium"/>
            <w:color w:val="003889"/>
            <w:sz w:val="16"/>
            <w:szCs w:val="16"/>
          </w:rPr>
          <w:instrText xml:space="preserve"> PAGE </w:instrText>
        </w:r>
        <w:r w:rsidRPr="00D21E76">
          <w:rPr>
            <w:rStyle w:val="PageNumber"/>
            <w:rFonts w:ascii="Raleway Medium" w:hAnsi="Raleway Medium"/>
            <w:color w:val="003889"/>
            <w:sz w:val="16"/>
            <w:szCs w:val="16"/>
          </w:rPr>
          <w:fldChar w:fldCharType="separate"/>
        </w:r>
        <w:r w:rsidR="00C637AB">
          <w:rPr>
            <w:rStyle w:val="PageNumber"/>
            <w:rFonts w:ascii="Raleway Medium" w:hAnsi="Raleway Medium"/>
            <w:noProof/>
            <w:color w:val="003889"/>
            <w:sz w:val="16"/>
            <w:szCs w:val="16"/>
          </w:rPr>
          <w:t>2</w:t>
        </w:r>
        <w:r w:rsidRPr="00D21E76">
          <w:rPr>
            <w:rStyle w:val="PageNumber"/>
            <w:rFonts w:ascii="Raleway Medium" w:hAnsi="Raleway Medium"/>
            <w:color w:val="003889"/>
            <w:sz w:val="16"/>
            <w:szCs w:val="16"/>
          </w:rPr>
          <w:fldChar w:fldCharType="end"/>
        </w:r>
      </w:p>
    </w:sdtContent>
  </w:sdt>
  <w:p w14:paraId="42A692DC" w14:textId="1CAF1D8D" w:rsidR="005E6EFF" w:rsidRDefault="0059454B" w:rsidP="00D21E76">
    <w:pPr>
      <w:pStyle w:val="Footer"/>
      <w:ind w:right="360"/>
    </w:pPr>
    <w:r>
      <w:rPr>
        <w:noProof/>
      </w:rPr>
      <w:drawing>
        <wp:anchor distT="0" distB="0" distL="114300" distR="114300" simplePos="0" relativeHeight="251670528" behindDoc="0" locked="0" layoutInCell="1" allowOverlap="1" wp14:anchorId="1996E6FE" wp14:editId="2B384BF8">
          <wp:simplePos x="0" y="0"/>
          <wp:positionH relativeFrom="column">
            <wp:posOffset>6038950</wp:posOffset>
          </wp:positionH>
          <wp:positionV relativeFrom="paragraph">
            <wp:posOffset>-105410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F05AE" w14:textId="77777777" w:rsidR="00D21E76" w:rsidRDefault="00D21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66C8" w14:textId="373A3430" w:rsidR="000526B8" w:rsidRDefault="00D94EFD" w:rsidP="00643D42">
    <w:pPr>
      <w:pStyle w:val="Footer"/>
      <w:tabs>
        <w:tab w:val="clear" w:pos="4680"/>
        <w:tab w:val="clear" w:pos="9360"/>
        <w:tab w:val="right" w:pos="2819"/>
      </w:tabs>
    </w:pPr>
    <w:r w:rsidRPr="000526B8">
      <w:rPr>
        <w:noProof/>
      </w:rPr>
      <mc:AlternateContent>
        <mc:Choice Requires="wps">
          <w:drawing>
            <wp:anchor distT="0" distB="0" distL="114300" distR="114300" simplePos="0" relativeHeight="251673600" behindDoc="1" locked="0" layoutInCell="1" allowOverlap="1" wp14:anchorId="1A6750EA" wp14:editId="620FA367">
              <wp:simplePos x="0" y="0"/>
              <wp:positionH relativeFrom="column">
                <wp:posOffset>-900622</wp:posOffset>
              </wp:positionH>
              <wp:positionV relativeFrom="paragraph">
                <wp:posOffset>-277184</wp:posOffset>
              </wp:positionV>
              <wp:extent cx="7758430" cy="490220"/>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7758430" cy="490220"/>
                      </a:xfrm>
                      <a:prstGeom prst="rect">
                        <a:avLst/>
                      </a:prstGeom>
                      <a:noFill/>
                      <a:ln w="6350">
                        <a:noFill/>
                      </a:ln>
                    </wps:spPr>
                    <wps:txbx>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4160 Patterson Avenue  |  Baltimore, MD 21215          hscrc.maryland.gov</w:t>
                          </w:r>
                        </w:p>
                        <w:p w14:paraId="2862E71F" w14:textId="77777777" w:rsidR="000526B8" w:rsidRPr="00207EC3" w:rsidRDefault="000526B8" w:rsidP="000526B8">
                          <w:pPr>
                            <w:rPr>
                              <w:rFonts w:cs="Arial"/>
                            </w:rPr>
                          </w:pPr>
                        </w:p>
                      </w:txbxContent>
                    </wps:txbx>
                    <wps:bodyPr rot="0" spcFirstLastPara="0" vertOverflow="overflow" horzOverflow="overflow" vert="horz" wrap="square" lIns="1097280" tIns="91440" rIns="10972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750EA" id="_x0000_t202" coordsize="21600,21600" o:spt="202" path="m,l,21600r21600,l21600,xe">
              <v:stroke joinstyle="miter"/>
              <v:path gradientshapeok="t" o:connecttype="rect"/>
            </v:shapetype>
            <v:shape id="Text Box 22" o:spid="_x0000_s1027" type="#_x0000_t202" style="position:absolute;margin-left:-70.9pt;margin-top:-21.85pt;width:610.9pt;height:3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" filled="f" stroked="f" strokeweight=".5pt">
              <v:textbox inset="86.4pt,7.2pt,86.4pt">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4160 Patterson Avenue  |  Baltimore, MD 21215          hscrc.maryland.gov</w:t>
                    </w:r>
                  </w:p>
                  <w:p w14:paraId="2862E71F" w14:textId="77777777" w:rsidR="000526B8" w:rsidRPr="00207EC3" w:rsidRDefault="000526B8" w:rsidP="000526B8">
                    <w:pPr>
                      <w:rPr>
                        <w:rFonts w:cs="Arial"/>
                      </w:rPr>
                    </w:pPr>
                  </w:p>
                </w:txbxContent>
              </v:textbox>
            </v:shape>
          </w:pict>
        </mc:Fallback>
      </mc:AlternateContent>
    </w:r>
    <w:r w:rsidR="00C650E9" w:rsidRPr="000526B8">
      <w:rPr>
        <w:noProof/>
      </w:rPr>
      <w:drawing>
        <wp:anchor distT="0" distB="0" distL="114300" distR="114300" simplePos="0" relativeHeight="251674624" behindDoc="0" locked="0" layoutInCell="1" allowOverlap="1" wp14:anchorId="481AB88A" wp14:editId="12CE2CC7">
          <wp:simplePos x="0" y="0"/>
          <wp:positionH relativeFrom="column">
            <wp:posOffset>1936361</wp:posOffset>
          </wp:positionH>
          <wp:positionV relativeFrom="paragraph">
            <wp:posOffset>-15875</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50E9" w:rsidRPr="000526B8">
      <w:rPr>
        <w:noProof/>
      </w:rPr>
      <w:drawing>
        <wp:anchor distT="0" distB="0" distL="114300" distR="114300" simplePos="0" relativeHeight="251675648" behindDoc="0" locked="0" layoutInCell="1" allowOverlap="1" wp14:anchorId="1102D0B3" wp14:editId="4EF0E17D">
          <wp:simplePos x="0" y="0"/>
          <wp:positionH relativeFrom="column">
            <wp:posOffset>4516755</wp:posOffset>
          </wp:positionH>
          <wp:positionV relativeFrom="paragraph">
            <wp:posOffset>-15240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D4E2" w14:textId="77777777" w:rsidR="00726E78" w:rsidRDefault="00726E78" w:rsidP="005E6EFF">
      <w:r>
        <w:separator/>
      </w:r>
    </w:p>
  </w:footnote>
  <w:footnote w:type="continuationSeparator" w:id="0">
    <w:p w14:paraId="1BD4BE65" w14:textId="77777777" w:rsidR="00726E78" w:rsidRDefault="00726E78" w:rsidP="005E6EFF">
      <w:r>
        <w:continuationSeparator/>
      </w:r>
    </w:p>
  </w:footnote>
  <w:footnote w:id="1">
    <w:p w14:paraId="78DFCC26" w14:textId="77777777" w:rsidR="008F5E15" w:rsidRDefault="008F5E15" w:rsidP="008F5E15">
      <w:pPr>
        <w:rPr>
          <w:sz w:val="20"/>
          <w:szCs w:val="20"/>
        </w:rPr>
      </w:pPr>
      <w:r>
        <w:rPr>
          <w:vertAlign w:val="superscript"/>
        </w:rPr>
        <w:footnoteRef/>
      </w:r>
      <w:r>
        <w:rPr>
          <w:sz w:val="20"/>
          <w:szCs w:val="20"/>
        </w:rPr>
        <w:t xml:space="preserve"> Behavioral Risk Factor Surveillance System, 2021</w:t>
      </w:r>
    </w:p>
  </w:footnote>
  <w:footnote w:id="2">
    <w:p w14:paraId="3CA7C6D0" w14:textId="77777777" w:rsidR="008F5E15" w:rsidRDefault="008F5E15" w:rsidP="008F5E15">
      <w:pPr>
        <w:rPr>
          <w:sz w:val="20"/>
          <w:szCs w:val="20"/>
        </w:rPr>
      </w:pPr>
      <w:r>
        <w:rPr>
          <w:vertAlign w:val="superscript"/>
        </w:rPr>
        <w:footnoteRef/>
      </w:r>
      <w:r>
        <w:rPr>
          <w:sz w:val="20"/>
          <w:szCs w:val="20"/>
        </w:rPr>
        <w:t xml:space="preserve"> National Health and Nutrition Examination Survey, 2021</w:t>
      </w:r>
    </w:p>
  </w:footnote>
  <w:footnote w:id="3">
    <w:p w14:paraId="0B8300E4" w14:textId="77777777" w:rsidR="008F5E15" w:rsidRDefault="008F5E15" w:rsidP="008F5E15">
      <w:pPr>
        <w:rPr>
          <w:sz w:val="20"/>
          <w:szCs w:val="20"/>
        </w:rPr>
      </w:pPr>
      <w:r>
        <w:rPr>
          <w:vertAlign w:val="superscript"/>
        </w:rPr>
        <w:footnoteRef/>
      </w:r>
      <w:r>
        <w:rPr>
          <w:sz w:val="20"/>
          <w:szCs w:val="20"/>
        </w:rPr>
        <w:t xml:space="preserve"> American Diabetes Association Professional Practice Committee (2022) ‘2. Classification and Diagnosis of Diabetes: Standards of Medical Care in Diabetes-2022’, </w:t>
      </w:r>
      <w:r>
        <w:rPr>
          <w:i/>
          <w:sz w:val="20"/>
          <w:szCs w:val="20"/>
        </w:rPr>
        <w:t>Diabetes care</w:t>
      </w:r>
      <w:r>
        <w:rPr>
          <w:sz w:val="20"/>
          <w:szCs w:val="20"/>
        </w:rPr>
        <w:t>, 45(Suppl 1), pp. S17–S38.</w:t>
      </w:r>
    </w:p>
  </w:footnote>
  <w:footnote w:id="4">
    <w:p w14:paraId="3BC5F0D0" w14:textId="77777777" w:rsidR="008F5E15" w:rsidRDefault="008F5E15" w:rsidP="008F5E15">
      <w:pPr>
        <w:rPr>
          <w:sz w:val="20"/>
          <w:szCs w:val="20"/>
        </w:rPr>
      </w:pPr>
      <w:r>
        <w:rPr>
          <w:vertAlign w:val="superscript"/>
        </w:rPr>
        <w:footnoteRef/>
      </w:r>
      <w:r>
        <w:rPr>
          <w:sz w:val="20"/>
          <w:szCs w:val="20"/>
        </w:rPr>
        <w:t xml:space="preserve"> </w:t>
      </w:r>
      <w:r>
        <w:rPr>
          <w:color w:val="222222"/>
          <w:sz w:val="20"/>
          <w:szCs w:val="20"/>
          <w:highlight w:val="white"/>
        </w:rPr>
        <w:t xml:space="preserve">Nathan, David M., et al. "Translating the A1C assay into estimated average glucose values." </w:t>
      </w:r>
      <w:r>
        <w:rPr>
          <w:i/>
          <w:color w:val="222222"/>
          <w:sz w:val="20"/>
          <w:szCs w:val="20"/>
          <w:highlight w:val="white"/>
        </w:rPr>
        <w:t>Diabetes care</w:t>
      </w:r>
      <w:r>
        <w:rPr>
          <w:color w:val="222222"/>
          <w:sz w:val="20"/>
          <w:szCs w:val="20"/>
          <w:highlight w:val="white"/>
        </w:rPr>
        <w:t xml:space="preserve"> 31.8 (2008): 1473-1478.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8682" w14:textId="3591F358" w:rsidR="005E6EFF" w:rsidRDefault="00726E78">
    <w:pPr>
      <w:pStyle w:val="Header"/>
    </w:pPr>
    <w:r>
      <w:rPr>
        <w:noProof/>
      </w:rPr>
      <w:pict w14:anchorId="3B314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6" o:spid="_x0000_s1027" type="#_x0000_t75" alt="" style="position:absolute;margin-left:0;margin-top:0;width:612.95pt;height:792.95pt;z-index:-251632640;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01D5" w14:textId="7CFA2C42" w:rsidR="005E6EFF" w:rsidRDefault="00726E78" w:rsidP="00BF00BE">
    <w:pPr>
      <w:pStyle w:val="Header"/>
      <w:ind w:hanging="720"/>
    </w:pPr>
    <w:r>
      <w:rPr>
        <w:noProof/>
      </w:rPr>
      <w:pict w14:anchorId="2480E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7" o:spid="_x0000_s1026" type="#_x0000_t75" alt="" style="position:absolute;margin-left:0;margin-top:0;width:612.95pt;height:792.95pt;z-index:-251629568;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48B4" w14:textId="75A5A96C" w:rsidR="005E6EFF" w:rsidRDefault="00726E78" w:rsidP="00D94EFD">
    <w:pPr>
      <w:pStyle w:val="Header"/>
      <w:tabs>
        <w:tab w:val="clear" w:pos="4680"/>
        <w:tab w:val="clear" w:pos="9360"/>
        <w:tab w:val="left" w:pos="8115"/>
      </w:tabs>
      <w:ind w:hanging="720"/>
    </w:pPr>
    <w:r>
      <w:rPr>
        <w:noProof/>
      </w:rPr>
      <w:pict w14:anchorId="5A18A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5" o:spid="_x0000_s1025" type="#_x0000_t75" alt="" style="position:absolute;margin-left:0;margin-top:0;width:612.95pt;height:792.95pt;z-index:-251646977;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r w:rsidR="004C34BF">
      <w:rPr>
        <w:noProof/>
      </w:rPr>
      <mc:AlternateContent>
        <mc:Choice Requires="wps">
          <w:drawing>
            <wp:anchor distT="0" distB="0" distL="114300" distR="114300" simplePos="0" relativeHeight="251677696" behindDoc="0" locked="1" layoutInCell="1" allowOverlap="1" wp14:anchorId="4F0F8FE2" wp14:editId="17872C20">
              <wp:simplePos x="0" y="0"/>
              <wp:positionH relativeFrom="column">
                <wp:posOffset>4686300</wp:posOffset>
              </wp:positionH>
              <wp:positionV relativeFrom="paragraph">
                <wp:posOffset>981075</wp:posOffset>
              </wp:positionV>
              <wp:extent cx="1866900" cy="7118350"/>
              <wp:effectExtent l="0" t="0" r="0" b="6350"/>
              <wp:wrapSquare wrapText="bothSides"/>
              <wp:docPr id="38" name="Text Box 38"/>
              <wp:cNvGraphicFramePr/>
              <a:graphic xmlns:a="http://schemas.openxmlformats.org/drawingml/2006/main">
                <a:graphicData uri="http://schemas.microsoft.com/office/word/2010/wordprocessingShape">
                  <wps:wsp>
                    <wps:cNvSpPr txBox="1"/>
                    <wps:spPr>
                      <a:xfrm>
                        <a:off x="0" y="0"/>
                        <a:ext cx="1866900" cy="7118350"/>
                      </a:xfrm>
                      <a:prstGeom prst="rect">
                        <a:avLst/>
                      </a:prstGeom>
                      <a:noFill/>
                      <a:ln w="6350">
                        <a:noFill/>
                      </a:ln>
                    </wps:spPr>
                    <wps:txb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 xml:space="preserve">Joseph </w:t>
                          </w:r>
                          <w:proofErr w:type="spellStart"/>
                          <w:r w:rsidRPr="00207EC3">
                            <w:rPr>
                              <w:rFonts w:ascii="Arial" w:hAnsi="Arial" w:cs="Arial"/>
                            </w:rPr>
                            <w:t>Antos</w:t>
                          </w:r>
                          <w:proofErr w:type="spellEnd"/>
                          <w:r w:rsidRPr="00207EC3">
                            <w:rPr>
                              <w:rFonts w:ascii="Arial" w:hAnsi="Arial" w:cs="Arial"/>
                            </w:rPr>
                            <w:t>,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05A981F0" w14:textId="77777777" w:rsidR="00AE6052" w:rsidRDefault="00AE6052" w:rsidP="00A56306">
                          <w:pPr>
                            <w:pStyle w:val="HSCRCName"/>
                            <w:rPr>
                              <w:rFonts w:ascii="Arial" w:hAnsi="Arial" w:cs="Arial"/>
                            </w:rPr>
                          </w:pPr>
                          <w:r>
                            <w:rPr>
                              <w:rFonts w:ascii="Arial" w:hAnsi="Arial" w:cs="Arial"/>
                            </w:rPr>
                            <w:t>Maulik Joshi, DrPH</w:t>
                          </w:r>
                        </w:p>
                        <w:p w14:paraId="3D057313" w14:textId="77777777" w:rsidR="000D72C7" w:rsidRDefault="000D72C7" w:rsidP="00A56306">
                          <w:pPr>
                            <w:pStyle w:val="HSCRCName"/>
                            <w:rPr>
                              <w:rFonts w:ascii="Arial" w:hAnsi="Arial" w:cs="Arial"/>
                            </w:rPr>
                          </w:pPr>
                        </w:p>
                        <w:p w14:paraId="00E75AA8" w14:textId="5D108469" w:rsidR="000D72C7" w:rsidRDefault="000D72C7" w:rsidP="00A56306">
                          <w:pPr>
                            <w:pStyle w:val="HSCRCName"/>
                            <w:rPr>
                              <w:rFonts w:ascii="Arial" w:hAnsi="Arial" w:cs="Arial"/>
                            </w:rPr>
                          </w:pPr>
                          <w:r>
                            <w:rPr>
                              <w:rFonts w:ascii="Arial" w:hAnsi="Arial" w:cs="Arial"/>
                            </w:rPr>
                            <w:t>Ricardo Johnson, JD</w:t>
                          </w:r>
                        </w:p>
                        <w:p w14:paraId="08FEE678" w14:textId="77777777" w:rsidR="00AE6052" w:rsidRDefault="00AE6052" w:rsidP="00A56306">
                          <w:pPr>
                            <w:pStyle w:val="HSCRCName"/>
                            <w:rPr>
                              <w:rFonts w:ascii="Arial" w:hAnsi="Arial" w:cs="Arial"/>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34E51122" w14:textId="77777777" w:rsidR="00F57D44" w:rsidRPr="00207EC3" w:rsidRDefault="00F57D44" w:rsidP="00F57D44">
                          <w:pPr>
                            <w:pStyle w:val="HSCRCName"/>
                            <w:rPr>
                              <w:rFonts w:ascii="Arial" w:hAnsi="Arial" w:cs="Arial"/>
                            </w:rPr>
                          </w:pPr>
                          <w:r w:rsidRPr="00207EC3">
                            <w:rPr>
                              <w:rFonts w:ascii="Arial" w:hAnsi="Arial" w:cs="Arial"/>
                            </w:rPr>
                            <w:t>William Henderson</w:t>
                          </w:r>
                        </w:p>
                        <w:p w14:paraId="52CF27CE" w14:textId="77777777" w:rsidR="00F57D44" w:rsidRPr="00207EC3" w:rsidRDefault="00F57D44" w:rsidP="00F57D44">
                          <w:pPr>
                            <w:pStyle w:val="HSCRCTitle"/>
                            <w:rPr>
                              <w:rFonts w:ascii="Arial" w:hAnsi="Arial" w:cs="Arial"/>
                            </w:rPr>
                          </w:pPr>
                          <w:r w:rsidRPr="00207EC3">
                            <w:rPr>
                              <w:rFonts w:ascii="Arial" w:hAnsi="Arial" w:cs="Arial"/>
                            </w:rPr>
                            <w:t>Director</w:t>
                          </w:r>
                        </w:p>
                        <w:p w14:paraId="7036FD99" w14:textId="77777777" w:rsidR="00F57D44" w:rsidRPr="00207EC3" w:rsidRDefault="00F57D44" w:rsidP="00F57D44">
                          <w:pPr>
                            <w:pStyle w:val="HSCRCTitle"/>
                            <w:rPr>
                              <w:rFonts w:ascii="Arial" w:hAnsi="Arial" w:cs="Arial"/>
                            </w:rPr>
                          </w:pPr>
                          <w:r w:rsidRPr="00207EC3">
                            <w:rPr>
                              <w:rFonts w:ascii="Arial" w:hAnsi="Arial" w:cs="Arial"/>
                            </w:rPr>
                            <w:t>Medical Economics &amp; Data Analytics</w:t>
                          </w:r>
                        </w:p>
                        <w:p w14:paraId="3D1309DF" w14:textId="77777777" w:rsidR="00F57D44" w:rsidRDefault="00F57D44" w:rsidP="008D7B99">
                          <w:pPr>
                            <w:pStyle w:val="HSCRCName"/>
                            <w:rPr>
                              <w:rFonts w:ascii="Arial" w:hAnsi="Arial" w:cs="Arial"/>
                            </w:rPr>
                          </w:pPr>
                        </w:p>
                        <w:p w14:paraId="5FED7660" w14:textId="76F556E2"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 xml:space="preserve">Gerard J. </w:t>
                          </w:r>
                          <w:proofErr w:type="spellStart"/>
                          <w:r w:rsidRPr="00207EC3">
                            <w:rPr>
                              <w:rFonts w:ascii="Arial" w:hAnsi="Arial" w:cs="Arial"/>
                            </w:rPr>
                            <w:t>Schmith</w:t>
                          </w:r>
                          <w:proofErr w:type="spellEnd"/>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Default="004C34BF" w:rsidP="008D7B99">
                          <w:pPr>
                            <w:pStyle w:val="HSCRCTitle"/>
                            <w:rPr>
                              <w:rFonts w:ascii="Arial" w:hAnsi="Arial" w:cs="Arial"/>
                            </w:rPr>
                          </w:pPr>
                          <w:r w:rsidRPr="00207EC3">
                            <w:rPr>
                              <w:rFonts w:ascii="Arial" w:hAnsi="Arial" w:cs="Arial"/>
                            </w:rPr>
                            <w:t>Revenue &amp; Regulation Compliance</w:t>
                          </w:r>
                        </w:p>
                        <w:p w14:paraId="69E17C12" w14:textId="77777777" w:rsidR="00186627" w:rsidRDefault="00186627" w:rsidP="008D7B99">
                          <w:pPr>
                            <w:pStyle w:val="HSCRCTitle"/>
                            <w:rPr>
                              <w:rFonts w:ascii="Arial" w:hAnsi="Arial" w:cs="Arial"/>
                            </w:rPr>
                          </w:pPr>
                        </w:p>
                        <w:p w14:paraId="5FE872D6" w14:textId="433E65EF" w:rsidR="00186627" w:rsidRPr="00186627" w:rsidRDefault="00186627" w:rsidP="008D7B99">
                          <w:pPr>
                            <w:pStyle w:val="HSCRCTitle"/>
                            <w:rPr>
                              <w:rFonts w:ascii="Arial" w:hAnsi="Arial" w:cs="Arial"/>
                              <w:b/>
                              <w:bCs/>
                            </w:rPr>
                          </w:pPr>
                          <w:r w:rsidRPr="00186627">
                            <w:rPr>
                              <w:rFonts w:ascii="Arial" w:hAnsi="Arial" w:cs="Arial"/>
                              <w:b/>
                              <w:bCs/>
                            </w:rPr>
                            <w:t>Claudine Williams</w:t>
                          </w:r>
                        </w:p>
                        <w:p w14:paraId="6DEEAB4C" w14:textId="717F3D85" w:rsidR="00186627" w:rsidRDefault="00186627" w:rsidP="008D7B99">
                          <w:pPr>
                            <w:pStyle w:val="HSCRCTitle"/>
                            <w:rPr>
                              <w:rFonts w:ascii="Arial" w:hAnsi="Arial" w:cs="Arial"/>
                            </w:rPr>
                          </w:pPr>
                          <w:r>
                            <w:rPr>
                              <w:rFonts w:ascii="Arial" w:hAnsi="Arial" w:cs="Arial"/>
                            </w:rPr>
                            <w:t>Director</w:t>
                          </w:r>
                        </w:p>
                        <w:p w14:paraId="6738F3A2" w14:textId="7AE2F217" w:rsidR="00186627" w:rsidRPr="00207EC3" w:rsidRDefault="00186627" w:rsidP="008D7B99">
                          <w:pPr>
                            <w:pStyle w:val="HSCRCTitle"/>
                            <w:rPr>
                              <w:rFonts w:ascii="Arial" w:hAnsi="Arial" w:cs="Arial"/>
                            </w:rPr>
                          </w:pPr>
                          <w:r>
                            <w:rPr>
                              <w:rFonts w:ascii="Arial" w:hAnsi="Arial" w:cs="Arial"/>
                            </w:rPr>
                            <w:t>Healthcare Data Management &amp; Integrity</w:t>
                          </w:r>
                        </w:p>
                        <w:p w14:paraId="62A74B6F" w14:textId="77777777" w:rsidR="004C34BF" w:rsidRPr="00207EC3" w:rsidRDefault="004C34BF" w:rsidP="004C34BF">
                          <w:pPr>
                            <w:rPr>
                              <w:rFonts w:cs="Arial"/>
                              <w:color w:val="003889"/>
                              <w:sz w:val="14"/>
                              <w:szCs w:val="1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F8FE2" id="_x0000_t202" coordsize="21600,21600" o:spt="202" path="m,l,21600r21600,l21600,xe">
              <v:stroke joinstyle="miter"/>
              <v:path gradientshapeok="t" o:connecttype="rect"/>
            </v:shapetype>
            <v:shape id="Text Box 38" o:spid="_x0000_s1026" type="#_x0000_t202" style="position:absolute;margin-left:369pt;margin-top:77.25pt;width:147pt;height: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" filled="f" stroked="f" strokeweight=".5pt">
              <v:textbo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 xml:space="preserve">Joseph </w:t>
                    </w:r>
                    <w:proofErr w:type="spellStart"/>
                    <w:r w:rsidRPr="00207EC3">
                      <w:rPr>
                        <w:rFonts w:ascii="Arial" w:hAnsi="Arial" w:cs="Arial"/>
                      </w:rPr>
                      <w:t>Antos</w:t>
                    </w:r>
                    <w:proofErr w:type="spellEnd"/>
                    <w:r w:rsidRPr="00207EC3">
                      <w:rPr>
                        <w:rFonts w:ascii="Arial" w:hAnsi="Arial" w:cs="Arial"/>
                      </w:rPr>
                      <w:t>,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05A981F0" w14:textId="77777777" w:rsidR="00AE6052" w:rsidRDefault="00AE6052" w:rsidP="00A56306">
                    <w:pPr>
                      <w:pStyle w:val="HSCRCName"/>
                      <w:rPr>
                        <w:rFonts w:ascii="Arial" w:hAnsi="Arial" w:cs="Arial"/>
                      </w:rPr>
                    </w:pPr>
                    <w:r>
                      <w:rPr>
                        <w:rFonts w:ascii="Arial" w:hAnsi="Arial" w:cs="Arial"/>
                      </w:rPr>
                      <w:t>Maulik Joshi, DrPH</w:t>
                    </w:r>
                  </w:p>
                  <w:p w14:paraId="3D057313" w14:textId="77777777" w:rsidR="000D72C7" w:rsidRDefault="000D72C7" w:rsidP="00A56306">
                    <w:pPr>
                      <w:pStyle w:val="HSCRCName"/>
                      <w:rPr>
                        <w:rFonts w:ascii="Arial" w:hAnsi="Arial" w:cs="Arial"/>
                      </w:rPr>
                    </w:pPr>
                  </w:p>
                  <w:p w14:paraId="00E75AA8" w14:textId="5D108469" w:rsidR="000D72C7" w:rsidRDefault="000D72C7" w:rsidP="00A56306">
                    <w:pPr>
                      <w:pStyle w:val="HSCRCName"/>
                      <w:rPr>
                        <w:rFonts w:ascii="Arial" w:hAnsi="Arial" w:cs="Arial"/>
                      </w:rPr>
                    </w:pPr>
                    <w:r>
                      <w:rPr>
                        <w:rFonts w:ascii="Arial" w:hAnsi="Arial" w:cs="Arial"/>
                      </w:rPr>
                      <w:t>Ricardo Johnson, JD</w:t>
                    </w:r>
                  </w:p>
                  <w:p w14:paraId="08FEE678" w14:textId="77777777" w:rsidR="00AE6052" w:rsidRDefault="00AE6052" w:rsidP="00A56306">
                    <w:pPr>
                      <w:pStyle w:val="HSCRCName"/>
                      <w:rPr>
                        <w:rFonts w:ascii="Arial" w:hAnsi="Arial" w:cs="Arial"/>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3">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34E51122" w14:textId="77777777" w:rsidR="00F57D44" w:rsidRPr="00207EC3" w:rsidRDefault="00F57D44" w:rsidP="00F57D44">
                    <w:pPr>
                      <w:pStyle w:val="HSCRCName"/>
                      <w:rPr>
                        <w:rFonts w:ascii="Arial" w:hAnsi="Arial" w:cs="Arial"/>
                      </w:rPr>
                    </w:pPr>
                    <w:r w:rsidRPr="00207EC3">
                      <w:rPr>
                        <w:rFonts w:ascii="Arial" w:hAnsi="Arial" w:cs="Arial"/>
                      </w:rPr>
                      <w:t>William Henderson</w:t>
                    </w:r>
                  </w:p>
                  <w:p w14:paraId="52CF27CE" w14:textId="77777777" w:rsidR="00F57D44" w:rsidRPr="00207EC3" w:rsidRDefault="00F57D44" w:rsidP="00F57D44">
                    <w:pPr>
                      <w:pStyle w:val="HSCRCTitle"/>
                      <w:rPr>
                        <w:rFonts w:ascii="Arial" w:hAnsi="Arial" w:cs="Arial"/>
                      </w:rPr>
                    </w:pPr>
                    <w:r w:rsidRPr="00207EC3">
                      <w:rPr>
                        <w:rFonts w:ascii="Arial" w:hAnsi="Arial" w:cs="Arial"/>
                      </w:rPr>
                      <w:t>Director</w:t>
                    </w:r>
                  </w:p>
                  <w:p w14:paraId="7036FD99" w14:textId="77777777" w:rsidR="00F57D44" w:rsidRPr="00207EC3" w:rsidRDefault="00F57D44" w:rsidP="00F57D44">
                    <w:pPr>
                      <w:pStyle w:val="HSCRCTitle"/>
                      <w:rPr>
                        <w:rFonts w:ascii="Arial" w:hAnsi="Arial" w:cs="Arial"/>
                      </w:rPr>
                    </w:pPr>
                    <w:r w:rsidRPr="00207EC3">
                      <w:rPr>
                        <w:rFonts w:ascii="Arial" w:hAnsi="Arial" w:cs="Arial"/>
                      </w:rPr>
                      <w:t>Medical Economics &amp; Data Analytics</w:t>
                    </w:r>
                  </w:p>
                  <w:p w14:paraId="3D1309DF" w14:textId="77777777" w:rsidR="00F57D44" w:rsidRDefault="00F57D44" w:rsidP="008D7B99">
                    <w:pPr>
                      <w:pStyle w:val="HSCRCName"/>
                      <w:rPr>
                        <w:rFonts w:ascii="Arial" w:hAnsi="Arial" w:cs="Arial"/>
                      </w:rPr>
                    </w:pPr>
                  </w:p>
                  <w:p w14:paraId="5FED7660" w14:textId="76F556E2"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 xml:space="preserve">Gerard J. </w:t>
                    </w:r>
                    <w:proofErr w:type="spellStart"/>
                    <w:r w:rsidRPr="00207EC3">
                      <w:rPr>
                        <w:rFonts w:ascii="Arial" w:hAnsi="Arial" w:cs="Arial"/>
                      </w:rPr>
                      <w:t>Schmith</w:t>
                    </w:r>
                    <w:proofErr w:type="spellEnd"/>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Default="004C34BF" w:rsidP="008D7B99">
                    <w:pPr>
                      <w:pStyle w:val="HSCRCTitle"/>
                      <w:rPr>
                        <w:rFonts w:ascii="Arial" w:hAnsi="Arial" w:cs="Arial"/>
                      </w:rPr>
                    </w:pPr>
                    <w:r w:rsidRPr="00207EC3">
                      <w:rPr>
                        <w:rFonts w:ascii="Arial" w:hAnsi="Arial" w:cs="Arial"/>
                      </w:rPr>
                      <w:t>Revenue &amp; Regulation Compliance</w:t>
                    </w:r>
                  </w:p>
                  <w:p w14:paraId="69E17C12" w14:textId="77777777" w:rsidR="00186627" w:rsidRDefault="00186627" w:rsidP="008D7B99">
                    <w:pPr>
                      <w:pStyle w:val="HSCRCTitle"/>
                      <w:rPr>
                        <w:rFonts w:ascii="Arial" w:hAnsi="Arial" w:cs="Arial"/>
                      </w:rPr>
                    </w:pPr>
                  </w:p>
                  <w:p w14:paraId="5FE872D6" w14:textId="433E65EF" w:rsidR="00186627" w:rsidRPr="00186627" w:rsidRDefault="00186627" w:rsidP="008D7B99">
                    <w:pPr>
                      <w:pStyle w:val="HSCRCTitle"/>
                      <w:rPr>
                        <w:rFonts w:ascii="Arial" w:hAnsi="Arial" w:cs="Arial"/>
                        <w:b/>
                        <w:bCs/>
                      </w:rPr>
                    </w:pPr>
                    <w:r w:rsidRPr="00186627">
                      <w:rPr>
                        <w:rFonts w:ascii="Arial" w:hAnsi="Arial" w:cs="Arial"/>
                        <w:b/>
                        <w:bCs/>
                      </w:rPr>
                      <w:t>Claudine Williams</w:t>
                    </w:r>
                  </w:p>
                  <w:p w14:paraId="6DEEAB4C" w14:textId="717F3D85" w:rsidR="00186627" w:rsidRDefault="00186627" w:rsidP="008D7B99">
                    <w:pPr>
                      <w:pStyle w:val="HSCRCTitle"/>
                      <w:rPr>
                        <w:rFonts w:ascii="Arial" w:hAnsi="Arial" w:cs="Arial"/>
                      </w:rPr>
                    </w:pPr>
                    <w:r>
                      <w:rPr>
                        <w:rFonts w:ascii="Arial" w:hAnsi="Arial" w:cs="Arial"/>
                      </w:rPr>
                      <w:t>Director</w:t>
                    </w:r>
                  </w:p>
                  <w:p w14:paraId="6738F3A2" w14:textId="7AE2F217" w:rsidR="00186627" w:rsidRPr="00207EC3" w:rsidRDefault="00186627" w:rsidP="008D7B99">
                    <w:pPr>
                      <w:pStyle w:val="HSCRCTitle"/>
                      <w:rPr>
                        <w:rFonts w:ascii="Arial" w:hAnsi="Arial" w:cs="Arial"/>
                      </w:rPr>
                    </w:pPr>
                    <w:r>
                      <w:rPr>
                        <w:rFonts w:ascii="Arial" w:hAnsi="Arial" w:cs="Arial"/>
                      </w:rPr>
                      <w:t>Healthcare Data Management &amp; Integrity</w:t>
                    </w:r>
                  </w:p>
                  <w:p w14:paraId="62A74B6F" w14:textId="77777777" w:rsidR="004C34BF" w:rsidRPr="00207EC3" w:rsidRDefault="004C34BF" w:rsidP="004C34BF">
                    <w:pPr>
                      <w:rPr>
                        <w:rFonts w:cs="Arial"/>
                        <w:color w:val="003889"/>
                        <w:sz w:val="14"/>
                        <w:szCs w:val="14"/>
                      </w:rPr>
                    </w:pPr>
                  </w:p>
                </w:txbxContent>
              </v:textbox>
              <w10:wrap type="square"/>
              <w10:anchorlock/>
            </v:shape>
          </w:pict>
        </mc:Fallback>
      </mc:AlternateContent>
    </w:r>
    <w:r w:rsidR="000526B8">
      <w:rPr>
        <w:noProof/>
      </w:rPr>
      <w:drawing>
        <wp:inline distT="0" distB="0" distL="0" distR="0" wp14:anchorId="52BEFBB9" wp14:editId="6B6D9AB2">
          <wp:extent cx="24257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SCRC-Letterhead-Logo-RGB-FINAL.png"/>
                  <pic:cNvPicPr/>
                </pic:nvPicPr>
                <pic:blipFill>
                  <a:blip r:embed="rId4">
                    <a:extLst>
                      <a:ext uri="{28A0092B-C50C-407E-A947-70E740481C1C}">
                        <a14:useLocalDpi xmlns:a14="http://schemas.microsoft.com/office/drawing/2010/main" val="0"/>
                      </a:ext>
                    </a:extLst>
                  </a:blip>
                  <a:stretch>
                    <a:fillRect/>
                  </a:stretch>
                </pic:blipFill>
                <pic:spPr>
                  <a:xfrm>
                    <a:off x="0" y="0"/>
                    <a:ext cx="2425700" cy="533400"/>
                  </a:xfrm>
                  <a:prstGeom prst="rect">
                    <a:avLst/>
                  </a:prstGeom>
                </pic:spPr>
              </pic:pic>
            </a:graphicData>
          </a:graphic>
        </wp:inline>
      </w:drawing>
    </w:r>
    <w:r w:rsidR="00D94EF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FF"/>
    <w:rsid w:val="000136CF"/>
    <w:rsid w:val="00025D65"/>
    <w:rsid w:val="000526B8"/>
    <w:rsid w:val="0005674D"/>
    <w:rsid w:val="0007695C"/>
    <w:rsid w:val="00084DE7"/>
    <w:rsid w:val="000A7379"/>
    <w:rsid w:val="000C4B4D"/>
    <w:rsid w:val="000D72C7"/>
    <w:rsid w:val="00112720"/>
    <w:rsid w:val="00137F8D"/>
    <w:rsid w:val="0016481C"/>
    <w:rsid w:val="001778C5"/>
    <w:rsid w:val="00186627"/>
    <w:rsid w:val="001A2CDD"/>
    <w:rsid w:val="001C07B0"/>
    <w:rsid w:val="001E2150"/>
    <w:rsid w:val="00207EC3"/>
    <w:rsid w:val="002821E2"/>
    <w:rsid w:val="002B12F3"/>
    <w:rsid w:val="002B5E63"/>
    <w:rsid w:val="002E7FC5"/>
    <w:rsid w:val="00311C16"/>
    <w:rsid w:val="00320A30"/>
    <w:rsid w:val="00323CBE"/>
    <w:rsid w:val="00334736"/>
    <w:rsid w:val="00336DA8"/>
    <w:rsid w:val="00350FA2"/>
    <w:rsid w:val="0039066C"/>
    <w:rsid w:val="00393A72"/>
    <w:rsid w:val="003A09DB"/>
    <w:rsid w:val="003C0779"/>
    <w:rsid w:val="003D11B0"/>
    <w:rsid w:val="004666B6"/>
    <w:rsid w:val="00473610"/>
    <w:rsid w:val="00476DA2"/>
    <w:rsid w:val="004A17B6"/>
    <w:rsid w:val="004C34BF"/>
    <w:rsid w:val="004F0C2B"/>
    <w:rsid w:val="005036F6"/>
    <w:rsid w:val="00515553"/>
    <w:rsid w:val="0051663C"/>
    <w:rsid w:val="00523503"/>
    <w:rsid w:val="005623A6"/>
    <w:rsid w:val="00577737"/>
    <w:rsid w:val="00586102"/>
    <w:rsid w:val="0059454B"/>
    <w:rsid w:val="005B09B9"/>
    <w:rsid w:val="005C21AD"/>
    <w:rsid w:val="005C578F"/>
    <w:rsid w:val="005E6EFF"/>
    <w:rsid w:val="005F1D98"/>
    <w:rsid w:val="00612135"/>
    <w:rsid w:val="00614026"/>
    <w:rsid w:val="00643D42"/>
    <w:rsid w:val="00682CD0"/>
    <w:rsid w:val="00695EFF"/>
    <w:rsid w:val="006A4328"/>
    <w:rsid w:val="006D041C"/>
    <w:rsid w:val="006D4A8B"/>
    <w:rsid w:val="006F340C"/>
    <w:rsid w:val="00726E78"/>
    <w:rsid w:val="00780633"/>
    <w:rsid w:val="0079223B"/>
    <w:rsid w:val="007A4226"/>
    <w:rsid w:val="007E1842"/>
    <w:rsid w:val="007E5891"/>
    <w:rsid w:val="007F3F15"/>
    <w:rsid w:val="0080097A"/>
    <w:rsid w:val="00821FCB"/>
    <w:rsid w:val="00844D07"/>
    <w:rsid w:val="00845F6B"/>
    <w:rsid w:val="00862143"/>
    <w:rsid w:val="008D7B99"/>
    <w:rsid w:val="008F5E15"/>
    <w:rsid w:val="00914212"/>
    <w:rsid w:val="009404A2"/>
    <w:rsid w:val="009A6F66"/>
    <w:rsid w:val="009C1DEF"/>
    <w:rsid w:val="009D4D37"/>
    <w:rsid w:val="009D6C38"/>
    <w:rsid w:val="009F0077"/>
    <w:rsid w:val="009F579C"/>
    <w:rsid w:val="00A12421"/>
    <w:rsid w:val="00A3288D"/>
    <w:rsid w:val="00A43D72"/>
    <w:rsid w:val="00A50892"/>
    <w:rsid w:val="00A56306"/>
    <w:rsid w:val="00A6581B"/>
    <w:rsid w:val="00A80F7A"/>
    <w:rsid w:val="00A93B6B"/>
    <w:rsid w:val="00AA11F8"/>
    <w:rsid w:val="00AE6052"/>
    <w:rsid w:val="00B10D42"/>
    <w:rsid w:val="00B34FC0"/>
    <w:rsid w:val="00B4264E"/>
    <w:rsid w:val="00B5519E"/>
    <w:rsid w:val="00B827C0"/>
    <w:rsid w:val="00B93DD5"/>
    <w:rsid w:val="00BC081F"/>
    <w:rsid w:val="00BE6B6B"/>
    <w:rsid w:val="00BF00BE"/>
    <w:rsid w:val="00C06A64"/>
    <w:rsid w:val="00C41690"/>
    <w:rsid w:val="00C547C0"/>
    <w:rsid w:val="00C637AB"/>
    <w:rsid w:val="00C650E9"/>
    <w:rsid w:val="00C654EC"/>
    <w:rsid w:val="00C94EE2"/>
    <w:rsid w:val="00CC54BC"/>
    <w:rsid w:val="00CE5B9F"/>
    <w:rsid w:val="00CF0136"/>
    <w:rsid w:val="00D21E76"/>
    <w:rsid w:val="00D22DA9"/>
    <w:rsid w:val="00D3030F"/>
    <w:rsid w:val="00D31CEB"/>
    <w:rsid w:val="00D3239A"/>
    <w:rsid w:val="00D34DCC"/>
    <w:rsid w:val="00D469BC"/>
    <w:rsid w:val="00D50206"/>
    <w:rsid w:val="00D67E89"/>
    <w:rsid w:val="00D94EFD"/>
    <w:rsid w:val="00DA5C7B"/>
    <w:rsid w:val="00DB3171"/>
    <w:rsid w:val="00DC4DC8"/>
    <w:rsid w:val="00DE1EFD"/>
    <w:rsid w:val="00E33E9D"/>
    <w:rsid w:val="00E607F7"/>
    <w:rsid w:val="00E9007D"/>
    <w:rsid w:val="00EC59E5"/>
    <w:rsid w:val="00ED1B4E"/>
    <w:rsid w:val="00F10658"/>
    <w:rsid w:val="00F20297"/>
    <w:rsid w:val="00F57D44"/>
    <w:rsid w:val="00F65EAF"/>
    <w:rsid w:val="00FA66C5"/>
    <w:rsid w:val="00FC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37A93"/>
  <w15:chartTrackingRefBased/>
  <w15:docId w15:val="{E9A5D3F0-B1B3-3346-AB87-75110089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rFonts w:cs="Arial"/>
      <w:noProof/>
      <w:szCs w:val="18"/>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rPr>
      <w:rFonts w:cs="Arial"/>
      <w:szCs w:val="18"/>
    </w:rPr>
  </w:style>
  <w:style w:type="paragraph" w:styleId="BalloonText">
    <w:name w:val="Balloon Text"/>
    <w:basedOn w:val="Normal"/>
    <w:link w:val="BalloonTextChar"/>
    <w:uiPriority w:val="99"/>
    <w:semiHidden/>
    <w:unhideWhenUsed/>
    <w:rsid w:val="0051663C"/>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226892">
      <w:bodyDiv w:val="1"/>
      <w:marLeft w:val="0"/>
      <w:marRight w:val="0"/>
      <w:marTop w:val="0"/>
      <w:marBottom w:val="0"/>
      <w:divBdr>
        <w:top w:val="none" w:sz="0" w:space="0" w:color="auto"/>
        <w:left w:val="none" w:sz="0" w:space="0" w:color="auto"/>
        <w:bottom w:val="none" w:sz="0" w:space="0" w:color="auto"/>
        <w:right w:val="none" w:sz="0" w:space="0" w:color="auto"/>
      </w:divBdr>
    </w:div>
    <w:div w:id="18237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227517-842A-4204-B38B-698C59218507}"/>
</file>

<file path=customXml/itemProps2.xml><?xml version="1.0" encoding="utf-8"?>
<ds:datastoreItem xmlns:ds="http://schemas.openxmlformats.org/officeDocument/2006/customXml" ds:itemID="{E82DB8F2-2BAF-4187-8CAE-65C30020FF4D}"/>
</file>

<file path=customXml/itemProps3.xml><?xml version="1.0" encoding="utf-8"?>
<ds:datastoreItem xmlns:ds="http://schemas.openxmlformats.org/officeDocument/2006/customXml" ds:itemID="{617BA8B7-3B8C-48D9-808D-009AC2D43092}"/>
</file>

<file path=customXml/itemProps4.xml><?xml version="1.0" encoding="utf-8"?>
<ds:datastoreItem xmlns:ds="http://schemas.openxmlformats.org/officeDocument/2006/customXml" ds:itemID="{699504B4-072D-4431-A97F-A9C345BF4937}"/>
</file>

<file path=docProps/app.xml><?xml version="1.0" encoding="utf-8"?>
<Properties xmlns="http://schemas.openxmlformats.org/officeDocument/2006/extended-properties" xmlns:vt="http://schemas.openxmlformats.org/officeDocument/2006/docPropsVTypes">
  <Template>Normal.dotm</Template>
  <TotalTime>16</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Lin</dc:creator>
  <cp:keywords/>
  <dc:description/>
  <cp:lastModifiedBy>Geoff Dougherty</cp:lastModifiedBy>
  <cp:revision>4</cp:revision>
  <cp:lastPrinted>2023-06-20T16:13:00Z</cp:lastPrinted>
  <dcterms:created xsi:type="dcterms:W3CDTF">2023-06-21T17:48:00Z</dcterms:created>
  <dcterms:modified xsi:type="dcterms:W3CDTF">2023-06-21T19:01:00Z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