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16415" w14:textId="53963660" w:rsidR="002E38A1" w:rsidRPr="002C6E5C" w:rsidRDefault="00D82A0B" w:rsidP="00844A30">
      <w:pPr>
        <w:spacing w:after="0"/>
        <w:rPr>
          <w:rFonts w:cstheme="majorHAnsi"/>
        </w:rPr>
      </w:pPr>
      <w:r w:rsidRPr="00844A30">
        <w:rPr>
          <w:rFonts w:asciiTheme="majorHAnsi" w:hAnsiTheme="majorHAnsi" w:cstheme="majorHAnsi"/>
          <w:color w:val="2E74B5" w:themeColor="accent1" w:themeShade="BF"/>
          <w:sz w:val="32"/>
          <w:szCs w:val="32"/>
        </w:rPr>
        <w:t>Care</w:t>
      </w:r>
      <w:r w:rsidR="005C7668">
        <w:rPr>
          <w:rFonts w:asciiTheme="majorHAnsi" w:hAnsiTheme="majorHAnsi" w:cstheme="majorHAnsi"/>
          <w:color w:val="2E74B5" w:themeColor="accent1" w:themeShade="BF"/>
          <w:sz w:val="32"/>
          <w:szCs w:val="32"/>
        </w:rPr>
        <w:t xml:space="preserve"> Transformation Initiative</w:t>
      </w:r>
      <w:r w:rsidRPr="00844A30">
        <w:rPr>
          <w:rFonts w:asciiTheme="majorHAnsi" w:hAnsiTheme="majorHAnsi" w:cstheme="majorHAnsi"/>
          <w:color w:val="2E74B5" w:themeColor="accent1" w:themeShade="BF"/>
          <w:sz w:val="32"/>
          <w:szCs w:val="32"/>
        </w:rPr>
        <w:t xml:space="preserve"> User’s Guide</w:t>
      </w:r>
    </w:p>
    <w:p w14:paraId="57F92742" w14:textId="4AE39CE3" w:rsidR="00D82A0B" w:rsidRDefault="00046BDB" w:rsidP="00D82A0B">
      <w:r>
        <w:t xml:space="preserve">18 </w:t>
      </w:r>
      <w:r w:rsidR="00733980">
        <w:t>November,</w:t>
      </w:r>
      <w:r w:rsidR="00733980" w:rsidDel="00733980">
        <w:t xml:space="preserve"> </w:t>
      </w:r>
      <w:r w:rsidR="005C1A07">
        <w:t>2019</w:t>
      </w:r>
      <w:r w:rsidR="0059441E">
        <w:t>, Version 14</w:t>
      </w:r>
      <w:bookmarkStart w:id="0" w:name="_GoBack"/>
      <w:bookmarkEnd w:id="0"/>
    </w:p>
    <w:sdt>
      <w:sdtPr>
        <w:rPr>
          <w:rFonts w:asciiTheme="minorHAnsi" w:eastAsiaTheme="minorHAnsi" w:hAnsiTheme="minorHAnsi" w:cstheme="minorBidi"/>
          <w:color w:val="auto"/>
          <w:sz w:val="22"/>
          <w:szCs w:val="22"/>
        </w:rPr>
        <w:id w:val="-1043828444"/>
        <w:docPartObj>
          <w:docPartGallery w:val="Table of Contents"/>
          <w:docPartUnique/>
        </w:docPartObj>
      </w:sdtPr>
      <w:sdtEndPr>
        <w:rPr>
          <w:b/>
          <w:bCs/>
          <w:noProof/>
        </w:rPr>
      </w:sdtEndPr>
      <w:sdtContent>
        <w:p w14:paraId="64324CA5" w14:textId="66069E87" w:rsidR="00305C9E" w:rsidRDefault="00305C9E">
          <w:pPr>
            <w:pStyle w:val="TOCHeading"/>
          </w:pPr>
          <w:r>
            <w:t>Contents</w:t>
          </w:r>
        </w:p>
        <w:p w14:paraId="441C597A" w14:textId="77777777" w:rsidR="0059441E" w:rsidRDefault="00305C9E">
          <w:pPr>
            <w:pStyle w:val="TOC2"/>
            <w:tabs>
              <w:tab w:val="right" w:leader="dot" w:pos="9350"/>
            </w:tabs>
            <w:rPr>
              <w:rFonts w:eastAsiaTheme="minorEastAsia"/>
              <w:noProof/>
            </w:rPr>
          </w:pPr>
          <w:r>
            <w:rPr>
              <w:b/>
              <w:bCs/>
              <w:noProof/>
            </w:rPr>
            <w:fldChar w:fldCharType="begin"/>
          </w:r>
          <w:r>
            <w:rPr>
              <w:b/>
              <w:bCs/>
              <w:noProof/>
            </w:rPr>
            <w:instrText xml:space="preserve"> TOC \o "1-4" \h \z \u </w:instrText>
          </w:r>
          <w:r>
            <w:rPr>
              <w:b/>
              <w:bCs/>
              <w:noProof/>
            </w:rPr>
            <w:fldChar w:fldCharType="separate"/>
          </w:r>
          <w:hyperlink w:anchor="_Toc24993073" w:history="1">
            <w:r w:rsidR="0059441E" w:rsidRPr="00A44EA6">
              <w:rPr>
                <w:rStyle w:val="Hyperlink"/>
                <w:noProof/>
              </w:rPr>
              <w:t>Introduction</w:t>
            </w:r>
            <w:r w:rsidR="0059441E">
              <w:rPr>
                <w:noProof/>
                <w:webHidden/>
              </w:rPr>
              <w:tab/>
            </w:r>
            <w:r w:rsidR="0059441E">
              <w:rPr>
                <w:noProof/>
                <w:webHidden/>
              </w:rPr>
              <w:fldChar w:fldCharType="begin"/>
            </w:r>
            <w:r w:rsidR="0059441E">
              <w:rPr>
                <w:noProof/>
                <w:webHidden/>
              </w:rPr>
              <w:instrText xml:space="preserve"> PAGEREF _Toc24993073 \h </w:instrText>
            </w:r>
            <w:r w:rsidR="0059441E">
              <w:rPr>
                <w:noProof/>
                <w:webHidden/>
              </w:rPr>
            </w:r>
            <w:r w:rsidR="0059441E">
              <w:rPr>
                <w:noProof/>
                <w:webHidden/>
              </w:rPr>
              <w:fldChar w:fldCharType="separate"/>
            </w:r>
            <w:r w:rsidR="0059441E">
              <w:rPr>
                <w:noProof/>
                <w:webHidden/>
              </w:rPr>
              <w:t>2</w:t>
            </w:r>
            <w:r w:rsidR="0059441E">
              <w:rPr>
                <w:noProof/>
                <w:webHidden/>
              </w:rPr>
              <w:fldChar w:fldCharType="end"/>
            </w:r>
          </w:hyperlink>
        </w:p>
        <w:p w14:paraId="0EA18446" w14:textId="77777777" w:rsidR="0059441E" w:rsidRDefault="0059441E">
          <w:pPr>
            <w:pStyle w:val="TOC3"/>
            <w:tabs>
              <w:tab w:val="right" w:leader="dot" w:pos="9350"/>
            </w:tabs>
            <w:rPr>
              <w:rFonts w:eastAsiaTheme="minorEastAsia"/>
              <w:noProof/>
            </w:rPr>
          </w:pPr>
          <w:hyperlink w:anchor="_Toc24993074" w:history="1">
            <w:r w:rsidRPr="00A44EA6">
              <w:rPr>
                <w:rStyle w:val="Hyperlink"/>
                <w:noProof/>
              </w:rPr>
              <w:t>MPA Framework and the Reconciliation Component</w:t>
            </w:r>
            <w:r>
              <w:rPr>
                <w:noProof/>
                <w:webHidden/>
              </w:rPr>
              <w:tab/>
            </w:r>
            <w:r>
              <w:rPr>
                <w:noProof/>
                <w:webHidden/>
              </w:rPr>
              <w:fldChar w:fldCharType="begin"/>
            </w:r>
            <w:r>
              <w:rPr>
                <w:noProof/>
                <w:webHidden/>
              </w:rPr>
              <w:instrText xml:space="preserve"> PAGEREF _Toc24993074 \h </w:instrText>
            </w:r>
            <w:r>
              <w:rPr>
                <w:noProof/>
                <w:webHidden/>
              </w:rPr>
            </w:r>
            <w:r>
              <w:rPr>
                <w:noProof/>
                <w:webHidden/>
              </w:rPr>
              <w:fldChar w:fldCharType="separate"/>
            </w:r>
            <w:r>
              <w:rPr>
                <w:noProof/>
                <w:webHidden/>
              </w:rPr>
              <w:t>2</w:t>
            </w:r>
            <w:r>
              <w:rPr>
                <w:noProof/>
                <w:webHidden/>
              </w:rPr>
              <w:fldChar w:fldCharType="end"/>
            </w:r>
          </w:hyperlink>
        </w:p>
        <w:p w14:paraId="655C3AEF" w14:textId="77777777" w:rsidR="0059441E" w:rsidRDefault="0059441E">
          <w:pPr>
            <w:pStyle w:val="TOC4"/>
            <w:tabs>
              <w:tab w:val="right" w:leader="dot" w:pos="9350"/>
            </w:tabs>
            <w:rPr>
              <w:rFonts w:eastAsiaTheme="minorEastAsia"/>
              <w:noProof/>
            </w:rPr>
          </w:pPr>
          <w:hyperlink w:anchor="_Toc24993075" w:history="1">
            <w:r w:rsidRPr="00A44EA6">
              <w:rPr>
                <w:rStyle w:val="Hyperlink"/>
                <w:noProof/>
              </w:rPr>
              <w:t>The Medicare Performance Adjustment (MPA)</w:t>
            </w:r>
            <w:r>
              <w:rPr>
                <w:noProof/>
                <w:webHidden/>
              </w:rPr>
              <w:tab/>
            </w:r>
            <w:r>
              <w:rPr>
                <w:noProof/>
                <w:webHidden/>
              </w:rPr>
              <w:fldChar w:fldCharType="begin"/>
            </w:r>
            <w:r>
              <w:rPr>
                <w:noProof/>
                <w:webHidden/>
              </w:rPr>
              <w:instrText xml:space="preserve"> PAGEREF _Toc24993075 \h </w:instrText>
            </w:r>
            <w:r>
              <w:rPr>
                <w:noProof/>
                <w:webHidden/>
              </w:rPr>
            </w:r>
            <w:r>
              <w:rPr>
                <w:noProof/>
                <w:webHidden/>
              </w:rPr>
              <w:fldChar w:fldCharType="separate"/>
            </w:r>
            <w:r>
              <w:rPr>
                <w:noProof/>
                <w:webHidden/>
              </w:rPr>
              <w:t>2</w:t>
            </w:r>
            <w:r>
              <w:rPr>
                <w:noProof/>
                <w:webHidden/>
              </w:rPr>
              <w:fldChar w:fldCharType="end"/>
            </w:r>
          </w:hyperlink>
        </w:p>
        <w:p w14:paraId="1E4DC3EF" w14:textId="77777777" w:rsidR="0059441E" w:rsidRDefault="0059441E">
          <w:pPr>
            <w:pStyle w:val="TOC4"/>
            <w:tabs>
              <w:tab w:val="right" w:leader="dot" w:pos="9350"/>
            </w:tabs>
            <w:rPr>
              <w:rFonts w:eastAsiaTheme="minorEastAsia"/>
              <w:noProof/>
            </w:rPr>
          </w:pPr>
          <w:hyperlink w:anchor="_Toc24993076" w:history="1">
            <w:r w:rsidRPr="00A44EA6">
              <w:rPr>
                <w:rStyle w:val="Hyperlink"/>
                <w:noProof/>
              </w:rPr>
              <w:t>Reconciliation Payments</w:t>
            </w:r>
            <w:r>
              <w:rPr>
                <w:noProof/>
                <w:webHidden/>
              </w:rPr>
              <w:tab/>
            </w:r>
            <w:r>
              <w:rPr>
                <w:noProof/>
                <w:webHidden/>
              </w:rPr>
              <w:fldChar w:fldCharType="begin"/>
            </w:r>
            <w:r>
              <w:rPr>
                <w:noProof/>
                <w:webHidden/>
              </w:rPr>
              <w:instrText xml:space="preserve"> PAGEREF _Toc24993076 \h </w:instrText>
            </w:r>
            <w:r>
              <w:rPr>
                <w:noProof/>
                <w:webHidden/>
              </w:rPr>
            </w:r>
            <w:r>
              <w:rPr>
                <w:noProof/>
                <w:webHidden/>
              </w:rPr>
              <w:fldChar w:fldCharType="separate"/>
            </w:r>
            <w:r>
              <w:rPr>
                <w:noProof/>
                <w:webHidden/>
              </w:rPr>
              <w:t>3</w:t>
            </w:r>
            <w:r>
              <w:rPr>
                <w:noProof/>
                <w:webHidden/>
              </w:rPr>
              <w:fldChar w:fldCharType="end"/>
            </w:r>
          </w:hyperlink>
        </w:p>
        <w:p w14:paraId="28626AE3" w14:textId="77777777" w:rsidR="0059441E" w:rsidRDefault="0059441E">
          <w:pPr>
            <w:pStyle w:val="TOC4"/>
            <w:tabs>
              <w:tab w:val="right" w:leader="dot" w:pos="9350"/>
            </w:tabs>
            <w:rPr>
              <w:rFonts w:eastAsiaTheme="minorEastAsia"/>
              <w:noProof/>
            </w:rPr>
          </w:pPr>
          <w:hyperlink w:anchor="_Toc24993077" w:history="1">
            <w:r w:rsidRPr="00A44EA6">
              <w:rPr>
                <w:rStyle w:val="Hyperlink"/>
                <w:noProof/>
              </w:rPr>
              <w:t>Statewide Offset</w:t>
            </w:r>
            <w:r>
              <w:rPr>
                <w:noProof/>
                <w:webHidden/>
              </w:rPr>
              <w:tab/>
            </w:r>
            <w:r>
              <w:rPr>
                <w:noProof/>
                <w:webHidden/>
              </w:rPr>
              <w:fldChar w:fldCharType="begin"/>
            </w:r>
            <w:r>
              <w:rPr>
                <w:noProof/>
                <w:webHidden/>
              </w:rPr>
              <w:instrText xml:space="preserve"> PAGEREF _Toc24993077 \h </w:instrText>
            </w:r>
            <w:r>
              <w:rPr>
                <w:noProof/>
                <w:webHidden/>
              </w:rPr>
            </w:r>
            <w:r>
              <w:rPr>
                <w:noProof/>
                <w:webHidden/>
              </w:rPr>
              <w:fldChar w:fldCharType="separate"/>
            </w:r>
            <w:r>
              <w:rPr>
                <w:noProof/>
                <w:webHidden/>
              </w:rPr>
              <w:t>3</w:t>
            </w:r>
            <w:r>
              <w:rPr>
                <w:noProof/>
                <w:webHidden/>
              </w:rPr>
              <w:fldChar w:fldCharType="end"/>
            </w:r>
          </w:hyperlink>
        </w:p>
        <w:p w14:paraId="62AB4FBE" w14:textId="77777777" w:rsidR="0059441E" w:rsidRDefault="0059441E">
          <w:pPr>
            <w:pStyle w:val="TOC4"/>
            <w:tabs>
              <w:tab w:val="right" w:leader="dot" w:pos="9350"/>
            </w:tabs>
            <w:rPr>
              <w:rFonts w:eastAsiaTheme="minorEastAsia"/>
              <w:noProof/>
            </w:rPr>
          </w:pPr>
          <w:hyperlink w:anchor="_Toc24993078" w:history="1">
            <w:r w:rsidRPr="00A44EA6">
              <w:rPr>
                <w:rStyle w:val="Hyperlink"/>
                <w:noProof/>
              </w:rPr>
              <w:t>Timing of Reconciliation Payments and Offsets</w:t>
            </w:r>
            <w:r>
              <w:rPr>
                <w:noProof/>
                <w:webHidden/>
              </w:rPr>
              <w:tab/>
            </w:r>
            <w:r>
              <w:rPr>
                <w:noProof/>
                <w:webHidden/>
              </w:rPr>
              <w:fldChar w:fldCharType="begin"/>
            </w:r>
            <w:r>
              <w:rPr>
                <w:noProof/>
                <w:webHidden/>
              </w:rPr>
              <w:instrText xml:space="preserve"> PAGEREF _Toc24993078 \h </w:instrText>
            </w:r>
            <w:r>
              <w:rPr>
                <w:noProof/>
                <w:webHidden/>
              </w:rPr>
            </w:r>
            <w:r>
              <w:rPr>
                <w:noProof/>
                <w:webHidden/>
              </w:rPr>
              <w:fldChar w:fldCharType="separate"/>
            </w:r>
            <w:r>
              <w:rPr>
                <w:noProof/>
                <w:webHidden/>
              </w:rPr>
              <w:t>3</w:t>
            </w:r>
            <w:r>
              <w:rPr>
                <w:noProof/>
                <w:webHidden/>
              </w:rPr>
              <w:fldChar w:fldCharType="end"/>
            </w:r>
          </w:hyperlink>
        </w:p>
        <w:p w14:paraId="611F1E96" w14:textId="77777777" w:rsidR="0059441E" w:rsidRDefault="0059441E">
          <w:pPr>
            <w:pStyle w:val="TOC2"/>
            <w:tabs>
              <w:tab w:val="right" w:leader="dot" w:pos="9350"/>
            </w:tabs>
            <w:rPr>
              <w:rFonts w:eastAsiaTheme="minorEastAsia"/>
              <w:noProof/>
            </w:rPr>
          </w:pPr>
          <w:hyperlink w:anchor="_Toc24993079" w:history="1">
            <w:r w:rsidRPr="00A44EA6">
              <w:rPr>
                <w:rStyle w:val="Hyperlink"/>
                <w:noProof/>
              </w:rPr>
              <w:t>Overview of the Methodology</w:t>
            </w:r>
            <w:r>
              <w:rPr>
                <w:noProof/>
                <w:webHidden/>
              </w:rPr>
              <w:tab/>
            </w:r>
            <w:r>
              <w:rPr>
                <w:noProof/>
                <w:webHidden/>
              </w:rPr>
              <w:fldChar w:fldCharType="begin"/>
            </w:r>
            <w:r>
              <w:rPr>
                <w:noProof/>
                <w:webHidden/>
              </w:rPr>
              <w:instrText xml:space="preserve"> PAGEREF _Toc24993079 \h </w:instrText>
            </w:r>
            <w:r>
              <w:rPr>
                <w:noProof/>
                <w:webHidden/>
              </w:rPr>
            </w:r>
            <w:r>
              <w:rPr>
                <w:noProof/>
                <w:webHidden/>
              </w:rPr>
              <w:fldChar w:fldCharType="separate"/>
            </w:r>
            <w:r>
              <w:rPr>
                <w:noProof/>
                <w:webHidden/>
              </w:rPr>
              <w:t>4</w:t>
            </w:r>
            <w:r>
              <w:rPr>
                <w:noProof/>
                <w:webHidden/>
              </w:rPr>
              <w:fldChar w:fldCharType="end"/>
            </w:r>
          </w:hyperlink>
        </w:p>
        <w:p w14:paraId="01E55649" w14:textId="77777777" w:rsidR="0059441E" w:rsidRDefault="0059441E">
          <w:pPr>
            <w:pStyle w:val="TOC3"/>
            <w:tabs>
              <w:tab w:val="right" w:leader="dot" w:pos="9350"/>
            </w:tabs>
            <w:rPr>
              <w:rFonts w:eastAsiaTheme="minorEastAsia"/>
              <w:noProof/>
            </w:rPr>
          </w:pPr>
          <w:hyperlink w:anchor="_Toc24993080" w:history="1">
            <w:r w:rsidRPr="00A44EA6">
              <w:rPr>
                <w:rStyle w:val="Hyperlink"/>
                <w:noProof/>
              </w:rPr>
              <w:t>Step 1: Identify the Population</w:t>
            </w:r>
            <w:r>
              <w:rPr>
                <w:noProof/>
                <w:webHidden/>
              </w:rPr>
              <w:tab/>
            </w:r>
            <w:r>
              <w:rPr>
                <w:noProof/>
                <w:webHidden/>
              </w:rPr>
              <w:fldChar w:fldCharType="begin"/>
            </w:r>
            <w:r>
              <w:rPr>
                <w:noProof/>
                <w:webHidden/>
              </w:rPr>
              <w:instrText xml:space="preserve"> PAGEREF _Toc24993080 \h </w:instrText>
            </w:r>
            <w:r>
              <w:rPr>
                <w:noProof/>
                <w:webHidden/>
              </w:rPr>
            </w:r>
            <w:r>
              <w:rPr>
                <w:noProof/>
                <w:webHidden/>
              </w:rPr>
              <w:fldChar w:fldCharType="separate"/>
            </w:r>
            <w:r>
              <w:rPr>
                <w:noProof/>
                <w:webHidden/>
              </w:rPr>
              <w:t>4</w:t>
            </w:r>
            <w:r>
              <w:rPr>
                <w:noProof/>
                <w:webHidden/>
              </w:rPr>
              <w:fldChar w:fldCharType="end"/>
            </w:r>
          </w:hyperlink>
        </w:p>
        <w:p w14:paraId="562BD050" w14:textId="77777777" w:rsidR="0059441E" w:rsidRDefault="0059441E">
          <w:pPr>
            <w:pStyle w:val="TOC4"/>
            <w:tabs>
              <w:tab w:val="right" w:leader="dot" w:pos="9350"/>
            </w:tabs>
            <w:rPr>
              <w:rFonts w:eastAsiaTheme="minorEastAsia"/>
              <w:noProof/>
            </w:rPr>
          </w:pPr>
          <w:hyperlink w:anchor="_Toc24993081" w:history="1">
            <w:r w:rsidRPr="00A44EA6">
              <w:rPr>
                <w:rStyle w:val="Hyperlink"/>
                <w:noProof/>
              </w:rPr>
              <w:t>Step 1.A: Determine the CTI Eligible Population</w:t>
            </w:r>
            <w:r>
              <w:rPr>
                <w:noProof/>
                <w:webHidden/>
              </w:rPr>
              <w:tab/>
            </w:r>
            <w:r>
              <w:rPr>
                <w:noProof/>
                <w:webHidden/>
              </w:rPr>
              <w:fldChar w:fldCharType="begin"/>
            </w:r>
            <w:r>
              <w:rPr>
                <w:noProof/>
                <w:webHidden/>
              </w:rPr>
              <w:instrText xml:space="preserve"> PAGEREF _Toc24993081 \h </w:instrText>
            </w:r>
            <w:r>
              <w:rPr>
                <w:noProof/>
                <w:webHidden/>
              </w:rPr>
            </w:r>
            <w:r>
              <w:rPr>
                <w:noProof/>
                <w:webHidden/>
              </w:rPr>
              <w:fldChar w:fldCharType="separate"/>
            </w:r>
            <w:r>
              <w:rPr>
                <w:noProof/>
                <w:webHidden/>
              </w:rPr>
              <w:t>5</w:t>
            </w:r>
            <w:r>
              <w:rPr>
                <w:noProof/>
                <w:webHidden/>
              </w:rPr>
              <w:fldChar w:fldCharType="end"/>
            </w:r>
          </w:hyperlink>
        </w:p>
        <w:p w14:paraId="69E363D4" w14:textId="77777777" w:rsidR="0059441E" w:rsidRDefault="0059441E">
          <w:pPr>
            <w:pStyle w:val="TOC4"/>
            <w:tabs>
              <w:tab w:val="right" w:leader="dot" w:pos="9350"/>
            </w:tabs>
            <w:rPr>
              <w:rFonts w:eastAsiaTheme="minorEastAsia"/>
              <w:noProof/>
            </w:rPr>
          </w:pPr>
          <w:hyperlink w:anchor="_Toc24993082" w:history="1">
            <w:r w:rsidRPr="00A44EA6">
              <w:rPr>
                <w:rStyle w:val="Hyperlink"/>
                <w:noProof/>
              </w:rPr>
              <w:t>Step 1.B: Identify Anchor Events</w:t>
            </w:r>
            <w:r>
              <w:rPr>
                <w:noProof/>
                <w:webHidden/>
              </w:rPr>
              <w:tab/>
            </w:r>
            <w:r>
              <w:rPr>
                <w:noProof/>
                <w:webHidden/>
              </w:rPr>
              <w:fldChar w:fldCharType="begin"/>
            </w:r>
            <w:r>
              <w:rPr>
                <w:noProof/>
                <w:webHidden/>
              </w:rPr>
              <w:instrText xml:space="preserve"> PAGEREF _Toc24993082 \h </w:instrText>
            </w:r>
            <w:r>
              <w:rPr>
                <w:noProof/>
                <w:webHidden/>
              </w:rPr>
            </w:r>
            <w:r>
              <w:rPr>
                <w:noProof/>
                <w:webHidden/>
              </w:rPr>
              <w:fldChar w:fldCharType="separate"/>
            </w:r>
            <w:r>
              <w:rPr>
                <w:noProof/>
                <w:webHidden/>
              </w:rPr>
              <w:t>5</w:t>
            </w:r>
            <w:r>
              <w:rPr>
                <w:noProof/>
                <w:webHidden/>
              </w:rPr>
              <w:fldChar w:fldCharType="end"/>
            </w:r>
          </w:hyperlink>
        </w:p>
        <w:p w14:paraId="5379B9E5" w14:textId="77777777" w:rsidR="0059441E" w:rsidRDefault="0059441E">
          <w:pPr>
            <w:pStyle w:val="TOC3"/>
            <w:tabs>
              <w:tab w:val="right" w:leader="dot" w:pos="9350"/>
            </w:tabs>
            <w:rPr>
              <w:rFonts w:eastAsiaTheme="minorEastAsia"/>
              <w:noProof/>
            </w:rPr>
          </w:pPr>
          <w:hyperlink w:anchor="_Toc24993083" w:history="1">
            <w:r w:rsidRPr="00A44EA6">
              <w:rPr>
                <w:rStyle w:val="Hyperlink"/>
                <w:noProof/>
              </w:rPr>
              <w:t>Step 2: Construct the CTI Episode</w:t>
            </w:r>
            <w:r>
              <w:rPr>
                <w:noProof/>
                <w:webHidden/>
              </w:rPr>
              <w:tab/>
            </w:r>
            <w:r>
              <w:rPr>
                <w:noProof/>
                <w:webHidden/>
              </w:rPr>
              <w:fldChar w:fldCharType="begin"/>
            </w:r>
            <w:r>
              <w:rPr>
                <w:noProof/>
                <w:webHidden/>
              </w:rPr>
              <w:instrText xml:space="preserve"> PAGEREF _Toc24993083 \h </w:instrText>
            </w:r>
            <w:r>
              <w:rPr>
                <w:noProof/>
                <w:webHidden/>
              </w:rPr>
            </w:r>
            <w:r>
              <w:rPr>
                <w:noProof/>
                <w:webHidden/>
              </w:rPr>
              <w:fldChar w:fldCharType="separate"/>
            </w:r>
            <w:r>
              <w:rPr>
                <w:noProof/>
                <w:webHidden/>
              </w:rPr>
              <w:t>5</w:t>
            </w:r>
            <w:r>
              <w:rPr>
                <w:noProof/>
                <w:webHidden/>
              </w:rPr>
              <w:fldChar w:fldCharType="end"/>
            </w:r>
          </w:hyperlink>
        </w:p>
        <w:p w14:paraId="7FDD6605" w14:textId="77777777" w:rsidR="0059441E" w:rsidRDefault="0059441E">
          <w:pPr>
            <w:pStyle w:val="TOC4"/>
            <w:tabs>
              <w:tab w:val="right" w:leader="dot" w:pos="9350"/>
            </w:tabs>
            <w:rPr>
              <w:rFonts w:eastAsiaTheme="minorEastAsia"/>
              <w:noProof/>
            </w:rPr>
          </w:pPr>
          <w:hyperlink w:anchor="_Toc24993084" w:history="1">
            <w:r w:rsidRPr="00A44EA6">
              <w:rPr>
                <w:rStyle w:val="Hyperlink"/>
                <w:noProof/>
              </w:rPr>
              <w:t>Step 2.A: Construct the Episode Window</w:t>
            </w:r>
            <w:r>
              <w:rPr>
                <w:noProof/>
                <w:webHidden/>
              </w:rPr>
              <w:tab/>
            </w:r>
            <w:r>
              <w:rPr>
                <w:noProof/>
                <w:webHidden/>
              </w:rPr>
              <w:fldChar w:fldCharType="begin"/>
            </w:r>
            <w:r>
              <w:rPr>
                <w:noProof/>
                <w:webHidden/>
              </w:rPr>
              <w:instrText xml:space="preserve"> PAGEREF _Toc24993084 \h </w:instrText>
            </w:r>
            <w:r>
              <w:rPr>
                <w:noProof/>
                <w:webHidden/>
              </w:rPr>
            </w:r>
            <w:r>
              <w:rPr>
                <w:noProof/>
                <w:webHidden/>
              </w:rPr>
              <w:fldChar w:fldCharType="separate"/>
            </w:r>
            <w:r>
              <w:rPr>
                <w:noProof/>
                <w:webHidden/>
              </w:rPr>
              <w:t>5</w:t>
            </w:r>
            <w:r>
              <w:rPr>
                <w:noProof/>
                <w:webHidden/>
              </w:rPr>
              <w:fldChar w:fldCharType="end"/>
            </w:r>
          </w:hyperlink>
        </w:p>
        <w:p w14:paraId="6B9FDA3B" w14:textId="77777777" w:rsidR="0059441E" w:rsidRDefault="0059441E">
          <w:pPr>
            <w:pStyle w:val="TOC4"/>
            <w:tabs>
              <w:tab w:val="right" w:leader="dot" w:pos="9350"/>
            </w:tabs>
            <w:rPr>
              <w:rFonts w:eastAsiaTheme="minorEastAsia"/>
              <w:noProof/>
            </w:rPr>
          </w:pPr>
          <w:hyperlink w:anchor="_Toc24993085" w:history="1">
            <w:r w:rsidRPr="00A44EA6">
              <w:rPr>
                <w:rStyle w:val="Hyperlink"/>
                <w:noProof/>
              </w:rPr>
              <w:t>Step 2.B: Exclude Overlapping Episodes</w:t>
            </w:r>
            <w:r>
              <w:rPr>
                <w:noProof/>
                <w:webHidden/>
              </w:rPr>
              <w:tab/>
            </w:r>
            <w:r>
              <w:rPr>
                <w:noProof/>
                <w:webHidden/>
              </w:rPr>
              <w:fldChar w:fldCharType="begin"/>
            </w:r>
            <w:r>
              <w:rPr>
                <w:noProof/>
                <w:webHidden/>
              </w:rPr>
              <w:instrText xml:space="preserve"> PAGEREF _Toc24993085 \h </w:instrText>
            </w:r>
            <w:r>
              <w:rPr>
                <w:noProof/>
                <w:webHidden/>
              </w:rPr>
            </w:r>
            <w:r>
              <w:rPr>
                <w:noProof/>
                <w:webHidden/>
              </w:rPr>
              <w:fldChar w:fldCharType="separate"/>
            </w:r>
            <w:r>
              <w:rPr>
                <w:noProof/>
                <w:webHidden/>
              </w:rPr>
              <w:t>6</w:t>
            </w:r>
            <w:r>
              <w:rPr>
                <w:noProof/>
                <w:webHidden/>
              </w:rPr>
              <w:fldChar w:fldCharType="end"/>
            </w:r>
          </w:hyperlink>
        </w:p>
        <w:p w14:paraId="6E83F28E" w14:textId="77777777" w:rsidR="0059441E" w:rsidRDefault="0059441E">
          <w:pPr>
            <w:pStyle w:val="TOC4"/>
            <w:tabs>
              <w:tab w:val="right" w:leader="dot" w:pos="9350"/>
            </w:tabs>
            <w:rPr>
              <w:rFonts w:eastAsiaTheme="minorEastAsia"/>
              <w:noProof/>
            </w:rPr>
          </w:pPr>
          <w:hyperlink w:anchor="_Toc24993086" w:history="1">
            <w:r w:rsidRPr="00A44EA6">
              <w:rPr>
                <w:rStyle w:val="Hyperlink"/>
                <w:noProof/>
              </w:rPr>
              <w:t>Step 2.C: Adjust Certain Claim Types</w:t>
            </w:r>
            <w:r>
              <w:rPr>
                <w:noProof/>
                <w:webHidden/>
              </w:rPr>
              <w:tab/>
            </w:r>
            <w:r>
              <w:rPr>
                <w:noProof/>
                <w:webHidden/>
              </w:rPr>
              <w:fldChar w:fldCharType="begin"/>
            </w:r>
            <w:r>
              <w:rPr>
                <w:noProof/>
                <w:webHidden/>
              </w:rPr>
              <w:instrText xml:space="preserve"> PAGEREF _Toc24993086 \h </w:instrText>
            </w:r>
            <w:r>
              <w:rPr>
                <w:noProof/>
                <w:webHidden/>
              </w:rPr>
            </w:r>
            <w:r>
              <w:rPr>
                <w:noProof/>
                <w:webHidden/>
              </w:rPr>
              <w:fldChar w:fldCharType="separate"/>
            </w:r>
            <w:r>
              <w:rPr>
                <w:noProof/>
                <w:webHidden/>
              </w:rPr>
              <w:t>7</w:t>
            </w:r>
            <w:r>
              <w:rPr>
                <w:noProof/>
                <w:webHidden/>
              </w:rPr>
              <w:fldChar w:fldCharType="end"/>
            </w:r>
          </w:hyperlink>
        </w:p>
        <w:p w14:paraId="56FD2BCB" w14:textId="77777777" w:rsidR="0059441E" w:rsidRDefault="0059441E">
          <w:pPr>
            <w:pStyle w:val="TOC4"/>
            <w:tabs>
              <w:tab w:val="right" w:leader="dot" w:pos="9350"/>
            </w:tabs>
            <w:rPr>
              <w:rFonts w:eastAsiaTheme="minorEastAsia"/>
              <w:noProof/>
            </w:rPr>
          </w:pPr>
          <w:hyperlink w:anchor="_Toc24993087" w:history="1">
            <w:r w:rsidRPr="00A44EA6">
              <w:rPr>
                <w:rStyle w:val="Hyperlink"/>
                <w:noProof/>
              </w:rPr>
              <w:t>Step 2.D: Aggregate Episode Costs and Winsorize</w:t>
            </w:r>
            <w:r>
              <w:rPr>
                <w:noProof/>
                <w:webHidden/>
              </w:rPr>
              <w:tab/>
            </w:r>
            <w:r>
              <w:rPr>
                <w:noProof/>
                <w:webHidden/>
              </w:rPr>
              <w:fldChar w:fldCharType="begin"/>
            </w:r>
            <w:r>
              <w:rPr>
                <w:noProof/>
                <w:webHidden/>
              </w:rPr>
              <w:instrText xml:space="preserve"> PAGEREF _Toc24993087 \h </w:instrText>
            </w:r>
            <w:r>
              <w:rPr>
                <w:noProof/>
                <w:webHidden/>
              </w:rPr>
            </w:r>
            <w:r>
              <w:rPr>
                <w:noProof/>
                <w:webHidden/>
              </w:rPr>
              <w:fldChar w:fldCharType="separate"/>
            </w:r>
            <w:r>
              <w:rPr>
                <w:noProof/>
                <w:webHidden/>
              </w:rPr>
              <w:t>7</w:t>
            </w:r>
            <w:r>
              <w:rPr>
                <w:noProof/>
                <w:webHidden/>
              </w:rPr>
              <w:fldChar w:fldCharType="end"/>
            </w:r>
          </w:hyperlink>
        </w:p>
        <w:p w14:paraId="4985EE7A" w14:textId="77777777" w:rsidR="0059441E" w:rsidRDefault="0059441E">
          <w:pPr>
            <w:pStyle w:val="TOC3"/>
            <w:tabs>
              <w:tab w:val="right" w:leader="dot" w:pos="9350"/>
            </w:tabs>
            <w:rPr>
              <w:rFonts w:eastAsiaTheme="minorEastAsia"/>
              <w:noProof/>
            </w:rPr>
          </w:pPr>
          <w:hyperlink w:anchor="_Toc24993088" w:history="1">
            <w:r w:rsidRPr="00A44EA6">
              <w:rPr>
                <w:rStyle w:val="Hyperlink"/>
                <w:noProof/>
              </w:rPr>
              <w:t>Step 3: Calculate a Target Price</w:t>
            </w:r>
            <w:r>
              <w:rPr>
                <w:noProof/>
                <w:webHidden/>
              </w:rPr>
              <w:tab/>
            </w:r>
            <w:r>
              <w:rPr>
                <w:noProof/>
                <w:webHidden/>
              </w:rPr>
              <w:fldChar w:fldCharType="begin"/>
            </w:r>
            <w:r>
              <w:rPr>
                <w:noProof/>
                <w:webHidden/>
              </w:rPr>
              <w:instrText xml:space="preserve"> PAGEREF _Toc24993088 \h </w:instrText>
            </w:r>
            <w:r>
              <w:rPr>
                <w:noProof/>
                <w:webHidden/>
              </w:rPr>
            </w:r>
            <w:r>
              <w:rPr>
                <w:noProof/>
                <w:webHidden/>
              </w:rPr>
              <w:fldChar w:fldCharType="separate"/>
            </w:r>
            <w:r>
              <w:rPr>
                <w:noProof/>
                <w:webHidden/>
              </w:rPr>
              <w:t>8</w:t>
            </w:r>
            <w:r>
              <w:rPr>
                <w:noProof/>
                <w:webHidden/>
              </w:rPr>
              <w:fldChar w:fldCharType="end"/>
            </w:r>
          </w:hyperlink>
        </w:p>
        <w:p w14:paraId="321A8F18" w14:textId="77777777" w:rsidR="0059441E" w:rsidRDefault="0059441E">
          <w:pPr>
            <w:pStyle w:val="TOC4"/>
            <w:tabs>
              <w:tab w:val="right" w:leader="dot" w:pos="9350"/>
            </w:tabs>
            <w:rPr>
              <w:rFonts w:eastAsiaTheme="minorEastAsia"/>
              <w:noProof/>
            </w:rPr>
          </w:pPr>
          <w:hyperlink w:anchor="_Toc24993089" w:history="1">
            <w:r w:rsidRPr="00A44EA6">
              <w:rPr>
                <w:rStyle w:val="Hyperlink"/>
                <w:noProof/>
              </w:rPr>
              <w:t>Step 3.A: Update Factor Calculation</w:t>
            </w:r>
            <w:r>
              <w:rPr>
                <w:noProof/>
                <w:webHidden/>
              </w:rPr>
              <w:tab/>
            </w:r>
            <w:r>
              <w:rPr>
                <w:noProof/>
                <w:webHidden/>
              </w:rPr>
              <w:fldChar w:fldCharType="begin"/>
            </w:r>
            <w:r>
              <w:rPr>
                <w:noProof/>
                <w:webHidden/>
              </w:rPr>
              <w:instrText xml:space="preserve"> PAGEREF _Toc24993089 \h </w:instrText>
            </w:r>
            <w:r>
              <w:rPr>
                <w:noProof/>
                <w:webHidden/>
              </w:rPr>
            </w:r>
            <w:r>
              <w:rPr>
                <w:noProof/>
                <w:webHidden/>
              </w:rPr>
              <w:fldChar w:fldCharType="separate"/>
            </w:r>
            <w:r>
              <w:rPr>
                <w:noProof/>
                <w:webHidden/>
              </w:rPr>
              <w:t>9</w:t>
            </w:r>
            <w:r>
              <w:rPr>
                <w:noProof/>
                <w:webHidden/>
              </w:rPr>
              <w:fldChar w:fldCharType="end"/>
            </w:r>
          </w:hyperlink>
        </w:p>
        <w:p w14:paraId="3FF05E37" w14:textId="77777777" w:rsidR="0059441E" w:rsidRDefault="0059441E">
          <w:pPr>
            <w:pStyle w:val="TOC4"/>
            <w:tabs>
              <w:tab w:val="right" w:leader="dot" w:pos="9350"/>
            </w:tabs>
            <w:rPr>
              <w:rFonts w:eastAsiaTheme="minorEastAsia"/>
              <w:noProof/>
            </w:rPr>
          </w:pPr>
          <w:hyperlink w:anchor="_Toc24993090" w:history="1">
            <w:r w:rsidRPr="00A44EA6">
              <w:rPr>
                <w:rStyle w:val="Hyperlink"/>
                <w:noProof/>
              </w:rPr>
              <w:t>Step 3.B: Calculate Statewide Anchor Factors</w:t>
            </w:r>
            <w:r>
              <w:rPr>
                <w:noProof/>
                <w:webHidden/>
              </w:rPr>
              <w:tab/>
            </w:r>
            <w:r>
              <w:rPr>
                <w:noProof/>
                <w:webHidden/>
              </w:rPr>
              <w:fldChar w:fldCharType="begin"/>
            </w:r>
            <w:r>
              <w:rPr>
                <w:noProof/>
                <w:webHidden/>
              </w:rPr>
              <w:instrText xml:space="preserve"> PAGEREF _Toc24993090 \h </w:instrText>
            </w:r>
            <w:r>
              <w:rPr>
                <w:noProof/>
                <w:webHidden/>
              </w:rPr>
            </w:r>
            <w:r>
              <w:rPr>
                <w:noProof/>
                <w:webHidden/>
              </w:rPr>
              <w:fldChar w:fldCharType="separate"/>
            </w:r>
            <w:r>
              <w:rPr>
                <w:noProof/>
                <w:webHidden/>
              </w:rPr>
              <w:t>10</w:t>
            </w:r>
            <w:r>
              <w:rPr>
                <w:noProof/>
                <w:webHidden/>
              </w:rPr>
              <w:fldChar w:fldCharType="end"/>
            </w:r>
          </w:hyperlink>
        </w:p>
        <w:p w14:paraId="035B3D4D" w14:textId="77777777" w:rsidR="0059441E" w:rsidRDefault="0059441E">
          <w:pPr>
            <w:pStyle w:val="TOC4"/>
            <w:tabs>
              <w:tab w:val="right" w:leader="dot" w:pos="9350"/>
            </w:tabs>
            <w:rPr>
              <w:rFonts w:eastAsiaTheme="minorEastAsia"/>
              <w:noProof/>
            </w:rPr>
          </w:pPr>
          <w:hyperlink w:anchor="_Toc24993091" w:history="1">
            <w:r w:rsidRPr="00A44EA6">
              <w:rPr>
                <w:rStyle w:val="Hyperlink"/>
                <w:noProof/>
              </w:rPr>
              <w:t>Step 3.C: Calculate CTI Target Prices</w:t>
            </w:r>
            <w:r>
              <w:rPr>
                <w:noProof/>
                <w:webHidden/>
              </w:rPr>
              <w:tab/>
            </w:r>
            <w:r>
              <w:rPr>
                <w:noProof/>
                <w:webHidden/>
              </w:rPr>
              <w:fldChar w:fldCharType="begin"/>
            </w:r>
            <w:r>
              <w:rPr>
                <w:noProof/>
                <w:webHidden/>
              </w:rPr>
              <w:instrText xml:space="preserve"> PAGEREF _Toc24993091 \h </w:instrText>
            </w:r>
            <w:r>
              <w:rPr>
                <w:noProof/>
                <w:webHidden/>
              </w:rPr>
            </w:r>
            <w:r>
              <w:rPr>
                <w:noProof/>
                <w:webHidden/>
              </w:rPr>
              <w:fldChar w:fldCharType="separate"/>
            </w:r>
            <w:r>
              <w:rPr>
                <w:noProof/>
                <w:webHidden/>
              </w:rPr>
              <w:t>12</w:t>
            </w:r>
            <w:r>
              <w:rPr>
                <w:noProof/>
                <w:webHidden/>
              </w:rPr>
              <w:fldChar w:fldCharType="end"/>
            </w:r>
          </w:hyperlink>
        </w:p>
        <w:p w14:paraId="5E4B53DD" w14:textId="77777777" w:rsidR="0059441E" w:rsidRDefault="0059441E">
          <w:pPr>
            <w:pStyle w:val="TOC3"/>
            <w:tabs>
              <w:tab w:val="right" w:leader="dot" w:pos="9350"/>
            </w:tabs>
            <w:rPr>
              <w:rFonts w:eastAsiaTheme="minorEastAsia"/>
              <w:noProof/>
            </w:rPr>
          </w:pPr>
          <w:hyperlink w:anchor="_Toc24993092" w:history="1">
            <w:r w:rsidRPr="00A44EA6">
              <w:rPr>
                <w:rStyle w:val="Hyperlink"/>
                <w:noProof/>
              </w:rPr>
              <w:t>Step 4: Calculation of the Reconciliation Payment</w:t>
            </w:r>
            <w:r>
              <w:rPr>
                <w:noProof/>
                <w:webHidden/>
              </w:rPr>
              <w:tab/>
            </w:r>
            <w:r>
              <w:rPr>
                <w:noProof/>
                <w:webHidden/>
              </w:rPr>
              <w:fldChar w:fldCharType="begin"/>
            </w:r>
            <w:r>
              <w:rPr>
                <w:noProof/>
                <w:webHidden/>
              </w:rPr>
              <w:instrText xml:space="preserve"> PAGEREF _Toc24993092 \h </w:instrText>
            </w:r>
            <w:r>
              <w:rPr>
                <w:noProof/>
                <w:webHidden/>
              </w:rPr>
            </w:r>
            <w:r>
              <w:rPr>
                <w:noProof/>
                <w:webHidden/>
              </w:rPr>
              <w:fldChar w:fldCharType="separate"/>
            </w:r>
            <w:r>
              <w:rPr>
                <w:noProof/>
                <w:webHidden/>
              </w:rPr>
              <w:t>12</w:t>
            </w:r>
            <w:r>
              <w:rPr>
                <w:noProof/>
                <w:webHidden/>
              </w:rPr>
              <w:fldChar w:fldCharType="end"/>
            </w:r>
          </w:hyperlink>
        </w:p>
        <w:p w14:paraId="0ADD3B87" w14:textId="77777777" w:rsidR="0059441E" w:rsidRDefault="0059441E">
          <w:pPr>
            <w:pStyle w:val="TOC4"/>
            <w:tabs>
              <w:tab w:val="right" w:leader="dot" w:pos="9350"/>
            </w:tabs>
            <w:rPr>
              <w:rFonts w:eastAsiaTheme="minorEastAsia"/>
              <w:noProof/>
            </w:rPr>
          </w:pPr>
          <w:hyperlink w:anchor="_Toc24993093" w:history="1">
            <w:r w:rsidRPr="00A44EA6">
              <w:rPr>
                <w:rStyle w:val="Hyperlink"/>
                <w:noProof/>
              </w:rPr>
              <w:t>Step 4.A: Standardize Regulated Hospital Costs</w:t>
            </w:r>
            <w:r>
              <w:rPr>
                <w:noProof/>
                <w:webHidden/>
              </w:rPr>
              <w:tab/>
            </w:r>
            <w:r>
              <w:rPr>
                <w:noProof/>
                <w:webHidden/>
              </w:rPr>
              <w:fldChar w:fldCharType="begin"/>
            </w:r>
            <w:r>
              <w:rPr>
                <w:noProof/>
                <w:webHidden/>
              </w:rPr>
              <w:instrText xml:space="preserve"> PAGEREF _Toc24993093 \h </w:instrText>
            </w:r>
            <w:r>
              <w:rPr>
                <w:noProof/>
                <w:webHidden/>
              </w:rPr>
            </w:r>
            <w:r>
              <w:rPr>
                <w:noProof/>
                <w:webHidden/>
              </w:rPr>
              <w:fldChar w:fldCharType="separate"/>
            </w:r>
            <w:r>
              <w:rPr>
                <w:noProof/>
                <w:webHidden/>
              </w:rPr>
              <w:t>13</w:t>
            </w:r>
            <w:r>
              <w:rPr>
                <w:noProof/>
                <w:webHidden/>
              </w:rPr>
              <w:fldChar w:fldCharType="end"/>
            </w:r>
          </w:hyperlink>
        </w:p>
        <w:p w14:paraId="64414F48" w14:textId="77777777" w:rsidR="0059441E" w:rsidRDefault="0059441E">
          <w:pPr>
            <w:pStyle w:val="TOC4"/>
            <w:tabs>
              <w:tab w:val="right" w:leader="dot" w:pos="9350"/>
            </w:tabs>
            <w:rPr>
              <w:rFonts w:eastAsiaTheme="minorEastAsia"/>
              <w:noProof/>
            </w:rPr>
          </w:pPr>
          <w:hyperlink w:anchor="_Toc24993094" w:history="1">
            <w:r w:rsidRPr="00A44EA6">
              <w:rPr>
                <w:rStyle w:val="Hyperlink"/>
                <w:noProof/>
              </w:rPr>
              <w:t>Step 4.B: Risk-Adjust Performance Period Episodes</w:t>
            </w:r>
            <w:r>
              <w:rPr>
                <w:noProof/>
                <w:webHidden/>
              </w:rPr>
              <w:tab/>
            </w:r>
            <w:r>
              <w:rPr>
                <w:noProof/>
                <w:webHidden/>
              </w:rPr>
              <w:fldChar w:fldCharType="begin"/>
            </w:r>
            <w:r>
              <w:rPr>
                <w:noProof/>
                <w:webHidden/>
              </w:rPr>
              <w:instrText xml:space="preserve"> PAGEREF _Toc24993094 \h </w:instrText>
            </w:r>
            <w:r>
              <w:rPr>
                <w:noProof/>
                <w:webHidden/>
              </w:rPr>
            </w:r>
            <w:r>
              <w:rPr>
                <w:noProof/>
                <w:webHidden/>
              </w:rPr>
              <w:fldChar w:fldCharType="separate"/>
            </w:r>
            <w:r>
              <w:rPr>
                <w:noProof/>
                <w:webHidden/>
              </w:rPr>
              <w:t>13</w:t>
            </w:r>
            <w:r>
              <w:rPr>
                <w:noProof/>
                <w:webHidden/>
              </w:rPr>
              <w:fldChar w:fldCharType="end"/>
            </w:r>
          </w:hyperlink>
        </w:p>
        <w:p w14:paraId="388B6190" w14:textId="77777777" w:rsidR="0059441E" w:rsidRDefault="0059441E">
          <w:pPr>
            <w:pStyle w:val="TOC4"/>
            <w:tabs>
              <w:tab w:val="right" w:leader="dot" w:pos="9350"/>
            </w:tabs>
            <w:rPr>
              <w:rFonts w:eastAsiaTheme="minorEastAsia"/>
              <w:noProof/>
            </w:rPr>
          </w:pPr>
          <w:hyperlink w:anchor="_Toc24993095" w:history="1">
            <w:r w:rsidRPr="00A44EA6">
              <w:rPr>
                <w:rStyle w:val="Hyperlink"/>
                <w:noProof/>
              </w:rPr>
              <w:t>Step 4.C: Calculate the Per Episode Savings Amount</w:t>
            </w:r>
            <w:r>
              <w:rPr>
                <w:noProof/>
                <w:webHidden/>
              </w:rPr>
              <w:tab/>
            </w:r>
            <w:r>
              <w:rPr>
                <w:noProof/>
                <w:webHidden/>
              </w:rPr>
              <w:fldChar w:fldCharType="begin"/>
            </w:r>
            <w:r>
              <w:rPr>
                <w:noProof/>
                <w:webHidden/>
              </w:rPr>
              <w:instrText xml:space="preserve"> PAGEREF _Toc24993095 \h </w:instrText>
            </w:r>
            <w:r>
              <w:rPr>
                <w:noProof/>
                <w:webHidden/>
              </w:rPr>
            </w:r>
            <w:r>
              <w:rPr>
                <w:noProof/>
                <w:webHidden/>
              </w:rPr>
              <w:fldChar w:fldCharType="separate"/>
            </w:r>
            <w:r>
              <w:rPr>
                <w:noProof/>
                <w:webHidden/>
              </w:rPr>
              <w:t>13</w:t>
            </w:r>
            <w:r>
              <w:rPr>
                <w:noProof/>
                <w:webHidden/>
              </w:rPr>
              <w:fldChar w:fldCharType="end"/>
            </w:r>
          </w:hyperlink>
        </w:p>
        <w:p w14:paraId="76AD376D" w14:textId="07DA0895" w:rsidR="00CA4F88" w:rsidRDefault="00305C9E">
          <w:r>
            <w:rPr>
              <w:b/>
              <w:bCs/>
              <w:noProof/>
            </w:rPr>
            <w:fldChar w:fldCharType="end"/>
          </w:r>
        </w:p>
      </w:sdtContent>
    </w:sdt>
    <w:p w14:paraId="4C9FB3A0" w14:textId="77777777" w:rsidR="007E7D94" w:rsidRDefault="007E7D94">
      <w:pPr>
        <w:rPr>
          <w:rFonts w:asciiTheme="majorHAnsi" w:eastAsiaTheme="majorEastAsia" w:hAnsiTheme="majorHAnsi" w:cstheme="majorBidi"/>
          <w:color w:val="2E74B5" w:themeColor="accent1" w:themeShade="BF"/>
          <w:sz w:val="26"/>
          <w:szCs w:val="26"/>
        </w:rPr>
      </w:pPr>
      <w:r>
        <w:br w:type="page"/>
      </w:r>
    </w:p>
    <w:p w14:paraId="0C640092" w14:textId="6CFCF841" w:rsidR="00D82A0B" w:rsidRDefault="000A033E" w:rsidP="00D82A0B">
      <w:pPr>
        <w:pStyle w:val="Heading2"/>
      </w:pPr>
      <w:bookmarkStart w:id="1" w:name="_Toc24993073"/>
      <w:r>
        <w:lastRenderedPageBreak/>
        <w:t>Introduction</w:t>
      </w:r>
      <w:bookmarkEnd w:id="1"/>
    </w:p>
    <w:p w14:paraId="28A50614" w14:textId="5683F26D" w:rsidR="000A033E" w:rsidRDefault="000A033E" w:rsidP="000A033E">
      <w:r>
        <w:t xml:space="preserve">This document describes the specifications and methods used for episode construction, </w:t>
      </w:r>
      <w:r w:rsidR="00D2656E">
        <w:t>target prices</w:t>
      </w:r>
      <w:r>
        <w:t xml:space="preserve">, and reconciliation payment determinations for Program Year 1 of the Care Transformation Initiatives (CTI) policy, starting July 2020. While this document contains some references to future program years, specifications embedded will only apply to CTI policy within the initial </w:t>
      </w:r>
      <w:r w:rsidR="00AB617A">
        <w:t>Performance Period</w:t>
      </w:r>
      <w:r w:rsidR="004A1635">
        <w:t xml:space="preserve"> (PY1)</w:t>
      </w:r>
      <w:r>
        <w:t xml:space="preserve">. Future details and updates for </w:t>
      </w:r>
      <w:r w:rsidR="00AB617A">
        <w:t>Performance Period</w:t>
      </w:r>
      <w:r>
        <w:t xml:space="preserve"> 2 and beyond will be published as an update to this User Guide. </w:t>
      </w:r>
    </w:p>
    <w:p w14:paraId="58434B1A" w14:textId="5DE6FABD" w:rsidR="000A033E" w:rsidRPr="000A033E" w:rsidRDefault="000A033E" w:rsidP="000A033E">
      <w:r>
        <w:t>These specifications are based on a combination of approaches drawn from the federal Bundled Payments for Care Improvement Advanced (BPCI-A) and Comprehensive Care for Joint Replacement (CJR) programs, Maryland’s Episode Care Improvement Program (ECIP) and other standard CMS methods, in a manner tailored to meet the specific needs, unique payment structure and Total Cost of Care Model goals in Maryland.</w:t>
      </w:r>
    </w:p>
    <w:p w14:paraId="5DDE0C7F" w14:textId="77777777" w:rsidR="00333BB1" w:rsidRDefault="00333BB1" w:rsidP="00333BB1">
      <w:pPr>
        <w:pStyle w:val="Heading3"/>
      </w:pPr>
      <w:bookmarkStart w:id="2" w:name="_Toc24993074"/>
      <w:r>
        <w:t>MPA Framework and the Reconciliation Component</w:t>
      </w:r>
      <w:bookmarkEnd w:id="2"/>
      <w:r>
        <w:t xml:space="preserve"> </w:t>
      </w:r>
    </w:p>
    <w:p w14:paraId="61B47FE8" w14:textId="75AF1990" w:rsidR="006A423F" w:rsidRPr="003B714D" w:rsidRDefault="0048238E" w:rsidP="000917F6">
      <w:r>
        <w:t xml:space="preserve">The Centers for Medicare and Medicaid Services (CMS) allows the </w:t>
      </w:r>
      <w:r w:rsidR="007401F9">
        <w:t xml:space="preserve">State to adjust the payments that are made to regulated Maryland </w:t>
      </w:r>
      <w:r w:rsidR="00216095">
        <w:t xml:space="preserve">hospitals based on the hospital’s success at reducing the total cost of cate (TCOC) </w:t>
      </w:r>
      <w:r w:rsidR="00B37A14">
        <w:t>for Medicare beneficiaries</w:t>
      </w:r>
      <w:r w:rsidR="00AF1FBE">
        <w:t xml:space="preserve">; this adjustment is called the Medicare Performance Adjustment (MPA) and is described in the </w:t>
      </w:r>
      <w:r w:rsidR="004A1635">
        <w:t>Final Recommendation for the Medicare Performance Adjustment Framework from the October Commission meeting</w:t>
      </w:r>
      <w:r w:rsidR="00B37A14">
        <w:t>.</w:t>
      </w:r>
      <w:r w:rsidR="004A1635">
        <w:rPr>
          <w:rStyle w:val="FootnoteReference"/>
        </w:rPr>
        <w:footnoteReference w:id="1"/>
      </w:r>
      <w:r w:rsidR="00B37A14">
        <w:t xml:space="preserve"> </w:t>
      </w:r>
      <w:r w:rsidR="006A423F">
        <w:t>The HSCRC approved a</w:t>
      </w:r>
      <w:r w:rsidR="004A1635">
        <w:t xml:space="preserve"> component of this</w:t>
      </w:r>
      <w:r w:rsidR="006A423F">
        <w:t xml:space="preserve"> policy that will adjust the Medicare payments to hospitals based on their performance in the</w:t>
      </w:r>
      <w:r w:rsidR="001E050C">
        <w:t xml:space="preserve">ir </w:t>
      </w:r>
      <w:r w:rsidR="006A423F">
        <w:t xml:space="preserve">CTI. </w:t>
      </w:r>
      <w:r w:rsidR="00F05B7E">
        <w:t xml:space="preserve">If a hospital reduces the TCOC for their </w:t>
      </w:r>
      <w:r w:rsidR="00AB617A">
        <w:t>CTI Beneficiaries</w:t>
      </w:r>
      <w:r w:rsidR="004A1635">
        <w:t>,</w:t>
      </w:r>
      <w:r w:rsidR="00F05B7E">
        <w:t xml:space="preserve"> they will be paid 100 percent of the savings that they achieve. The payment will be made as an adjustment to the amount that CMS pays hospitals, r</w:t>
      </w:r>
      <w:r w:rsidR="001F43AD">
        <w:t xml:space="preserve">ather than a cash payment. </w:t>
      </w:r>
      <w:r w:rsidR="004A1635">
        <w:t xml:space="preserve">This portion of the MPA policy is known as </w:t>
      </w:r>
      <w:r w:rsidR="001F43AD">
        <w:t>the Reconciliation Component</w:t>
      </w:r>
      <w:r w:rsidR="004A1635">
        <w:t>, and it, in addition to the MPA overall,</w:t>
      </w:r>
      <w:r w:rsidR="001F43AD">
        <w:t xml:space="preserve"> is described in the following section.</w:t>
      </w:r>
    </w:p>
    <w:p w14:paraId="1224E5D6" w14:textId="334DAA65" w:rsidR="00A2357C" w:rsidRDefault="00A2357C" w:rsidP="00542E91">
      <w:pPr>
        <w:pStyle w:val="Heading4"/>
      </w:pPr>
      <w:bookmarkStart w:id="3" w:name="_Toc24993075"/>
      <w:r>
        <w:t>The Medicare Performance Adjustment (MPA)</w:t>
      </w:r>
      <w:bookmarkEnd w:id="3"/>
      <w:r>
        <w:t xml:space="preserve"> </w:t>
      </w:r>
    </w:p>
    <w:p w14:paraId="5A90D2EA" w14:textId="4112F963" w:rsidR="00A2357C" w:rsidRDefault="00A2357C" w:rsidP="008D68B4">
      <w:pPr>
        <w:tabs>
          <w:tab w:val="left" w:pos="4305"/>
        </w:tabs>
      </w:pPr>
      <w:r w:rsidRPr="00A2357C">
        <w:t xml:space="preserve">The </w:t>
      </w:r>
      <w:r w:rsidR="006A423F">
        <w:t>MPA</w:t>
      </w:r>
      <w:r w:rsidR="00B16C9B">
        <w:t xml:space="preserve"> is</w:t>
      </w:r>
      <w:r w:rsidR="006A423F">
        <w:t xml:space="preserve"> </w:t>
      </w:r>
      <w:r w:rsidR="00254F13">
        <w:t xml:space="preserve">a percentage </w:t>
      </w:r>
      <w:r w:rsidR="00B16C9B">
        <w:t>increase or decrease</w:t>
      </w:r>
      <w:r w:rsidR="00B16C9B" w:rsidRPr="00A2357C">
        <w:t xml:space="preserve"> </w:t>
      </w:r>
      <w:r w:rsidR="00254F13">
        <w:t xml:space="preserve">in the </w:t>
      </w:r>
      <w:r w:rsidRPr="00A2357C">
        <w:t xml:space="preserve">amount paid </w:t>
      </w:r>
      <w:r w:rsidR="005922CD">
        <w:t>CMS</w:t>
      </w:r>
      <w:r w:rsidRPr="00A2357C">
        <w:t>, to hospitals after a claim has been received by the Medicare Administrative Contractor (MAC). The State calculates the amount</w:t>
      </w:r>
      <w:r w:rsidR="001C7AB9">
        <w:t xml:space="preserve"> of the adjustment</w:t>
      </w:r>
      <w:r w:rsidRPr="00A2357C">
        <w:t xml:space="preserve"> and passes that </w:t>
      </w:r>
      <w:r w:rsidR="00B16C9B">
        <w:t>adjustment</w:t>
      </w:r>
      <w:r w:rsidR="00B16C9B" w:rsidRPr="00A2357C">
        <w:t xml:space="preserve"> </w:t>
      </w:r>
      <w:r w:rsidRPr="00A2357C">
        <w:t xml:space="preserve">to CMS, which then </w:t>
      </w:r>
      <w:r w:rsidR="00B16C9B">
        <w:t xml:space="preserve">increases or decreases </w:t>
      </w:r>
      <w:r w:rsidRPr="00A2357C">
        <w:t xml:space="preserve">all claims paid to the hospital by the indicated percentage. </w:t>
      </w:r>
      <w:r w:rsidR="005922CD">
        <w:t xml:space="preserve">For example, an MPA adjustment of </w:t>
      </w:r>
      <w:r w:rsidR="00B16C9B">
        <w:t>-</w:t>
      </w:r>
      <w:r w:rsidR="005922CD">
        <w:t xml:space="preserve">0.5% means that CMS will pay the charged amount on the claim minus 0.5% percent. </w:t>
      </w:r>
      <w:r w:rsidRPr="00A2357C">
        <w:t>This adjustment is additive with other</w:t>
      </w:r>
      <w:r w:rsidR="00580162">
        <w:t xml:space="preserve"> adjustments</w:t>
      </w:r>
      <w:r w:rsidRPr="00A2357C">
        <w:t xml:space="preserve">, </w:t>
      </w:r>
      <w:r w:rsidR="00A773D9">
        <w:t xml:space="preserve">such as the </w:t>
      </w:r>
      <w:r w:rsidRPr="00A2357C">
        <w:t xml:space="preserve">sequestration </w:t>
      </w:r>
      <w:r w:rsidR="00A773D9">
        <w:t>and the public payer discount</w:t>
      </w:r>
      <w:r w:rsidRPr="00A2357C">
        <w:t xml:space="preserve">. The </w:t>
      </w:r>
      <w:r w:rsidR="00D24780">
        <w:t xml:space="preserve">MPA </w:t>
      </w:r>
      <w:r w:rsidRPr="00A2357C">
        <w:t xml:space="preserve">does not go into hospital </w:t>
      </w:r>
      <w:r w:rsidR="00B16C9B">
        <w:t xml:space="preserve">rates set by the </w:t>
      </w:r>
      <w:r w:rsidRPr="00A2357C">
        <w:t>HSCRC, does not affect hospitals' GBR calculations, and is not reflected in rate orders.</w:t>
      </w:r>
      <w:r>
        <w:t xml:space="preserve"> </w:t>
      </w:r>
    </w:p>
    <w:p w14:paraId="65C6B8CE" w14:textId="7D17E5E8" w:rsidR="00E2142F" w:rsidRDefault="008357E3" w:rsidP="008D68B4">
      <w:pPr>
        <w:tabs>
          <w:tab w:val="left" w:pos="4305"/>
        </w:tabs>
      </w:pPr>
      <w:r>
        <w:t>The HSCRC combine</w:t>
      </w:r>
      <w:r w:rsidR="0083290B">
        <w:t>s and calculates</w:t>
      </w:r>
      <w:r>
        <w:t xml:space="preserve"> several different policies into a single MPA </w:t>
      </w:r>
      <w:r w:rsidR="0083290B">
        <w:t xml:space="preserve">adjustment </w:t>
      </w:r>
      <w:r>
        <w:t>that is passed to</w:t>
      </w:r>
      <w:r w:rsidR="0083290B">
        <w:t xml:space="preserve"> the CMS MAC</w:t>
      </w:r>
      <w:r w:rsidR="000B349F">
        <w:t>. The</w:t>
      </w:r>
      <w:r w:rsidR="0083290B">
        <w:t xml:space="preserve"> overall</w:t>
      </w:r>
      <w:r w:rsidR="000B349F">
        <w:t xml:space="preserve"> MPA includes an adjustment for the </w:t>
      </w:r>
      <w:r w:rsidR="00AF09E0">
        <w:t>Medicare TCOC for attributed Medicare beneficiaries</w:t>
      </w:r>
      <w:r w:rsidR="008670CA">
        <w:t xml:space="preserve"> (this is called the “Traditional Component” of the MPA and described in the </w:t>
      </w:r>
      <w:r w:rsidR="0083290B">
        <w:t>Final Recommendation for the Medicare Performance Adjustment Framework</w:t>
      </w:r>
      <w:r w:rsidR="008670CA">
        <w:t>).</w:t>
      </w:r>
      <w:r w:rsidR="0083290B">
        <w:rPr>
          <w:rStyle w:val="FootnoteReference"/>
        </w:rPr>
        <w:footnoteReference w:id="2"/>
      </w:r>
      <w:r w:rsidR="008670CA">
        <w:t xml:space="preserve"> The MPA </w:t>
      </w:r>
      <w:r w:rsidR="00240AFF">
        <w:t xml:space="preserve">also includes an adjustment that may be necessary in order to meet the Medicare savings targets included in the TCOC Model Agreement (this is called the “Savings Component” of the MPA and described in the </w:t>
      </w:r>
      <w:r w:rsidR="0083290B">
        <w:t xml:space="preserve">Final </w:t>
      </w:r>
      <w:r w:rsidR="0083290B">
        <w:lastRenderedPageBreak/>
        <w:t>Recommendation for the Medicare Performance Adjustment Framework</w:t>
      </w:r>
      <w:r w:rsidR="00240AFF">
        <w:t>).</w:t>
      </w:r>
      <w:r w:rsidR="0083290B">
        <w:rPr>
          <w:rStyle w:val="FootnoteReference"/>
        </w:rPr>
        <w:footnoteReference w:id="3"/>
      </w:r>
      <w:r w:rsidR="00240AFF">
        <w:t xml:space="preserve"> Finally, the MPA </w:t>
      </w:r>
      <w:r w:rsidR="000A6CC6">
        <w:t xml:space="preserve">includes </w:t>
      </w:r>
      <w:r w:rsidR="00747316">
        <w:t xml:space="preserve">the </w:t>
      </w:r>
      <w:r w:rsidR="0083290B">
        <w:t>mechanism to reward hospitals for their CTI savings</w:t>
      </w:r>
      <w:r w:rsidR="00747316">
        <w:t xml:space="preserve"> described in this document </w:t>
      </w:r>
      <w:r w:rsidR="00CB4429">
        <w:t>(this is called the “Reconciliation Component”</w:t>
      </w:r>
      <w:r w:rsidR="00E2142F">
        <w:t xml:space="preserve">). The three components of the MPA are additive. </w:t>
      </w:r>
      <w:r w:rsidR="00F656B7">
        <w:t xml:space="preserve">For example, if the Traditional Component is 0.5%, the Savings Component is 0.2%, and the Reconciliation Component is 0.3%, then the MPA that will be applied by CMS to the hospital’s payments will be 1.0%. </w:t>
      </w:r>
    </w:p>
    <w:p w14:paraId="693C9667" w14:textId="0FF61539" w:rsidR="001F43AD" w:rsidRDefault="001F43AD" w:rsidP="008D68B4">
      <w:pPr>
        <w:tabs>
          <w:tab w:val="left" w:pos="4305"/>
        </w:tabs>
      </w:pPr>
      <w:r>
        <w:t xml:space="preserve">The MPA Reconciliation Component is </w:t>
      </w:r>
      <w:r w:rsidR="004B72BB">
        <w:t xml:space="preserve">based on two amounts. The first is the Reconciliation Payment that the hospital earns for the TCOC savings for </w:t>
      </w:r>
      <w:r w:rsidR="00282868">
        <w:t xml:space="preserve">its </w:t>
      </w:r>
      <w:r w:rsidR="00AB617A">
        <w:t>CTI Beneficiaries</w:t>
      </w:r>
      <w:r w:rsidR="00282868">
        <w:t xml:space="preserve">. The second </w:t>
      </w:r>
      <w:r w:rsidR="00644CF9">
        <w:t xml:space="preserve">amount </w:t>
      </w:r>
      <w:r w:rsidR="00282868">
        <w:t xml:space="preserve">is the Statewide Offset which ensures the </w:t>
      </w:r>
      <w:r w:rsidR="00790372">
        <w:t xml:space="preserve">statewide </w:t>
      </w:r>
      <w:r w:rsidR="00282868">
        <w:t>Reconciliation P</w:t>
      </w:r>
      <w:r w:rsidR="00790372">
        <w:t xml:space="preserve">ayments are net neutral across all hospitals. These two amounts are described in the subsequent sections. </w:t>
      </w:r>
      <w:r w:rsidR="00EB5DCF">
        <w:t xml:space="preserve">Both amounts </w:t>
      </w:r>
      <w:r w:rsidR="002212D7">
        <w:t xml:space="preserve">are expressed in dollar values. </w:t>
      </w:r>
      <w:r w:rsidR="0090377D">
        <w:t>For example, a hospital could receive a $10 million Reconciliation Payment and a -$2 million Statewide O</w:t>
      </w:r>
      <w:r w:rsidR="00403BC5">
        <w:t xml:space="preserve">ffset for a net amount of $8 million. </w:t>
      </w:r>
      <w:r w:rsidR="000123CC">
        <w:t xml:space="preserve">The dollar value is translated into </w:t>
      </w:r>
      <w:r w:rsidR="00630D73">
        <w:t xml:space="preserve">a percent value for </w:t>
      </w:r>
      <w:r w:rsidR="000123CC">
        <w:t xml:space="preserve">the </w:t>
      </w:r>
      <w:r w:rsidR="00630D73">
        <w:t xml:space="preserve">MPA Reconciliation Component by dividing the </w:t>
      </w:r>
      <w:r w:rsidR="003558AD">
        <w:t xml:space="preserve">net amount by the hospital Medicare revenue. For example, if the hospital received </w:t>
      </w:r>
      <w:r w:rsidR="00EB47AC">
        <w:t>$100 million in M</w:t>
      </w:r>
      <w:r w:rsidR="00F47FEF">
        <w:t>edicare revenues, then the $8 million amount would result in an MPA Reconciliation Component of 8</w:t>
      </w:r>
      <w:r w:rsidR="006F047B">
        <w:t xml:space="preserve"> percent</w:t>
      </w:r>
      <w:r w:rsidR="00F47FEF">
        <w:t xml:space="preserve">. </w:t>
      </w:r>
    </w:p>
    <w:p w14:paraId="2A9239C8" w14:textId="37882A72" w:rsidR="00E36EA7" w:rsidRPr="00E36EA7" w:rsidRDefault="00E36EA7" w:rsidP="00542E91">
      <w:pPr>
        <w:pStyle w:val="Heading4"/>
      </w:pPr>
      <w:bookmarkStart w:id="4" w:name="_Toc24993076"/>
      <w:r>
        <w:t>Reconciliation Payments</w:t>
      </w:r>
      <w:bookmarkEnd w:id="4"/>
      <w:r>
        <w:t xml:space="preserve"> </w:t>
      </w:r>
      <w:r w:rsidR="00A118A2">
        <w:tab/>
      </w:r>
    </w:p>
    <w:p w14:paraId="56455849" w14:textId="15E15CC9" w:rsidR="00DF6BC5" w:rsidRDefault="00ED66D4" w:rsidP="00761BB6">
      <w:r>
        <w:t xml:space="preserve">A hospital’s </w:t>
      </w:r>
      <w:r w:rsidR="00DF6BC5">
        <w:t xml:space="preserve">Reconciliation </w:t>
      </w:r>
      <w:r w:rsidR="00910AEC">
        <w:t>P</w:t>
      </w:r>
      <w:r w:rsidR="00750E63">
        <w:t>ayment</w:t>
      </w:r>
      <w:r w:rsidR="00CD6D91">
        <w:t xml:space="preserve"> is equal to the </w:t>
      </w:r>
      <w:r w:rsidR="00750E63">
        <w:t xml:space="preserve">savings </w:t>
      </w:r>
      <w:r w:rsidR="00910AEC">
        <w:t xml:space="preserve">earned </w:t>
      </w:r>
      <w:r w:rsidR="00CD6D91">
        <w:t xml:space="preserve">the </w:t>
      </w:r>
      <w:r w:rsidR="00910AEC">
        <w:t>h</w:t>
      </w:r>
      <w:r w:rsidR="00750E63">
        <w:t xml:space="preserve">ospital </w:t>
      </w:r>
      <w:r w:rsidR="00E97884">
        <w:t xml:space="preserve">for </w:t>
      </w:r>
      <w:r w:rsidR="008634EB">
        <w:t xml:space="preserve">the hospital’s </w:t>
      </w:r>
      <w:r w:rsidR="00750E63">
        <w:t>CTI</w:t>
      </w:r>
      <w:r w:rsidR="005131B4">
        <w:t>s</w:t>
      </w:r>
      <w:r w:rsidR="00231847">
        <w:t>, which is measured by calculating the difference</w:t>
      </w:r>
      <w:r w:rsidR="001C25CE">
        <w:t xml:space="preserve"> between the actual TCOC for a CTI and a target price. </w:t>
      </w:r>
      <w:r w:rsidR="00196A4B">
        <w:t xml:space="preserve">The savings for </w:t>
      </w:r>
      <w:r w:rsidR="000917F6">
        <w:t>individual</w:t>
      </w:r>
      <w:r w:rsidR="00196A4B">
        <w:t xml:space="preserve"> CTI</w:t>
      </w:r>
      <w:r w:rsidR="000917F6">
        <w:t>s</w:t>
      </w:r>
      <w:r w:rsidR="00196A4B">
        <w:t xml:space="preserve"> </w:t>
      </w:r>
      <w:r w:rsidR="000917F6">
        <w:t>are</w:t>
      </w:r>
      <w:r w:rsidR="00196A4B">
        <w:t xml:space="preserve"> calculated separately. Each CTI will have a separate target price and </w:t>
      </w:r>
      <w:r w:rsidR="00AB617A">
        <w:t>Performance Period</w:t>
      </w:r>
      <w:r w:rsidR="00196A4B">
        <w:t xml:space="preserve"> costs. </w:t>
      </w:r>
      <w:r w:rsidR="00816782">
        <w:t xml:space="preserve">A hospital that participates in </w:t>
      </w:r>
      <w:r w:rsidR="00452291">
        <w:t xml:space="preserve">multiple </w:t>
      </w:r>
      <w:r w:rsidR="00816782">
        <w:t>CTI</w:t>
      </w:r>
      <w:r w:rsidR="000917F6">
        <w:t>s</w:t>
      </w:r>
      <w:r w:rsidR="00816782">
        <w:t xml:space="preserve"> will receive a Reconciliation Payment equal to the sum of the savings received in each of their CTI</w:t>
      </w:r>
      <w:r w:rsidR="000917F6">
        <w:t>s</w:t>
      </w:r>
      <w:r w:rsidR="00816782">
        <w:t>.</w:t>
      </w:r>
    </w:p>
    <w:p w14:paraId="7FD03620" w14:textId="3520F09A" w:rsidR="00E36EA7" w:rsidRDefault="00E36EA7" w:rsidP="00046BDB">
      <w:pPr>
        <w:pStyle w:val="Heading4"/>
        <w:tabs>
          <w:tab w:val="left" w:pos="5310"/>
        </w:tabs>
      </w:pPr>
      <w:bookmarkStart w:id="5" w:name="_Toc24993077"/>
      <w:r>
        <w:t xml:space="preserve">Statewide </w:t>
      </w:r>
      <w:r w:rsidR="00EB38C8">
        <w:t>Offset</w:t>
      </w:r>
      <w:bookmarkEnd w:id="5"/>
      <w:r w:rsidR="00EB38C8">
        <w:t xml:space="preserve"> </w:t>
      </w:r>
      <w:r w:rsidR="008357E3">
        <w:tab/>
      </w:r>
    </w:p>
    <w:p w14:paraId="74C3F57A" w14:textId="6C3F85D2" w:rsidR="00332CE2" w:rsidRDefault="00621707" w:rsidP="00E426C2">
      <w:r>
        <w:t xml:space="preserve">Statewide CTI savings paid through the MPA-RC </w:t>
      </w:r>
      <w:r w:rsidR="00B45901">
        <w:t>will be made in a net neutral manner</w:t>
      </w:r>
      <w:r w:rsidR="00B66B13">
        <w:t xml:space="preserve">. </w:t>
      </w:r>
      <w:r w:rsidR="00750E63">
        <w:t xml:space="preserve">This will ensure that the Reconciliation Payments provided to successful CTI participants do not put the State at risk of missing its Medicare TCOC savings target. Additionally, </w:t>
      </w:r>
      <w:r w:rsidR="00332CE2">
        <w:t>Statewide O</w:t>
      </w:r>
      <w:r w:rsidR="00750E63">
        <w:t xml:space="preserve">ffset will allow the State to reward </w:t>
      </w:r>
      <w:r w:rsidR="000917F6">
        <w:t>high performers and</w:t>
      </w:r>
      <w:r w:rsidR="00332CE2">
        <w:t xml:space="preserve"> </w:t>
      </w:r>
      <w:r w:rsidR="00BF12C0">
        <w:t xml:space="preserve">incentivize </w:t>
      </w:r>
      <w:r w:rsidR="00332CE2">
        <w:t xml:space="preserve">hospitals to participate. </w:t>
      </w:r>
    </w:p>
    <w:p w14:paraId="0FD2D41E" w14:textId="5F5AFDF3" w:rsidR="00332CE2" w:rsidRDefault="00332CE2" w:rsidP="00E426C2">
      <w:r>
        <w:t>The HSCRC will calculate the Statewide Offset for an individual hospital by:</w:t>
      </w:r>
    </w:p>
    <w:p w14:paraId="3D570C99" w14:textId="586C69C8" w:rsidR="00332CE2" w:rsidRDefault="00332CE2" w:rsidP="00046BDB">
      <w:pPr>
        <w:pStyle w:val="ListParagraph"/>
        <w:numPr>
          <w:ilvl w:val="0"/>
          <w:numId w:val="49"/>
        </w:numPr>
      </w:pPr>
      <w:r>
        <w:t xml:space="preserve">Summing the Reconciliation Payments made to all hospitals; </w:t>
      </w:r>
    </w:p>
    <w:p w14:paraId="3B4B724B" w14:textId="5BFDB449" w:rsidR="00332CE2" w:rsidRDefault="000917F6" w:rsidP="00046BDB">
      <w:pPr>
        <w:pStyle w:val="ListParagraph"/>
        <w:numPr>
          <w:ilvl w:val="0"/>
          <w:numId w:val="49"/>
        </w:numPr>
      </w:pPr>
      <w:r>
        <w:t>Multiplying</w:t>
      </w:r>
      <w:r w:rsidR="00332CE2">
        <w:t xml:space="preserve"> the aggregate Reconciliation Payments by the hospitals share of Medicare hospital revenue</w:t>
      </w:r>
      <w:r>
        <w:t xml:space="preserve"> to determine the individual hospital’s reduction</w:t>
      </w:r>
      <w:r w:rsidR="00332CE2">
        <w:t>.</w:t>
      </w:r>
    </w:p>
    <w:p w14:paraId="4D23BB82" w14:textId="56B36E03" w:rsidR="001E302F" w:rsidRDefault="00332CE2" w:rsidP="00E426C2">
      <w:r>
        <w:t>For example, if the aggregate Reconciliation Payments is equal to $</w:t>
      </w:r>
      <w:r w:rsidR="00937388">
        <w:t>100 million, then a hospital that is 10</w:t>
      </w:r>
      <w:r w:rsidR="000917F6">
        <w:t xml:space="preserve"> percent</w:t>
      </w:r>
      <w:r w:rsidR="00937388">
        <w:t xml:space="preserve"> of the statewide hospital revenues </w:t>
      </w:r>
      <w:r w:rsidR="003168B8">
        <w:t>would receive a Statewide Offset of -$10 million.</w:t>
      </w:r>
      <w:r w:rsidR="0016313D">
        <w:t xml:space="preserve"> </w:t>
      </w:r>
    </w:p>
    <w:p w14:paraId="2B6CD534" w14:textId="27E1E812" w:rsidR="00080145" w:rsidRDefault="000A033E" w:rsidP="00542E91">
      <w:pPr>
        <w:pStyle w:val="Heading4"/>
      </w:pPr>
      <w:bookmarkStart w:id="6" w:name="_Toc24993078"/>
      <w:r>
        <w:t>Timing of Reconciliation Payments and Offsets</w:t>
      </w:r>
      <w:bookmarkEnd w:id="6"/>
    </w:p>
    <w:p w14:paraId="1F115C32" w14:textId="7FDDF619" w:rsidR="00092469" w:rsidRDefault="00A435B9" w:rsidP="003B714D">
      <w:r>
        <w:t xml:space="preserve">Each CTI will have a </w:t>
      </w:r>
      <w:r w:rsidR="000917F6">
        <w:t>one</w:t>
      </w:r>
      <w:r>
        <w:t xml:space="preserve"> year </w:t>
      </w:r>
      <w:r w:rsidR="00AB617A">
        <w:t>Performance Period</w:t>
      </w:r>
      <w:r>
        <w:t xml:space="preserve">, July </w:t>
      </w:r>
      <w:r w:rsidR="00477D84">
        <w:t xml:space="preserve">1 </w:t>
      </w:r>
      <w:r>
        <w:t xml:space="preserve">to June </w:t>
      </w:r>
      <w:r w:rsidR="00477D84">
        <w:t>30</w:t>
      </w:r>
      <w:r>
        <w:t xml:space="preserve">. Reconciliation Payments for the CTI will made </w:t>
      </w:r>
      <w:r w:rsidR="00801FAB">
        <w:t xml:space="preserve">12 months after the end of the </w:t>
      </w:r>
      <w:r w:rsidR="00AB617A">
        <w:t>Performance Period</w:t>
      </w:r>
      <w:r w:rsidR="00135076">
        <w:t xml:space="preserve">. </w:t>
      </w:r>
      <w:r w:rsidR="00BF3A88">
        <w:t xml:space="preserve">For example, payments for the </w:t>
      </w:r>
      <w:r w:rsidR="00AB617A">
        <w:t>Performance Period</w:t>
      </w:r>
      <w:r w:rsidR="00BF3A88">
        <w:t xml:space="preserve"> beginning on July 1, 2020, will be made July 1 of 2</w:t>
      </w:r>
      <w:r w:rsidR="00C13E4B">
        <w:t>022 (</w:t>
      </w:r>
      <w:r w:rsidR="000917F6">
        <w:t>i.e</w:t>
      </w:r>
      <w:r w:rsidR="00C13E4B">
        <w:t xml:space="preserve">. 12 months after June 30, which is the end of the </w:t>
      </w:r>
      <w:r w:rsidR="00AB617A">
        <w:t>Performance Period</w:t>
      </w:r>
      <w:r w:rsidR="00C13E4B">
        <w:t>)</w:t>
      </w:r>
      <w:r>
        <w:t xml:space="preserve">. </w:t>
      </w:r>
      <w:r w:rsidR="0041035E">
        <w:t xml:space="preserve">The delay between the </w:t>
      </w:r>
      <w:r w:rsidR="000D544C">
        <w:t xml:space="preserve">end of the </w:t>
      </w:r>
      <w:r w:rsidR="00AB617A">
        <w:t>Performance Period</w:t>
      </w:r>
      <w:r w:rsidR="000D544C">
        <w:t xml:space="preserve"> and the </w:t>
      </w:r>
      <w:r w:rsidR="00186610">
        <w:t>payments is necessary for the following reasons</w:t>
      </w:r>
      <w:r w:rsidR="000917F6">
        <w:t>.</w:t>
      </w:r>
      <w:r w:rsidR="00186610">
        <w:t xml:space="preserve"> </w:t>
      </w:r>
      <w:r w:rsidR="000917F6">
        <w:t>F</w:t>
      </w:r>
      <w:r w:rsidR="00186610">
        <w:t>irst, 180 days is allowed for CTI</w:t>
      </w:r>
      <w:r w:rsidR="000917F6">
        <w:t xml:space="preserve"> episode </w:t>
      </w:r>
      <w:r w:rsidR="000917F6">
        <w:lastRenderedPageBreak/>
        <w:t>completion</w:t>
      </w:r>
      <w:r w:rsidR="00186610">
        <w:t xml:space="preserve">; second, 90 days is allowed for a claims runout period; finally, 90 days is allowed for the HSCRC to calculate and disseminate the Reconciliation Payments. </w:t>
      </w:r>
    </w:p>
    <w:p w14:paraId="4F19D707" w14:textId="3276DEA4" w:rsidR="00092469" w:rsidRDefault="005B425D" w:rsidP="00761BB6">
      <w:r>
        <w:t>Figure 2</w:t>
      </w:r>
      <w:r w:rsidR="00092469">
        <w:t xml:space="preserve"> below outlines the overall development, performance and reconciliation process and timing. Overall, a set of CTIs from start to reconciliation payment will take approximately three years. </w:t>
      </w:r>
    </w:p>
    <w:p w14:paraId="0A9BEF8E" w14:textId="20D34972" w:rsidR="00DE5F70" w:rsidRPr="005B425D" w:rsidRDefault="00C5738C" w:rsidP="004B5933">
      <w:pPr>
        <w:spacing w:after="0"/>
        <w:rPr>
          <w:i/>
        </w:rPr>
      </w:pPr>
      <w:r w:rsidRPr="005B425D">
        <w:rPr>
          <w:b/>
          <w:i/>
          <w:noProof/>
        </w:rPr>
        <w:drawing>
          <wp:anchor distT="0" distB="0" distL="114300" distR="114300" simplePos="0" relativeHeight="251663360" behindDoc="0" locked="0" layoutInCell="1" allowOverlap="1" wp14:anchorId="1E96BAA8" wp14:editId="237A9B52">
            <wp:simplePos x="0" y="0"/>
            <wp:positionH relativeFrom="margin">
              <wp:align>right</wp:align>
            </wp:positionH>
            <wp:positionV relativeFrom="paragraph">
              <wp:posOffset>222250</wp:posOffset>
            </wp:positionV>
            <wp:extent cx="5892800" cy="244284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800" cy="2442845"/>
                    </a:xfrm>
                    <a:prstGeom prst="rect">
                      <a:avLst/>
                    </a:prstGeom>
                    <a:noFill/>
                  </pic:spPr>
                </pic:pic>
              </a:graphicData>
            </a:graphic>
          </wp:anchor>
        </w:drawing>
      </w:r>
      <w:r w:rsidR="005B425D" w:rsidRPr="005B425D">
        <w:rPr>
          <w:b/>
          <w:i/>
        </w:rPr>
        <w:t>Figure 2</w:t>
      </w:r>
      <w:r w:rsidR="00092469" w:rsidRPr="005B425D">
        <w:rPr>
          <w:b/>
          <w:i/>
        </w:rPr>
        <w:t xml:space="preserve">. </w:t>
      </w:r>
      <w:r w:rsidR="00092469" w:rsidRPr="005B425D">
        <w:rPr>
          <w:i/>
        </w:rPr>
        <w:t xml:space="preserve">Overall Timing of a Care Transformation Initiative </w:t>
      </w:r>
    </w:p>
    <w:p w14:paraId="02EADF0F" w14:textId="6166456B" w:rsidR="00D82A0B" w:rsidRDefault="00E3530A" w:rsidP="00D82A0B">
      <w:pPr>
        <w:pStyle w:val="Heading2"/>
      </w:pPr>
      <w:bookmarkStart w:id="7" w:name="_Toc24993079"/>
      <w:r>
        <w:t xml:space="preserve">Overview of the </w:t>
      </w:r>
      <w:r w:rsidR="00D82A0B">
        <w:t>Methodology</w:t>
      </w:r>
      <w:bookmarkEnd w:id="7"/>
      <w:r w:rsidR="00D82A0B">
        <w:t xml:space="preserve"> </w:t>
      </w:r>
    </w:p>
    <w:p w14:paraId="6E2E0ABB" w14:textId="1E1ED76B" w:rsidR="00BD2A0C" w:rsidRDefault="009311DB" w:rsidP="00364FCC">
      <w:r>
        <w:t xml:space="preserve">The Reconciliation Payments that is </w:t>
      </w:r>
      <w:r w:rsidR="00BD2A0C">
        <w:t xml:space="preserve">earned by a hospital through a CTI will be </w:t>
      </w:r>
      <w:r>
        <w:t xml:space="preserve">calculated through the following four steps: </w:t>
      </w:r>
    </w:p>
    <w:p w14:paraId="3B1C65A9" w14:textId="77777777" w:rsidR="00B60407" w:rsidRDefault="00BD2A0C" w:rsidP="00ED4632">
      <w:pPr>
        <w:pStyle w:val="ListParagraph"/>
        <w:numPr>
          <w:ilvl w:val="0"/>
          <w:numId w:val="41"/>
        </w:numPr>
      </w:pPr>
      <w:r>
        <w:t>Identify the Population</w:t>
      </w:r>
      <w:r w:rsidR="00B60407">
        <w:t xml:space="preserve"> </w:t>
      </w:r>
    </w:p>
    <w:p w14:paraId="0AE7C840" w14:textId="203AD40D" w:rsidR="00BD2A0C" w:rsidRDefault="00B65892" w:rsidP="00ED4632">
      <w:pPr>
        <w:pStyle w:val="ListParagraph"/>
        <w:numPr>
          <w:ilvl w:val="0"/>
          <w:numId w:val="41"/>
        </w:numPr>
      </w:pPr>
      <w:r>
        <w:t xml:space="preserve">Construct the </w:t>
      </w:r>
      <w:r w:rsidR="00E9175D">
        <w:t xml:space="preserve">CTI </w:t>
      </w:r>
      <w:r>
        <w:t>Episode</w:t>
      </w:r>
      <w:r w:rsidR="00506BA1">
        <w:t>s</w:t>
      </w:r>
      <w:r w:rsidR="00E3530A">
        <w:t xml:space="preserve"> </w:t>
      </w:r>
    </w:p>
    <w:p w14:paraId="4EB110C9" w14:textId="5919639F" w:rsidR="00BD2A0C" w:rsidRDefault="00BD2A0C" w:rsidP="00ED4632">
      <w:pPr>
        <w:pStyle w:val="ListParagraph"/>
        <w:numPr>
          <w:ilvl w:val="0"/>
          <w:numId w:val="41"/>
        </w:numPr>
      </w:pPr>
      <w:r>
        <w:t xml:space="preserve">Establish </w:t>
      </w:r>
      <w:r w:rsidR="00B65892">
        <w:t>and calculate a Target Price</w:t>
      </w:r>
    </w:p>
    <w:p w14:paraId="077C03F1" w14:textId="184F5311" w:rsidR="002E38A1" w:rsidRPr="002E38A1" w:rsidRDefault="00BD2A0C" w:rsidP="00ED4632">
      <w:pPr>
        <w:pStyle w:val="ListParagraph"/>
        <w:numPr>
          <w:ilvl w:val="0"/>
          <w:numId w:val="41"/>
        </w:numPr>
      </w:pPr>
      <w:r>
        <w:t>Compare the TCOC during the Performance Period to the Target Price</w:t>
      </w:r>
    </w:p>
    <w:p w14:paraId="3BAFDE97" w14:textId="21AA6419" w:rsidR="00760858" w:rsidRDefault="00A12A16" w:rsidP="00AC3BCC">
      <w:pPr>
        <w:pStyle w:val="Heading3"/>
      </w:pPr>
      <w:bookmarkStart w:id="8" w:name="_Toc24993080"/>
      <w:r>
        <w:t xml:space="preserve">Step 1: </w:t>
      </w:r>
      <w:r w:rsidR="00B65892">
        <w:t>Identify the Population</w:t>
      </w:r>
      <w:bookmarkEnd w:id="8"/>
      <w:r w:rsidR="00B65892">
        <w:t xml:space="preserve"> </w:t>
      </w:r>
    </w:p>
    <w:p w14:paraId="67695881" w14:textId="5F9953B0" w:rsidR="00E3530A" w:rsidRPr="00046BDB" w:rsidRDefault="0084056D" w:rsidP="00046BDB">
      <w:r>
        <w:t xml:space="preserve">A CTI </w:t>
      </w:r>
      <w:r w:rsidR="00203E53">
        <w:t xml:space="preserve">must include </w:t>
      </w:r>
      <w:r w:rsidR="007A7D0B">
        <w:t xml:space="preserve">a </w:t>
      </w:r>
      <w:r>
        <w:t>“trigger” that a hospital uses to identify the population</w:t>
      </w:r>
      <w:r w:rsidR="00382A15">
        <w:t xml:space="preserve"> for</w:t>
      </w:r>
      <w:r>
        <w:t xml:space="preserve"> </w:t>
      </w:r>
      <w:r w:rsidR="001D1709">
        <w:t xml:space="preserve">whom they are </w:t>
      </w:r>
      <w:r w:rsidR="00382A15">
        <w:t>accountable</w:t>
      </w:r>
      <w:r w:rsidR="001D1709">
        <w:t xml:space="preserve">. </w:t>
      </w:r>
      <w:r w:rsidR="000370E0">
        <w:t xml:space="preserve">For example, a CTI could be any hospital discharge with a DRG for major joint replacement of the lower extremity. </w:t>
      </w:r>
      <w:r w:rsidR="00576AF7">
        <w:t>Hospitals may propose a</w:t>
      </w:r>
      <w:r w:rsidR="00E26F87">
        <w:t>ny claims-based triggers as a CTI. The process for a hospital to propose a CTI is described in</w:t>
      </w:r>
      <w:r w:rsidR="004203AE">
        <w:t xml:space="preserve"> a</w:t>
      </w:r>
      <w:r w:rsidR="00E26F87">
        <w:t xml:space="preserve"> </w:t>
      </w:r>
      <w:r w:rsidR="004203AE">
        <w:t>Frequently Asked Questions document (CTI FAQs</w:t>
      </w:r>
      <w:r w:rsidR="00A00CAF">
        <w:t xml:space="preserve"> available on the HSCRC website</w:t>
      </w:r>
      <w:r w:rsidR="004203AE">
        <w:t>).</w:t>
      </w:r>
      <w:r w:rsidR="00A00CAF">
        <w:rPr>
          <w:rStyle w:val="FootnoteReference"/>
        </w:rPr>
        <w:footnoteReference w:id="4"/>
      </w:r>
      <w:r w:rsidR="004203AE">
        <w:t xml:space="preserve"> Users should refer to that document for information regarding how to receive approval for a CTI, the population characteristics available in the CCLF, and other information regarding population selection.</w:t>
      </w:r>
      <w:r w:rsidR="00A00CAF">
        <w:rPr>
          <w:rStyle w:val="FootnoteReference"/>
        </w:rPr>
        <w:footnoteReference w:id="5"/>
      </w:r>
      <w:r w:rsidR="00A00CAF">
        <w:t xml:space="preserve"> </w:t>
      </w:r>
      <w:r w:rsidR="00BE6410">
        <w:t xml:space="preserve">Once a CTI has been approved, the HSCRC will use the CTI’s trigger conditions to </w:t>
      </w:r>
      <w:r w:rsidR="00AF22BC">
        <w:t xml:space="preserve">identify the CTI </w:t>
      </w:r>
      <w:r w:rsidR="00361721">
        <w:t>population, described in Steps 1.A and 1.B.</w:t>
      </w:r>
      <w:r w:rsidR="00BE6410">
        <w:t xml:space="preserve"> </w:t>
      </w:r>
      <w:r w:rsidR="00046BDB">
        <w:tab/>
      </w:r>
    </w:p>
    <w:p w14:paraId="2258CC81" w14:textId="2D6E2C34" w:rsidR="00E3530A" w:rsidRDefault="00E3530A" w:rsidP="00046BDB">
      <w:pPr>
        <w:pStyle w:val="Heading4"/>
        <w:tabs>
          <w:tab w:val="left" w:pos="5265"/>
        </w:tabs>
      </w:pPr>
      <w:bookmarkStart w:id="9" w:name="_Toc24993081"/>
      <w:r>
        <w:lastRenderedPageBreak/>
        <w:t>Step 1.A: Determine the CTI Eligible Population</w:t>
      </w:r>
      <w:bookmarkEnd w:id="9"/>
      <w:r w:rsidR="00BE6410">
        <w:tab/>
      </w:r>
    </w:p>
    <w:p w14:paraId="02B59481" w14:textId="58444220" w:rsidR="001506A3" w:rsidRDefault="004203AE" w:rsidP="003B714D">
      <w:r>
        <w:t>Before applying the CTI trigger, the HSCRC will exclude certain beneficiaries that are not eligible for a CTI. Ineligible beneficiaries are excluded from the CTI beca</w:t>
      </w:r>
      <w:r w:rsidR="00863A81">
        <w:t xml:space="preserve">use their cost profile is unusual and therefore savings calculations </w:t>
      </w:r>
      <w:r w:rsidR="001C7EF7">
        <w:t>on those beneficiaries would be</w:t>
      </w:r>
      <w:r w:rsidR="00A00CAF">
        <w:t xml:space="preserve"> </w:t>
      </w:r>
      <w:r w:rsidR="007939EA">
        <w:t xml:space="preserve">unreliable. </w:t>
      </w:r>
      <w:r w:rsidR="00A00CAF">
        <w:t xml:space="preserve">The exclusions </w:t>
      </w:r>
      <w:r w:rsidR="00E432B1">
        <w:t>include</w:t>
      </w:r>
      <w:r w:rsidR="00A00CAF">
        <w:t xml:space="preserve">: </w:t>
      </w:r>
    </w:p>
    <w:p w14:paraId="6BD6AFF7" w14:textId="008AFC12" w:rsidR="003B714D" w:rsidRDefault="003B714D" w:rsidP="003B714D">
      <w:pPr>
        <w:pStyle w:val="ListParagraph"/>
        <w:numPr>
          <w:ilvl w:val="0"/>
          <w:numId w:val="50"/>
        </w:numPr>
      </w:pPr>
      <w:r>
        <w:t>Beneficiar</w:t>
      </w:r>
      <w:r w:rsidR="00E432B1">
        <w:t xml:space="preserve">ies who are </w:t>
      </w:r>
      <w:r>
        <w:t xml:space="preserve">not continuously enrolled in Medicare Part A and B or </w:t>
      </w:r>
      <w:r w:rsidR="004E16AF">
        <w:t xml:space="preserve">have </w:t>
      </w:r>
      <w:r>
        <w:t xml:space="preserve">a different primary payer </w:t>
      </w:r>
    </w:p>
    <w:p w14:paraId="59FF8D61" w14:textId="6EF4DE9B" w:rsidR="003B714D" w:rsidRDefault="00830C76" w:rsidP="003B714D">
      <w:pPr>
        <w:pStyle w:val="ListParagraph"/>
        <w:numPr>
          <w:ilvl w:val="0"/>
          <w:numId w:val="50"/>
        </w:numPr>
      </w:pPr>
      <w:r>
        <w:t>Beneficiaries with hospital stays longer than 60 days</w:t>
      </w:r>
    </w:p>
    <w:p w14:paraId="7494495B" w14:textId="5E926FF2" w:rsidR="003B714D" w:rsidRDefault="00830C76" w:rsidP="003B714D">
      <w:pPr>
        <w:pStyle w:val="ListParagraph"/>
        <w:numPr>
          <w:ilvl w:val="0"/>
          <w:numId w:val="50"/>
        </w:numPr>
      </w:pPr>
      <w:r w:rsidRPr="003B714D">
        <w:rPr>
          <w:b/>
        </w:rPr>
        <w:t xml:space="preserve">Optional: </w:t>
      </w:r>
      <w:r w:rsidR="004E16AF">
        <w:t>B</w:t>
      </w:r>
      <w:r>
        <w:t xml:space="preserve">eneficiary </w:t>
      </w:r>
      <w:r w:rsidR="004E16AF">
        <w:t xml:space="preserve">who die </w:t>
      </w:r>
      <w:r>
        <w:t xml:space="preserve">during the year </w:t>
      </w:r>
    </w:p>
    <w:p w14:paraId="1FF203EF" w14:textId="7615B872" w:rsidR="003B714D" w:rsidRDefault="003B714D" w:rsidP="003B714D">
      <w:pPr>
        <w:pStyle w:val="ListParagraph"/>
        <w:numPr>
          <w:ilvl w:val="0"/>
          <w:numId w:val="50"/>
        </w:numPr>
      </w:pPr>
      <w:r w:rsidRPr="003B714D">
        <w:rPr>
          <w:b/>
        </w:rPr>
        <w:t>Optional:</w:t>
      </w:r>
      <w:r>
        <w:t xml:space="preserve"> </w:t>
      </w:r>
      <w:r w:rsidR="004E16AF">
        <w:t xml:space="preserve">Beneficiaries who </w:t>
      </w:r>
      <w:r>
        <w:t>receiv</w:t>
      </w:r>
      <w:r w:rsidR="004E16AF">
        <w:t xml:space="preserve">e </w:t>
      </w:r>
      <w:r>
        <w:t xml:space="preserve">End-Stage Renal Disease (ESRD) </w:t>
      </w:r>
    </w:p>
    <w:p w14:paraId="37879E06" w14:textId="3DCF072D" w:rsidR="003B714D" w:rsidRPr="003B714D" w:rsidRDefault="00BB5055" w:rsidP="003B714D">
      <w:r>
        <w:t xml:space="preserve">Beneficiaries who die during the course of the year and beneficiaries </w:t>
      </w:r>
      <w:r w:rsidR="00A00CAF">
        <w:t>who</w:t>
      </w:r>
      <w:r>
        <w:t xml:space="preserve"> receive ESRD services tend to have high TCOC. Consequently, </w:t>
      </w:r>
      <w:r w:rsidR="00215675">
        <w:t>these beneficiaries are likely to be outliers when compared to the rest of the CTI population and excluded</w:t>
      </w:r>
      <w:r w:rsidR="003461F9">
        <w:t xml:space="preserve"> as the default</w:t>
      </w:r>
      <w:r w:rsidR="00215675">
        <w:t xml:space="preserve">. </w:t>
      </w:r>
      <w:r w:rsidR="007E43FB">
        <w:t xml:space="preserve">However, these beneficiaries may be </w:t>
      </w:r>
      <w:r w:rsidR="000B363D">
        <w:t xml:space="preserve">optionally </w:t>
      </w:r>
      <w:r w:rsidR="007E43FB">
        <w:t>included in CTI</w:t>
      </w:r>
      <w:r w:rsidR="00CE7570">
        <w:t xml:space="preserve"> </w:t>
      </w:r>
      <w:r w:rsidR="00984C50">
        <w:t>if the purpose of that CTI is to mana</w:t>
      </w:r>
      <w:r w:rsidR="000B363D">
        <w:t>ge the costs associated with those services</w:t>
      </w:r>
      <w:r w:rsidR="00984C50">
        <w:t xml:space="preserve">. </w:t>
      </w:r>
      <w:r w:rsidR="000B363D">
        <w:t>Thus</w:t>
      </w:r>
      <w:r w:rsidR="00A00CAF">
        <w:t>,</w:t>
      </w:r>
      <w:r w:rsidR="000B363D">
        <w:t xml:space="preserve"> a hospital may propose a CTI that includes ESRD beneficiaries</w:t>
      </w:r>
      <w:r w:rsidR="00A00CAF">
        <w:t xml:space="preserve"> or those who may die during the year</w:t>
      </w:r>
      <w:r w:rsidR="000B363D">
        <w:t xml:space="preserve">. </w:t>
      </w:r>
      <w:r w:rsidR="00DF1CE8">
        <w:t xml:space="preserve">The CT Steering Committee will make as an assessment as to whether those beneficiaries should be included, not included, or left to individual hospitals to decide. </w:t>
      </w:r>
    </w:p>
    <w:p w14:paraId="0F9229CE" w14:textId="34ED89D8" w:rsidR="00830C76" w:rsidRDefault="00830C76" w:rsidP="00046BDB">
      <w:pPr>
        <w:pStyle w:val="Heading4"/>
        <w:tabs>
          <w:tab w:val="left" w:pos="6097"/>
        </w:tabs>
      </w:pPr>
      <w:bookmarkStart w:id="10" w:name="_Toc24993082"/>
      <w:r>
        <w:t>Step 1.B: Identify Anchor Events</w:t>
      </w:r>
      <w:bookmarkEnd w:id="10"/>
      <w:r>
        <w:t xml:space="preserve"> </w:t>
      </w:r>
      <w:r w:rsidR="00DF1CE8">
        <w:tab/>
      </w:r>
    </w:p>
    <w:p w14:paraId="31D63D2F" w14:textId="472D640B" w:rsidR="0085686F" w:rsidRDefault="003C09D8" w:rsidP="00046BDB">
      <w:r>
        <w:t xml:space="preserve">Once ineligible beneficiaries have been excluded, the HSCRC will identify </w:t>
      </w:r>
      <w:r w:rsidR="00A47F5B">
        <w:t xml:space="preserve">beneficiaries that meet the CTI trigger criteria. </w:t>
      </w:r>
      <w:r w:rsidR="00F95A74">
        <w:t xml:space="preserve">For example, if </w:t>
      </w:r>
      <w:r w:rsidR="00E8727D">
        <w:t xml:space="preserve">a </w:t>
      </w:r>
      <w:r w:rsidR="00F95A74">
        <w:t>CTI is trigger</w:t>
      </w:r>
      <w:r w:rsidR="00E8727D">
        <w:t>ed</w:t>
      </w:r>
      <w:r w:rsidR="00F95A74">
        <w:t xml:space="preserve"> by a hospital discharge with a SOI level of 2 or 3</w:t>
      </w:r>
      <w:r w:rsidR="00E8727D">
        <w:t>,</w:t>
      </w:r>
      <w:r w:rsidR="00F95A74">
        <w:t xml:space="preserve"> then any beneficiary that does not receive </w:t>
      </w:r>
      <w:r w:rsidR="00B84935">
        <w:t xml:space="preserve">a hospital discharge </w:t>
      </w:r>
      <w:r w:rsidR="00E8727D">
        <w:t>or</w:t>
      </w:r>
      <w:r w:rsidR="00B84935">
        <w:t xml:space="preserve"> those beneficiaries receive hospital discharge with an SOI </w:t>
      </w:r>
      <w:r w:rsidR="00BD0332">
        <w:t xml:space="preserve">of 1 or 4, will be excluded. The output of this step is a list of beneficiaries who met the triggering condition. </w:t>
      </w:r>
      <w:r w:rsidR="00835101">
        <w:t>T</w:t>
      </w:r>
      <w:r w:rsidR="00A70059">
        <w:t xml:space="preserve">hroughout this document, those </w:t>
      </w:r>
      <w:r w:rsidR="00886D78">
        <w:t>beneficiaries</w:t>
      </w:r>
      <w:r w:rsidR="00A70059">
        <w:t xml:space="preserve"> are called “CTI Beneficiaries</w:t>
      </w:r>
      <w:r w:rsidR="00886D78">
        <w:t>.</w:t>
      </w:r>
      <w:r w:rsidR="00A70059">
        <w:t>”</w:t>
      </w:r>
    </w:p>
    <w:p w14:paraId="10007903" w14:textId="1F8FF893" w:rsidR="00A70059" w:rsidRDefault="00B60407" w:rsidP="00046BDB">
      <w:pPr>
        <w:pStyle w:val="Heading3"/>
        <w:tabs>
          <w:tab w:val="left" w:pos="7032"/>
        </w:tabs>
      </w:pPr>
      <w:bookmarkStart w:id="11" w:name="_Toc24993083"/>
      <w:r>
        <w:t xml:space="preserve">Step 2: Construct the </w:t>
      </w:r>
      <w:r w:rsidR="00F05B7F">
        <w:t xml:space="preserve">CTI </w:t>
      </w:r>
      <w:r>
        <w:t>Episode</w:t>
      </w:r>
      <w:bookmarkEnd w:id="11"/>
      <w:r>
        <w:t xml:space="preserve"> </w:t>
      </w:r>
      <w:r w:rsidR="00DF1CE8">
        <w:tab/>
      </w:r>
    </w:p>
    <w:p w14:paraId="26AC5A89" w14:textId="75BBDF27" w:rsidR="00F05B7F" w:rsidRPr="00F05B7F" w:rsidRDefault="00F05B7F" w:rsidP="00F05B7F">
      <w:r>
        <w:t xml:space="preserve">The following section describes </w:t>
      </w:r>
      <w:r w:rsidR="0083105D">
        <w:t>the costs included in a CTI</w:t>
      </w:r>
      <w:r>
        <w:t>.</w:t>
      </w:r>
      <w:r w:rsidR="004A052B">
        <w:t xml:space="preserve"> Each beneficiary that meets the CTI trigger conditions will initiate a CTI </w:t>
      </w:r>
      <w:r w:rsidR="008D45C4">
        <w:t>E</w:t>
      </w:r>
      <w:r w:rsidR="00711EAA">
        <w:t>pisode and hospitals are accountable for most</w:t>
      </w:r>
      <w:r w:rsidR="00711EAA" w:rsidRPr="00711EAA">
        <w:t xml:space="preserve"> </w:t>
      </w:r>
      <w:r w:rsidR="00711EAA">
        <w:t xml:space="preserve">Medicare Parts A and B costs that occur during </w:t>
      </w:r>
      <w:r w:rsidR="00E8727D">
        <w:t>that</w:t>
      </w:r>
      <w:r w:rsidR="00711EAA">
        <w:t xml:space="preserve"> CTI Episode. When calculating CTI Episode costs, HSCRC </w:t>
      </w:r>
      <w:r w:rsidR="00E23533">
        <w:t>will use the</w:t>
      </w:r>
      <w:r>
        <w:t xml:space="preserve"> final action claims contained in the CCLF data file provided to the State of Maryland</w:t>
      </w:r>
      <w:r w:rsidR="00E23533" w:rsidRPr="00E23533">
        <w:t xml:space="preserve"> </w:t>
      </w:r>
      <w:r w:rsidR="00E23533">
        <w:t>by CMS</w:t>
      </w:r>
      <w:r>
        <w:t>. This section follows</w:t>
      </w:r>
      <w:r w:rsidR="00194EDA">
        <w:t xml:space="preserve"> methodology generally</w:t>
      </w:r>
      <w:r>
        <w:t xml:space="preserve"> from the BPCI Advanced Clinical Episode Construction and Episode Care Improvement Program (ECIP) specifications</w:t>
      </w:r>
      <w:r w:rsidR="00835101">
        <w:t>.</w:t>
      </w:r>
    </w:p>
    <w:p w14:paraId="0D2689ED" w14:textId="236C95D1" w:rsidR="008812B8" w:rsidRDefault="00F05B7F" w:rsidP="00F05B7F">
      <w:pPr>
        <w:pStyle w:val="Heading4"/>
      </w:pPr>
      <w:bookmarkStart w:id="12" w:name="_Toc24993084"/>
      <w:r>
        <w:t>Step 2.A: Construct the Episode Window</w:t>
      </w:r>
      <w:bookmarkEnd w:id="12"/>
      <w:r w:rsidR="008812B8" w:rsidRPr="00F05B7F">
        <w:t xml:space="preserve"> </w:t>
      </w:r>
    </w:p>
    <w:p w14:paraId="3F873EB4" w14:textId="2736083B" w:rsidR="0083105D" w:rsidRDefault="0083105D" w:rsidP="00046BDB">
      <w:r>
        <w:t xml:space="preserve">The hospital is accountable for the TCOC of </w:t>
      </w:r>
      <w:r w:rsidR="00AB617A">
        <w:t>CTI Beneficiaries</w:t>
      </w:r>
      <w:r>
        <w:t xml:space="preserve"> for a certain number of days as determined by the hospital</w:t>
      </w:r>
      <w:r w:rsidR="00194EDA">
        <w:t>. F</w:t>
      </w:r>
      <w:r>
        <w:t xml:space="preserve">or example, the hospital may specify that they wish to be accountable for a 90 day period of time. A beneficiary is assigned to the CTI on the day that they receive the trigger claim and </w:t>
      </w:r>
      <w:r w:rsidR="00194EDA">
        <w:t>removed from</w:t>
      </w:r>
      <w:r>
        <w:t xml:space="preserve"> the CTI after the indicated time period. This is called the CTI “Episode Window.” </w:t>
      </w:r>
      <w:r w:rsidR="00D344D7">
        <w:t xml:space="preserve">For example, the CTI Episode Window could be the 90 days following a </w:t>
      </w:r>
      <w:r w:rsidR="009E7164">
        <w:t xml:space="preserve">hospitalization with a SOI level of 2 or 3. </w:t>
      </w:r>
    </w:p>
    <w:p w14:paraId="735D60AE" w14:textId="5EE68B09" w:rsidR="00023F59" w:rsidRDefault="00E02566" w:rsidP="00046BDB">
      <w:r>
        <w:t>When proposing a CTI, a hospital may choose to include or exclude the triggering event. If the trigger event is included</w:t>
      </w:r>
      <w:r w:rsidR="00194EDA">
        <w:t>,</w:t>
      </w:r>
      <w:r>
        <w:t xml:space="preserve"> the CTI Episode Window begins on the day that the triggering event was met. If the trigger event is excluded, the CTI Episode Window begins on the day after the triggering event was met. In the prior example, including the triggering hospital admission would mean that all hospital, physician, and other costs that are incurred during the hospitalization will be included in the CTI </w:t>
      </w:r>
      <w:r w:rsidR="00234527">
        <w:t>Episode</w:t>
      </w:r>
      <w:r w:rsidR="00C44C24">
        <w:t xml:space="preserve">. Excluding </w:t>
      </w:r>
      <w:r w:rsidR="00C44C24">
        <w:lastRenderedPageBreak/>
        <w:t>the triggering hospital admission would mean that only costs which are incurred after the patient is discharged from the hospital will be included.</w:t>
      </w:r>
      <w:r w:rsidR="00234527">
        <w:t xml:space="preserve"> </w:t>
      </w:r>
      <w:r w:rsidR="00023F59">
        <w:t>The output of this step is a list of beneficiaries and the Episode Window</w:t>
      </w:r>
      <w:r w:rsidR="00194EDA">
        <w:t xml:space="preserve"> (dates of trigger and window end)</w:t>
      </w:r>
      <w:r w:rsidR="00023F59">
        <w:t xml:space="preserve"> associated with each </w:t>
      </w:r>
      <w:r w:rsidR="00072CEB">
        <w:t>beneficiary.</w:t>
      </w:r>
    </w:p>
    <w:p w14:paraId="114D98CA" w14:textId="3F912E8A" w:rsidR="00F05B7F" w:rsidRDefault="00F05B7F" w:rsidP="00F05B7F">
      <w:pPr>
        <w:pStyle w:val="Heading4"/>
      </w:pPr>
      <w:bookmarkStart w:id="13" w:name="_Toc24993085"/>
      <w:r>
        <w:t>Step 2.B: Exclude Overlapping Episodes</w:t>
      </w:r>
      <w:bookmarkEnd w:id="13"/>
      <w:r>
        <w:t xml:space="preserve"> </w:t>
      </w:r>
    </w:p>
    <w:p w14:paraId="4491CC59" w14:textId="3959BA2C" w:rsidR="006C2490" w:rsidRDefault="006C2490" w:rsidP="00046BDB">
      <w:r>
        <w:t>A CTI Beneficiary may only be included in one</w:t>
      </w:r>
      <w:r w:rsidR="00194EDA">
        <w:t xml:space="preserve"> </w:t>
      </w:r>
      <w:r>
        <w:t xml:space="preserve">Episode Window </w:t>
      </w:r>
      <w:r w:rsidR="00C52F76">
        <w:t>under a CTI</w:t>
      </w:r>
      <w:r w:rsidR="006C2A22">
        <w:t>. If an Episode Window overlaps with another</w:t>
      </w:r>
      <w:r w:rsidR="00194EDA">
        <w:t xml:space="preserve"> </w:t>
      </w:r>
      <w:r w:rsidR="00D31C62">
        <w:t xml:space="preserve">triggered </w:t>
      </w:r>
      <w:r w:rsidR="006C2A22">
        <w:t>Episode Window, the second Episode Window will be excluded.</w:t>
      </w:r>
      <w:r w:rsidR="008317EF">
        <w:t xml:space="preserve"> </w:t>
      </w:r>
      <w:r w:rsidR="00C50132">
        <w:t xml:space="preserve">An overlap occurs if the episode windows have one or more dates in common. </w:t>
      </w:r>
      <w:r w:rsidR="008317EF">
        <w:t xml:space="preserve">In Example 1 below, Beneficiary B002 met the triggering condition for the CTI twice, first on July 22, 2020 </w:t>
      </w:r>
      <w:r w:rsidR="00E113DE">
        <w:t xml:space="preserve">(episode number E002) </w:t>
      </w:r>
      <w:r w:rsidR="008317EF">
        <w:t xml:space="preserve">and subsequently on </w:t>
      </w:r>
      <w:r w:rsidR="00C50132">
        <w:t>October 13</w:t>
      </w:r>
      <w:r w:rsidR="008317EF">
        <w:t>, 2020</w:t>
      </w:r>
      <w:r w:rsidR="00E113DE">
        <w:t xml:space="preserve"> (episode number E005)</w:t>
      </w:r>
      <w:r w:rsidR="00E9175D">
        <w:t>.</w:t>
      </w:r>
      <w:r w:rsidR="008317EF">
        <w:t xml:space="preserve"> </w:t>
      </w:r>
      <w:r w:rsidR="009F51A6">
        <w:t>The first episode ends 90 days after July 22, on October 14</w:t>
      </w:r>
      <w:r w:rsidR="00D31C62">
        <w:t>th</w:t>
      </w:r>
      <w:r w:rsidR="009F51A6">
        <w:t>, and therefore overlaps with the second on October 13</w:t>
      </w:r>
      <w:r w:rsidR="00D31C62">
        <w:t>th</w:t>
      </w:r>
      <w:r w:rsidR="009F51A6">
        <w:t xml:space="preserve"> and 14</w:t>
      </w:r>
      <w:r w:rsidR="00D31C62">
        <w:t>th</w:t>
      </w:r>
      <w:r w:rsidR="009F51A6">
        <w:t xml:space="preserve">. Because of the overlap, the second episode E005 will be excluded. </w:t>
      </w:r>
    </w:p>
    <w:p w14:paraId="128E43CF" w14:textId="4247FC8E" w:rsidR="00EF41BC" w:rsidRDefault="00EF41BC" w:rsidP="00046BDB">
      <w:r>
        <w:t xml:space="preserve">The overlaps are assessed </w:t>
      </w:r>
      <w:r w:rsidR="008353DC">
        <w:t>across all hospitals. T</w:t>
      </w:r>
      <w:r w:rsidR="0027056D">
        <w:t>his means that the second episode (episode number E</w:t>
      </w:r>
      <w:r w:rsidR="00C50132">
        <w:t>005</w:t>
      </w:r>
      <w:r w:rsidR="0027056D">
        <w:t>) will be dropped</w:t>
      </w:r>
      <w:r w:rsidR="00D31C62">
        <w:t>,</w:t>
      </w:r>
      <w:r w:rsidR="0027056D">
        <w:t xml:space="preserve"> even if it is</w:t>
      </w:r>
      <w:r w:rsidR="00C50132">
        <w:t xml:space="preserve"> initiated with </w:t>
      </w:r>
      <w:r w:rsidR="0027056D">
        <w:t xml:space="preserve">a different hospital. </w:t>
      </w:r>
      <w:r w:rsidR="00703837">
        <w:t xml:space="preserve">Additionally, the second </w:t>
      </w:r>
      <w:r w:rsidR="00F762A0">
        <w:t>episo</w:t>
      </w:r>
      <w:r w:rsidR="00102245">
        <w:t>de will be dropped even if th</w:t>
      </w:r>
      <w:r w:rsidR="00D31C62">
        <w:t>e</w:t>
      </w:r>
      <w:r w:rsidR="00102245">
        <w:t xml:space="preserve"> hospital triggering the episode is the one that proposed the </w:t>
      </w:r>
      <w:r w:rsidR="004A7655">
        <w:t xml:space="preserve">CTI and the </w:t>
      </w:r>
      <w:r w:rsidR="00006761">
        <w:t xml:space="preserve">triggering </w:t>
      </w:r>
      <w:r w:rsidR="00960A9D">
        <w:t xml:space="preserve">event for the first </w:t>
      </w:r>
      <w:r w:rsidR="005E1442">
        <w:t xml:space="preserve">CTI episode </w:t>
      </w:r>
      <w:r w:rsidR="005F61C9">
        <w:t>occurred at a hospital t</w:t>
      </w:r>
      <w:r w:rsidR="001F1ADE">
        <w:t xml:space="preserve">hat is not participating in the CTI. </w:t>
      </w:r>
    </w:p>
    <w:p w14:paraId="5A1D8921" w14:textId="062403D1" w:rsidR="002E5EEA" w:rsidRDefault="002E5EEA" w:rsidP="004B5933">
      <w:pPr>
        <w:spacing w:after="0"/>
        <w:rPr>
          <w:i/>
        </w:rPr>
      </w:pPr>
      <w:r w:rsidRPr="005B425D">
        <w:rPr>
          <w:b/>
          <w:i/>
        </w:rPr>
        <w:t xml:space="preserve">Example </w:t>
      </w:r>
      <w:r w:rsidR="005B425D" w:rsidRPr="005B425D">
        <w:rPr>
          <w:b/>
          <w:i/>
        </w:rPr>
        <w:t>1</w:t>
      </w:r>
      <w:r w:rsidR="005B425D">
        <w:rPr>
          <w:i/>
        </w:rPr>
        <w:t xml:space="preserve">. </w:t>
      </w:r>
      <w:r>
        <w:rPr>
          <w:i/>
        </w:rPr>
        <w:t>CTI Overlap Determination</w:t>
      </w:r>
    </w:p>
    <w:tbl>
      <w:tblPr>
        <w:tblStyle w:val="GridTable4-Accent1"/>
        <w:tblW w:w="9445" w:type="dxa"/>
        <w:tblLook w:val="0420" w:firstRow="1" w:lastRow="0" w:firstColumn="0" w:lastColumn="0" w:noHBand="0" w:noVBand="1"/>
      </w:tblPr>
      <w:tblGrid>
        <w:gridCol w:w="1153"/>
        <w:gridCol w:w="894"/>
        <w:gridCol w:w="2293"/>
        <w:gridCol w:w="5105"/>
      </w:tblGrid>
      <w:tr w:rsidR="00E113DE" w:rsidRPr="002E5EEA" w14:paraId="1EB5D62B" w14:textId="77777777" w:rsidTr="00046BDB">
        <w:trPr>
          <w:cnfStyle w:val="100000000000" w:firstRow="1" w:lastRow="0" w:firstColumn="0" w:lastColumn="0" w:oddVBand="0" w:evenVBand="0" w:oddHBand="0" w:evenHBand="0" w:firstRowFirstColumn="0" w:firstRowLastColumn="0" w:lastRowFirstColumn="0" w:lastRowLastColumn="0"/>
          <w:trHeight w:val="235"/>
        </w:trPr>
        <w:tc>
          <w:tcPr>
            <w:tcW w:w="1153" w:type="dxa"/>
            <w:tcBorders>
              <w:top w:val="single" w:sz="4" w:space="0" w:color="auto"/>
              <w:left w:val="single" w:sz="4" w:space="0" w:color="auto"/>
            </w:tcBorders>
            <w:hideMark/>
          </w:tcPr>
          <w:p w14:paraId="5B7AF1B0" w14:textId="274DD38C" w:rsidR="00E113DE" w:rsidRPr="002E5EEA" w:rsidRDefault="00E113DE">
            <w:pPr>
              <w:spacing w:after="160" w:line="259" w:lineRule="auto"/>
              <w:rPr>
                <w:i/>
              </w:rPr>
            </w:pPr>
            <w:r>
              <w:rPr>
                <w:b w:val="0"/>
                <w:bCs w:val="0"/>
                <w:i/>
                <w:u w:val="single"/>
              </w:rPr>
              <w:t>Ep</w:t>
            </w:r>
            <w:r w:rsidRPr="002E5EEA">
              <w:rPr>
                <w:i/>
                <w:u w:val="single"/>
              </w:rPr>
              <w:t>i</w:t>
            </w:r>
            <w:r>
              <w:rPr>
                <w:b w:val="0"/>
                <w:bCs w:val="0"/>
                <w:i/>
                <w:u w:val="single"/>
              </w:rPr>
              <w:t>s</w:t>
            </w:r>
            <w:r w:rsidRPr="002E5EEA">
              <w:rPr>
                <w:i/>
                <w:u w:val="single"/>
              </w:rPr>
              <w:t xml:space="preserve">ode </w:t>
            </w:r>
            <w:r>
              <w:rPr>
                <w:i/>
                <w:u w:val="single"/>
              </w:rPr>
              <w:t>Number</w:t>
            </w:r>
          </w:p>
        </w:tc>
        <w:tc>
          <w:tcPr>
            <w:tcW w:w="894" w:type="dxa"/>
            <w:tcBorders>
              <w:top w:val="single" w:sz="4" w:space="0" w:color="auto"/>
            </w:tcBorders>
            <w:hideMark/>
          </w:tcPr>
          <w:p w14:paraId="1696D072" w14:textId="77777777" w:rsidR="00E113DE" w:rsidRPr="002E5EEA" w:rsidRDefault="00E113DE" w:rsidP="002E5EEA">
            <w:pPr>
              <w:spacing w:after="160" w:line="259" w:lineRule="auto"/>
              <w:rPr>
                <w:i/>
              </w:rPr>
            </w:pPr>
            <w:r w:rsidRPr="002E5EEA">
              <w:rPr>
                <w:i/>
                <w:u w:val="single"/>
              </w:rPr>
              <w:t>Bene ID</w:t>
            </w:r>
          </w:p>
        </w:tc>
        <w:tc>
          <w:tcPr>
            <w:tcW w:w="2293" w:type="dxa"/>
            <w:tcBorders>
              <w:top w:val="single" w:sz="4" w:space="0" w:color="auto"/>
            </w:tcBorders>
            <w:hideMark/>
          </w:tcPr>
          <w:p w14:paraId="32C76148" w14:textId="7C297F4B" w:rsidR="00E113DE" w:rsidRPr="002E5EEA" w:rsidRDefault="00E113DE" w:rsidP="002E5EEA">
            <w:pPr>
              <w:spacing w:after="160" w:line="259" w:lineRule="auto"/>
              <w:rPr>
                <w:i/>
              </w:rPr>
            </w:pPr>
            <w:r>
              <w:rPr>
                <w:b w:val="0"/>
                <w:bCs w:val="0"/>
                <w:i/>
                <w:u w:val="single"/>
              </w:rPr>
              <w:t>Ep</w:t>
            </w:r>
            <w:r w:rsidRPr="002E5EEA">
              <w:rPr>
                <w:i/>
                <w:u w:val="single"/>
              </w:rPr>
              <w:t>i</w:t>
            </w:r>
            <w:r>
              <w:rPr>
                <w:b w:val="0"/>
                <w:bCs w:val="0"/>
                <w:i/>
                <w:u w:val="single"/>
              </w:rPr>
              <w:t>s</w:t>
            </w:r>
            <w:r w:rsidRPr="002E5EEA">
              <w:rPr>
                <w:i/>
                <w:u w:val="single"/>
              </w:rPr>
              <w:t>ode Window</w:t>
            </w:r>
          </w:p>
        </w:tc>
        <w:tc>
          <w:tcPr>
            <w:tcW w:w="5105" w:type="dxa"/>
            <w:tcBorders>
              <w:top w:val="single" w:sz="4" w:space="0" w:color="auto"/>
              <w:right w:val="single" w:sz="4" w:space="0" w:color="auto"/>
            </w:tcBorders>
            <w:hideMark/>
          </w:tcPr>
          <w:p w14:paraId="76D32EC3" w14:textId="77777777" w:rsidR="00E113DE" w:rsidRPr="002E5EEA" w:rsidRDefault="00E113DE" w:rsidP="002E5EEA">
            <w:pPr>
              <w:spacing w:after="160" w:line="259" w:lineRule="auto"/>
              <w:rPr>
                <w:i/>
              </w:rPr>
            </w:pPr>
            <w:r w:rsidRPr="002E5EEA">
              <w:rPr>
                <w:i/>
                <w:u w:val="single"/>
              </w:rPr>
              <w:t>Comment</w:t>
            </w:r>
          </w:p>
        </w:tc>
      </w:tr>
      <w:tr w:rsidR="00E113DE" w:rsidRPr="002E5EEA" w14:paraId="62900A62" w14:textId="77777777" w:rsidTr="00046BDB">
        <w:trPr>
          <w:cnfStyle w:val="000000100000" w:firstRow="0" w:lastRow="0" w:firstColumn="0" w:lastColumn="0" w:oddVBand="0" w:evenVBand="0" w:oddHBand="1" w:evenHBand="0" w:firstRowFirstColumn="0" w:firstRowLastColumn="0" w:lastRowFirstColumn="0" w:lastRowLastColumn="0"/>
          <w:trHeight w:val="218"/>
        </w:trPr>
        <w:tc>
          <w:tcPr>
            <w:tcW w:w="1153" w:type="dxa"/>
            <w:tcBorders>
              <w:left w:val="single" w:sz="4" w:space="0" w:color="auto"/>
            </w:tcBorders>
            <w:hideMark/>
          </w:tcPr>
          <w:p w14:paraId="510EE7AE" w14:textId="34B24E6A" w:rsidR="00E113DE" w:rsidRPr="002E5EEA" w:rsidRDefault="00E113DE" w:rsidP="0044472F">
            <w:pPr>
              <w:spacing w:line="259" w:lineRule="auto"/>
              <w:rPr>
                <w:i/>
              </w:rPr>
            </w:pPr>
            <w:r>
              <w:rPr>
                <w:i/>
              </w:rPr>
              <w:t>E00</w:t>
            </w:r>
            <w:r w:rsidRPr="002E5EEA">
              <w:rPr>
                <w:i/>
              </w:rPr>
              <w:t>1</w:t>
            </w:r>
          </w:p>
        </w:tc>
        <w:tc>
          <w:tcPr>
            <w:tcW w:w="894" w:type="dxa"/>
            <w:hideMark/>
          </w:tcPr>
          <w:p w14:paraId="43DAE563" w14:textId="77777777" w:rsidR="00E113DE" w:rsidRPr="002E5EEA" w:rsidRDefault="00E113DE" w:rsidP="0044472F">
            <w:pPr>
              <w:spacing w:line="259" w:lineRule="auto"/>
              <w:rPr>
                <w:i/>
              </w:rPr>
            </w:pPr>
            <w:r w:rsidRPr="002E5EEA">
              <w:rPr>
                <w:i/>
              </w:rPr>
              <w:t>B001</w:t>
            </w:r>
          </w:p>
        </w:tc>
        <w:tc>
          <w:tcPr>
            <w:tcW w:w="2293" w:type="dxa"/>
            <w:hideMark/>
          </w:tcPr>
          <w:p w14:paraId="3F9EE560" w14:textId="77777777" w:rsidR="00E113DE" w:rsidRPr="002E5EEA" w:rsidRDefault="00E113DE" w:rsidP="0044472F">
            <w:pPr>
              <w:spacing w:line="259" w:lineRule="auto"/>
              <w:rPr>
                <w:i/>
              </w:rPr>
            </w:pPr>
            <w:r w:rsidRPr="002E5EEA">
              <w:rPr>
                <w:i/>
              </w:rPr>
              <w:t>07/08/2020 - 10/06/2020</w:t>
            </w:r>
          </w:p>
        </w:tc>
        <w:tc>
          <w:tcPr>
            <w:tcW w:w="5105" w:type="dxa"/>
            <w:tcBorders>
              <w:right w:val="single" w:sz="4" w:space="0" w:color="auto"/>
            </w:tcBorders>
            <w:hideMark/>
          </w:tcPr>
          <w:p w14:paraId="6EE1ABFD" w14:textId="77777777" w:rsidR="00E113DE" w:rsidRPr="002E5EEA" w:rsidRDefault="00E113DE" w:rsidP="0044472F">
            <w:pPr>
              <w:spacing w:line="259" w:lineRule="auto"/>
              <w:rPr>
                <w:i/>
              </w:rPr>
            </w:pPr>
          </w:p>
        </w:tc>
      </w:tr>
      <w:tr w:rsidR="00E113DE" w:rsidRPr="002E5EEA" w14:paraId="3E913A3A" w14:textId="77777777" w:rsidTr="00046BDB">
        <w:trPr>
          <w:trHeight w:val="247"/>
        </w:trPr>
        <w:tc>
          <w:tcPr>
            <w:tcW w:w="1153" w:type="dxa"/>
            <w:tcBorders>
              <w:left w:val="single" w:sz="4" w:space="0" w:color="auto"/>
            </w:tcBorders>
            <w:hideMark/>
          </w:tcPr>
          <w:p w14:paraId="3FF625C9" w14:textId="6CA3420A" w:rsidR="00E113DE" w:rsidRPr="002E5EEA" w:rsidRDefault="00E113DE" w:rsidP="0044472F">
            <w:pPr>
              <w:spacing w:line="259" w:lineRule="auto"/>
              <w:rPr>
                <w:i/>
              </w:rPr>
            </w:pPr>
            <w:r>
              <w:rPr>
                <w:i/>
              </w:rPr>
              <w:t>E00</w:t>
            </w:r>
            <w:r w:rsidRPr="002E5EEA">
              <w:rPr>
                <w:i/>
              </w:rPr>
              <w:t>2</w:t>
            </w:r>
          </w:p>
        </w:tc>
        <w:tc>
          <w:tcPr>
            <w:tcW w:w="894" w:type="dxa"/>
            <w:hideMark/>
          </w:tcPr>
          <w:p w14:paraId="6114649D" w14:textId="77777777" w:rsidR="00E113DE" w:rsidRPr="002E5EEA" w:rsidRDefault="00E113DE" w:rsidP="0044472F">
            <w:pPr>
              <w:spacing w:line="259" w:lineRule="auto"/>
              <w:rPr>
                <w:i/>
              </w:rPr>
            </w:pPr>
            <w:r w:rsidRPr="002E5EEA">
              <w:rPr>
                <w:i/>
              </w:rPr>
              <w:t>B002</w:t>
            </w:r>
          </w:p>
        </w:tc>
        <w:tc>
          <w:tcPr>
            <w:tcW w:w="2293" w:type="dxa"/>
            <w:hideMark/>
          </w:tcPr>
          <w:p w14:paraId="6664B7A5" w14:textId="77777777" w:rsidR="00E113DE" w:rsidRPr="002E5EEA" w:rsidRDefault="00E113DE" w:rsidP="0044472F">
            <w:pPr>
              <w:spacing w:line="259" w:lineRule="auto"/>
              <w:rPr>
                <w:i/>
              </w:rPr>
            </w:pPr>
            <w:r w:rsidRPr="002E5EEA">
              <w:rPr>
                <w:i/>
              </w:rPr>
              <w:t>07/22/2020 - 10/20/2020</w:t>
            </w:r>
          </w:p>
        </w:tc>
        <w:tc>
          <w:tcPr>
            <w:tcW w:w="5105" w:type="dxa"/>
            <w:tcBorders>
              <w:right w:val="single" w:sz="4" w:space="0" w:color="auto"/>
            </w:tcBorders>
            <w:shd w:val="clear" w:color="auto" w:fill="FFFF00"/>
            <w:hideMark/>
          </w:tcPr>
          <w:p w14:paraId="121B5B7B" w14:textId="243A4646" w:rsidR="00E113DE" w:rsidRPr="002E5EEA" w:rsidRDefault="00E113DE">
            <w:pPr>
              <w:spacing w:line="259" w:lineRule="auto"/>
              <w:rPr>
                <w:i/>
              </w:rPr>
            </w:pPr>
            <w:r w:rsidRPr="002E5EEA">
              <w:rPr>
                <w:i/>
              </w:rPr>
              <w:t xml:space="preserve">Overlaps with </w:t>
            </w:r>
            <w:r>
              <w:rPr>
                <w:i/>
              </w:rPr>
              <w:t>E</w:t>
            </w:r>
            <w:r w:rsidRPr="002E5EEA">
              <w:rPr>
                <w:i/>
              </w:rPr>
              <w:t>-</w:t>
            </w:r>
            <w:r>
              <w:rPr>
                <w:i/>
              </w:rPr>
              <w:t>5</w:t>
            </w:r>
            <w:r w:rsidRPr="002E5EEA">
              <w:rPr>
                <w:i/>
              </w:rPr>
              <w:t>* and occurs first. Episode retained.</w:t>
            </w:r>
          </w:p>
        </w:tc>
      </w:tr>
      <w:tr w:rsidR="00E113DE" w:rsidRPr="002E5EEA" w14:paraId="5B04A47D" w14:textId="77777777" w:rsidTr="00046BDB">
        <w:trPr>
          <w:cnfStyle w:val="000000100000" w:firstRow="0" w:lastRow="0" w:firstColumn="0" w:lastColumn="0" w:oddVBand="0" w:evenVBand="0" w:oddHBand="1" w:evenHBand="0" w:firstRowFirstColumn="0" w:firstRowLastColumn="0" w:lastRowFirstColumn="0" w:lastRowLastColumn="0"/>
          <w:trHeight w:val="247"/>
        </w:trPr>
        <w:tc>
          <w:tcPr>
            <w:tcW w:w="1153" w:type="dxa"/>
            <w:tcBorders>
              <w:left w:val="single" w:sz="4" w:space="0" w:color="auto"/>
            </w:tcBorders>
            <w:hideMark/>
          </w:tcPr>
          <w:p w14:paraId="40FE77D6" w14:textId="2ED85FFD" w:rsidR="00E113DE" w:rsidRPr="002E5EEA" w:rsidRDefault="00E113DE">
            <w:pPr>
              <w:spacing w:line="259" w:lineRule="auto"/>
              <w:rPr>
                <w:i/>
              </w:rPr>
            </w:pPr>
            <w:r>
              <w:rPr>
                <w:i/>
              </w:rPr>
              <w:t>E003</w:t>
            </w:r>
          </w:p>
        </w:tc>
        <w:tc>
          <w:tcPr>
            <w:tcW w:w="894" w:type="dxa"/>
            <w:hideMark/>
          </w:tcPr>
          <w:p w14:paraId="7D4821EF" w14:textId="3DE73A9C" w:rsidR="00E113DE" w:rsidRPr="002E5EEA" w:rsidRDefault="00E113DE" w:rsidP="0044472F">
            <w:pPr>
              <w:spacing w:line="259" w:lineRule="auto"/>
              <w:rPr>
                <w:i/>
              </w:rPr>
            </w:pPr>
            <w:r w:rsidRPr="002E5EEA">
              <w:rPr>
                <w:i/>
              </w:rPr>
              <w:t>B00</w:t>
            </w:r>
            <w:r>
              <w:rPr>
                <w:i/>
              </w:rPr>
              <w:t>3</w:t>
            </w:r>
          </w:p>
        </w:tc>
        <w:tc>
          <w:tcPr>
            <w:tcW w:w="2293" w:type="dxa"/>
            <w:hideMark/>
          </w:tcPr>
          <w:p w14:paraId="534ABBD1" w14:textId="77777777" w:rsidR="00E113DE" w:rsidRPr="002E5EEA" w:rsidRDefault="00E113DE" w:rsidP="0044472F">
            <w:pPr>
              <w:spacing w:line="259" w:lineRule="auto"/>
              <w:rPr>
                <w:i/>
              </w:rPr>
            </w:pPr>
            <w:r w:rsidRPr="002E5EEA">
              <w:rPr>
                <w:i/>
              </w:rPr>
              <w:t>08/21/2020 - 11/19/2020</w:t>
            </w:r>
          </w:p>
        </w:tc>
        <w:tc>
          <w:tcPr>
            <w:tcW w:w="5105" w:type="dxa"/>
            <w:tcBorders>
              <w:right w:val="single" w:sz="4" w:space="0" w:color="auto"/>
            </w:tcBorders>
            <w:shd w:val="clear" w:color="auto" w:fill="auto"/>
            <w:hideMark/>
          </w:tcPr>
          <w:p w14:paraId="69ED989D" w14:textId="6AC05A5F" w:rsidR="00E113DE" w:rsidRPr="002E5EEA" w:rsidRDefault="00E113DE">
            <w:pPr>
              <w:spacing w:line="259" w:lineRule="auto"/>
              <w:rPr>
                <w:i/>
              </w:rPr>
            </w:pPr>
          </w:p>
        </w:tc>
      </w:tr>
      <w:tr w:rsidR="00E113DE" w:rsidRPr="002E5EEA" w14:paraId="130B0BF7" w14:textId="77777777" w:rsidTr="00046BDB">
        <w:trPr>
          <w:trHeight w:val="247"/>
        </w:trPr>
        <w:tc>
          <w:tcPr>
            <w:tcW w:w="1153" w:type="dxa"/>
            <w:tcBorders>
              <w:left w:val="single" w:sz="4" w:space="0" w:color="auto"/>
              <w:bottom w:val="single" w:sz="4" w:space="0" w:color="9CC2E5" w:themeColor="accent1" w:themeTint="99"/>
            </w:tcBorders>
            <w:hideMark/>
          </w:tcPr>
          <w:p w14:paraId="651011CD" w14:textId="3DD407D2" w:rsidR="00E113DE" w:rsidRPr="002E5EEA" w:rsidRDefault="00E113DE" w:rsidP="0044472F">
            <w:pPr>
              <w:spacing w:line="259" w:lineRule="auto"/>
              <w:rPr>
                <w:i/>
              </w:rPr>
            </w:pPr>
            <w:r>
              <w:rPr>
                <w:i/>
              </w:rPr>
              <w:t>E004</w:t>
            </w:r>
          </w:p>
        </w:tc>
        <w:tc>
          <w:tcPr>
            <w:tcW w:w="894" w:type="dxa"/>
            <w:tcBorders>
              <w:bottom w:val="single" w:sz="4" w:space="0" w:color="9CC2E5" w:themeColor="accent1" w:themeTint="99"/>
            </w:tcBorders>
            <w:hideMark/>
          </w:tcPr>
          <w:p w14:paraId="3487C768" w14:textId="0A3CDDBB" w:rsidR="00E113DE" w:rsidRPr="002E5EEA" w:rsidRDefault="00E113DE">
            <w:pPr>
              <w:spacing w:line="259" w:lineRule="auto"/>
              <w:rPr>
                <w:i/>
              </w:rPr>
            </w:pPr>
            <w:r w:rsidRPr="002E5EEA">
              <w:rPr>
                <w:i/>
              </w:rPr>
              <w:t>B00</w:t>
            </w:r>
            <w:r>
              <w:rPr>
                <w:i/>
              </w:rPr>
              <w:t>4</w:t>
            </w:r>
          </w:p>
        </w:tc>
        <w:tc>
          <w:tcPr>
            <w:tcW w:w="2293" w:type="dxa"/>
            <w:tcBorders>
              <w:bottom w:val="single" w:sz="4" w:space="0" w:color="9CC2E5" w:themeColor="accent1" w:themeTint="99"/>
            </w:tcBorders>
            <w:hideMark/>
          </w:tcPr>
          <w:p w14:paraId="57F9A3C4" w14:textId="77777777" w:rsidR="00E113DE" w:rsidRPr="002E5EEA" w:rsidRDefault="00E113DE" w:rsidP="0044472F">
            <w:pPr>
              <w:spacing w:line="259" w:lineRule="auto"/>
              <w:rPr>
                <w:i/>
              </w:rPr>
            </w:pPr>
            <w:r w:rsidRPr="002E5EEA">
              <w:rPr>
                <w:i/>
              </w:rPr>
              <w:t>07/23/2020 - 10/21/2020</w:t>
            </w:r>
          </w:p>
        </w:tc>
        <w:tc>
          <w:tcPr>
            <w:tcW w:w="5105" w:type="dxa"/>
            <w:tcBorders>
              <w:bottom w:val="single" w:sz="4" w:space="0" w:color="9CC2E5" w:themeColor="accent1" w:themeTint="99"/>
              <w:right w:val="single" w:sz="4" w:space="0" w:color="auto"/>
            </w:tcBorders>
            <w:hideMark/>
          </w:tcPr>
          <w:p w14:paraId="7EFB8ADC" w14:textId="77777777" w:rsidR="00E113DE" w:rsidRPr="002E5EEA" w:rsidRDefault="00E113DE" w:rsidP="0044472F">
            <w:pPr>
              <w:spacing w:line="259" w:lineRule="auto"/>
              <w:rPr>
                <w:i/>
              </w:rPr>
            </w:pPr>
          </w:p>
        </w:tc>
      </w:tr>
      <w:tr w:rsidR="00E113DE" w:rsidRPr="002E5EEA" w14:paraId="54BAE49B" w14:textId="77777777" w:rsidTr="00046BDB">
        <w:trPr>
          <w:cnfStyle w:val="000000100000" w:firstRow="0" w:lastRow="0" w:firstColumn="0" w:lastColumn="0" w:oddVBand="0" w:evenVBand="0" w:oddHBand="1" w:evenHBand="0" w:firstRowFirstColumn="0" w:firstRowLastColumn="0" w:lastRowFirstColumn="0" w:lastRowLastColumn="0"/>
          <w:trHeight w:val="450"/>
        </w:trPr>
        <w:tc>
          <w:tcPr>
            <w:tcW w:w="1153" w:type="dxa"/>
            <w:tcBorders>
              <w:left w:val="single" w:sz="4" w:space="0" w:color="auto"/>
              <w:bottom w:val="single" w:sz="4" w:space="0" w:color="auto"/>
            </w:tcBorders>
            <w:hideMark/>
          </w:tcPr>
          <w:p w14:paraId="2FBF4268" w14:textId="61B1D7E8" w:rsidR="00E113DE" w:rsidRPr="002E5EEA" w:rsidRDefault="00E113DE">
            <w:pPr>
              <w:spacing w:line="259" w:lineRule="auto"/>
              <w:rPr>
                <w:i/>
              </w:rPr>
            </w:pPr>
            <w:r>
              <w:rPr>
                <w:i/>
              </w:rPr>
              <w:t>E005</w:t>
            </w:r>
          </w:p>
        </w:tc>
        <w:tc>
          <w:tcPr>
            <w:tcW w:w="894" w:type="dxa"/>
            <w:tcBorders>
              <w:bottom w:val="single" w:sz="4" w:space="0" w:color="auto"/>
            </w:tcBorders>
            <w:hideMark/>
          </w:tcPr>
          <w:p w14:paraId="57635BAF" w14:textId="77777777" w:rsidR="00E113DE" w:rsidRPr="002E5EEA" w:rsidRDefault="00E113DE" w:rsidP="0044472F">
            <w:pPr>
              <w:spacing w:line="259" w:lineRule="auto"/>
              <w:rPr>
                <w:i/>
              </w:rPr>
            </w:pPr>
            <w:r w:rsidRPr="002E5EEA">
              <w:rPr>
                <w:i/>
              </w:rPr>
              <w:t>B002</w:t>
            </w:r>
          </w:p>
        </w:tc>
        <w:tc>
          <w:tcPr>
            <w:tcW w:w="2293" w:type="dxa"/>
            <w:tcBorders>
              <w:bottom w:val="single" w:sz="4" w:space="0" w:color="auto"/>
            </w:tcBorders>
            <w:hideMark/>
          </w:tcPr>
          <w:p w14:paraId="19C1227E" w14:textId="4CDB7686" w:rsidR="00E113DE" w:rsidRPr="002E5EEA" w:rsidRDefault="00C50132">
            <w:pPr>
              <w:spacing w:line="259" w:lineRule="auto"/>
              <w:rPr>
                <w:i/>
              </w:rPr>
            </w:pPr>
            <w:r>
              <w:rPr>
                <w:i/>
              </w:rPr>
              <w:t>10</w:t>
            </w:r>
            <w:r w:rsidR="00E113DE" w:rsidRPr="002E5EEA">
              <w:rPr>
                <w:i/>
              </w:rPr>
              <w:t>/</w:t>
            </w:r>
            <w:r>
              <w:rPr>
                <w:i/>
              </w:rPr>
              <w:t>13</w:t>
            </w:r>
            <w:r w:rsidR="00E113DE" w:rsidRPr="002E5EEA">
              <w:rPr>
                <w:i/>
              </w:rPr>
              <w:t>/2020 -</w:t>
            </w:r>
            <w:r>
              <w:rPr>
                <w:i/>
              </w:rPr>
              <w:t>0</w:t>
            </w:r>
            <w:r w:rsidR="00E113DE" w:rsidRPr="002E5EEA">
              <w:rPr>
                <w:i/>
              </w:rPr>
              <w:t>1/</w:t>
            </w:r>
            <w:r>
              <w:rPr>
                <w:i/>
              </w:rPr>
              <w:t>11</w:t>
            </w:r>
            <w:r w:rsidR="00E113DE" w:rsidRPr="002E5EEA">
              <w:rPr>
                <w:i/>
              </w:rPr>
              <w:t>/202</w:t>
            </w:r>
            <w:r>
              <w:rPr>
                <w:i/>
              </w:rPr>
              <w:t>1</w:t>
            </w:r>
          </w:p>
        </w:tc>
        <w:tc>
          <w:tcPr>
            <w:tcW w:w="5105" w:type="dxa"/>
            <w:tcBorders>
              <w:bottom w:val="single" w:sz="4" w:space="0" w:color="auto"/>
              <w:right w:val="single" w:sz="4" w:space="0" w:color="auto"/>
            </w:tcBorders>
            <w:shd w:val="clear" w:color="auto" w:fill="FFFF00"/>
            <w:hideMark/>
          </w:tcPr>
          <w:p w14:paraId="128007E0" w14:textId="77777777" w:rsidR="00E113DE" w:rsidRPr="002E5EEA" w:rsidRDefault="00E113DE" w:rsidP="0044472F">
            <w:pPr>
              <w:spacing w:line="259" w:lineRule="auto"/>
              <w:rPr>
                <w:i/>
              </w:rPr>
            </w:pPr>
            <w:r w:rsidRPr="002E5EEA">
              <w:rPr>
                <w:i/>
              </w:rPr>
              <w:t>Overlaps with X-2* but occurs second. Episode dropped.</w:t>
            </w:r>
          </w:p>
        </w:tc>
      </w:tr>
      <w:tr w:rsidR="00C52F76" w:rsidRPr="002E5EEA" w14:paraId="597A5BC7" w14:textId="77777777" w:rsidTr="00046BDB">
        <w:trPr>
          <w:trHeight w:val="85"/>
        </w:trPr>
        <w:tc>
          <w:tcPr>
            <w:tcW w:w="1153" w:type="dxa"/>
            <w:tcBorders>
              <w:top w:val="single" w:sz="4" w:space="0" w:color="auto"/>
              <w:left w:val="nil"/>
              <w:bottom w:val="nil"/>
              <w:right w:val="nil"/>
            </w:tcBorders>
            <w:shd w:val="clear" w:color="auto" w:fill="auto"/>
          </w:tcPr>
          <w:p w14:paraId="5A185AFE" w14:textId="77777777" w:rsidR="00C52F76" w:rsidRPr="00046BDB" w:rsidDel="00E113DE" w:rsidRDefault="00C52F76">
            <w:pPr>
              <w:rPr>
                <w:i/>
                <w:sz w:val="16"/>
                <w:szCs w:val="16"/>
              </w:rPr>
            </w:pPr>
          </w:p>
        </w:tc>
        <w:tc>
          <w:tcPr>
            <w:tcW w:w="894" w:type="dxa"/>
            <w:tcBorders>
              <w:top w:val="single" w:sz="4" w:space="0" w:color="auto"/>
              <w:left w:val="nil"/>
              <w:bottom w:val="nil"/>
              <w:right w:val="nil"/>
            </w:tcBorders>
            <w:shd w:val="clear" w:color="auto" w:fill="auto"/>
          </w:tcPr>
          <w:p w14:paraId="7367AC4B" w14:textId="77777777" w:rsidR="00C52F76" w:rsidRPr="00046BDB" w:rsidRDefault="00C52F76" w:rsidP="0044472F">
            <w:pPr>
              <w:rPr>
                <w:i/>
                <w:sz w:val="16"/>
                <w:szCs w:val="16"/>
              </w:rPr>
            </w:pPr>
          </w:p>
        </w:tc>
        <w:tc>
          <w:tcPr>
            <w:tcW w:w="2293" w:type="dxa"/>
            <w:tcBorders>
              <w:top w:val="single" w:sz="4" w:space="0" w:color="auto"/>
              <w:left w:val="nil"/>
              <w:bottom w:val="nil"/>
              <w:right w:val="nil"/>
            </w:tcBorders>
            <w:shd w:val="clear" w:color="auto" w:fill="auto"/>
          </w:tcPr>
          <w:p w14:paraId="6B49BA45" w14:textId="77777777" w:rsidR="00C52F76" w:rsidRPr="00046BDB" w:rsidDel="00C50132" w:rsidRDefault="00C52F76">
            <w:pPr>
              <w:rPr>
                <w:i/>
                <w:sz w:val="16"/>
                <w:szCs w:val="16"/>
              </w:rPr>
            </w:pPr>
          </w:p>
        </w:tc>
        <w:tc>
          <w:tcPr>
            <w:tcW w:w="5105" w:type="dxa"/>
            <w:tcBorders>
              <w:top w:val="single" w:sz="4" w:space="0" w:color="auto"/>
              <w:left w:val="nil"/>
              <w:bottom w:val="nil"/>
              <w:right w:val="nil"/>
            </w:tcBorders>
            <w:shd w:val="clear" w:color="auto" w:fill="auto"/>
          </w:tcPr>
          <w:p w14:paraId="067BE12E" w14:textId="77777777" w:rsidR="00C52F76" w:rsidRPr="00046BDB" w:rsidRDefault="00C52F76" w:rsidP="0044472F">
            <w:pPr>
              <w:rPr>
                <w:i/>
                <w:sz w:val="16"/>
                <w:szCs w:val="16"/>
              </w:rPr>
            </w:pPr>
          </w:p>
        </w:tc>
      </w:tr>
    </w:tbl>
    <w:p w14:paraId="2E657CF3" w14:textId="440682E6" w:rsidR="00AC4BFD" w:rsidRDefault="00AF7AA1" w:rsidP="00B4308D">
      <w:r>
        <w:t xml:space="preserve">The process described above </w:t>
      </w:r>
      <w:r w:rsidR="00BD1B03">
        <w:t>applies only to a single CTI</w:t>
      </w:r>
      <w:r w:rsidR="00D31C62">
        <w:t>; however,</w:t>
      </w:r>
      <w:r w:rsidR="001375B7">
        <w:t xml:space="preserve"> a single beneficiary could meet the triggering event for </w:t>
      </w:r>
      <w:r w:rsidR="00D67258">
        <w:t xml:space="preserve">two </w:t>
      </w:r>
      <w:r w:rsidR="00F53ED1">
        <w:t xml:space="preserve">different </w:t>
      </w:r>
      <w:r w:rsidR="00D67258">
        <w:t>CTI</w:t>
      </w:r>
      <w:r w:rsidR="00D31C62">
        <w:t>s</w:t>
      </w:r>
      <w:r w:rsidR="00D67258">
        <w:t xml:space="preserve">. </w:t>
      </w:r>
      <w:r w:rsidR="00E2106B">
        <w:t xml:space="preserve">For example, </w:t>
      </w:r>
      <w:r w:rsidR="00D82707">
        <w:t xml:space="preserve">if CTI-01 is triggered by </w:t>
      </w:r>
      <w:r w:rsidR="0099184E">
        <w:t xml:space="preserve">a hospitalization with SOI level 2 or 3 and CTI-02 is triggered by </w:t>
      </w:r>
      <w:r w:rsidR="00460730">
        <w:t xml:space="preserve">a chronic care management service provided by </w:t>
      </w:r>
      <w:r w:rsidR="00685EAA">
        <w:t>a primary care doctor, then a</w:t>
      </w:r>
      <w:r w:rsidR="00C50132">
        <w:t xml:space="preserve"> single</w:t>
      </w:r>
      <w:r w:rsidR="00685EAA">
        <w:t xml:space="preserve"> beneficiary could potentially meet both criteria</w:t>
      </w:r>
      <w:r w:rsidR="00C50132">
        <w:t xml:space="preserve"> and be attributed to both CTI</w:t>
      </w:r>
      <w:r w:rsidR="00D31C62">
        <w:t>s</w:t>
      </w:r>
      <w:r w:rsidR="00685EAA">
        <w:t>.</w:t>
      </w:r>
      <w:r w:rsidR="00AC4BFD">
        <w:t xml:space="preserve"> The default is to allow </w:t>
      </w:r>
      <w:r w:rsidR="000D6C46">
        <w:t>a beneficiary to be in two different CTI</w:t>
      </w:r>
      <w:r w:rsidR="00D31C62">
        <w:t>s</w:t>
      </w:r>
      <w:r w:rsidR="000D6C46">
        <w:t xml:space="preserve"> simultaneously</w:t>
      </w:r>
      <w:r w:rsidR="00DF63B6">
        <w:t xml:space="preserve">, meaning neither episode </w:t>
      </w:r>
      <w:r w:rsidR="00051173">
        <w:t xml:space="preserve">would be dropped. </w:t>
      </w:r>
    </w:p>
    <w:p w14:paraId="64BD350F" w14:textId="3742E989" w:rsidR="00B7792F" w:rsidRDefault="00B7792F" w:rsidP="00B4308D">
      <w:r>
        <w:t xml:space="preserve">However, </w:t>
      </w:r>
      <w:r w:rsidR="00D31C62">
        <w:t xml:space="preserve">the </w:t>
      </w:r>
      <w:r>
        <w:t>HSCRC will assess the number of CTI Episodes that overlap</w:t>
      </w:r>
      <w:r w:rsidR="00C50132">
        <w:t xml:space="preserve"> during the </w:t>
      </w:r>
      <w:r w:rsidR="00AB617A">
        <w:t>Baseline Period</w:t>
      </w:r>
      <w:r w:rsidR="00D31C62">
        <w:t xml:space="preserve"> across different CTIs</w:t>
      </w:r>
      <w:r w:rsidR="00C50132">
        <w:t xml:space="preserve">. </w:t>
      </w:r>
      <w:r w:rsidR="00E44557">
        <w:t xml:space="preserve">If more than 15 percent of the Episode Windows for CTI-01 and CTI-02 overlap, then </w:t>
      </w:r>
      <w:r w:rsidR="006B6D70">
        <w:t xml:space="preserve">HSCRC will apply the same exclusion logic </w:t>
      </w:r>
      <w:r w:rsidR="00E030EA">
        <w:t xml:space="preserve">as described above. </w:t>
      </w:r>
      <w:r w:rsidR="00D31C62">
        <w:t>In other words,</w:t>
      </w:r>
      <w:r w:rsidR="00165927">
        <w:t xml:space="preserve"> the first CTI Episode will be retained </w:t>
      </w:r>
      <w:r w:rsidR="00970F1F">
        <w:t>and the second CTI Episode will be dropped</w:t>
      </w:r>
      <w:r w:rsidR="00D31C62">
        <w:t xml:space="preserve"> if more than 15 percent of episode windows overlap in two separate CTIs</w:t>
      </w:r>
      <w:r w:rsidR="00970F1F">
        <w:t>. In the example above</w:t>
      </w:r>
      <w:r w:rsidR="0083232C">
        <w:t>,</w:t>
      </w:r>
      <w:r w:rsidR="00970F1F">
        <w:t xml:space="preserve"> if a beneficiary meets the triggering criteria for CTI</w:t>
      </w:r>
      <w:r w:rsidR="00DC2388">
        <w:t>-01 and then subsequently meets the triggering criteria for CTI-02</w:t>
      </w:r>
      <w:r w:rsidR="00611840">
        <w:t xml:space="preserve">, then </w:t>
      </w:r>
      <w:r w:rsidR="00685B72">
        <w:t xml:space="preserve">the CTI Episode for CTI-02 will be dropped. </w:t>
      </w:r>
    </w:p>
    <w:p w14:paraId="358E06C2" w14:textId="3D122542" w:rsidR="00F05B7F" w:rsidRDefault="00C60355" w:rsidP="00046BDB">
      <w:pPr>
        <w:pStyle w:val="Heading4"/>
        <w:tabs>
          <w:tab w:val="left" w:pos="3900"/>
        </w:tabs>
      </w:pPr>
      <w:bookmarkStart w:id="14" w:name="_Toc24993086"/>
      <w:r>
        <w:lastRenderedPageBreak/>
        <w:t xml:space="preserve">Step 2.C: </w:t>
      </w:r>
      <w:r w:rsidR="00E54FBC">
        <w:t xml:space="preserve">Adjust </w:t>
      </w:r>
      <w:r>
        <w:t>Certain Claim Types</w:t>
      </w:r>
      <w:bookmarkEnd w:id="14"/>
      <w:r>
        <w:t xml:space="preserve"> </w:t>
      </w:r>
      <w:r w:rsidR="00AE7377">
        <w:tab/>
      </w:r>
    </w:p>
    <w:p w14:paraId="14264C0D" w14:textId="5B25B814" w:rsidR="00E46944" w:rsidRPr="00FB7E8E" w:rsidRDefault="00E46944" w:rsidP="00046BDB">
      <w:r>
        <w:t>Once the list of CTI Episodes is finalized, the H</w:t>
      </w:r>
      <w:r w:rsidR="007D08DD">
        <w:t xml:space="preserve">SCRC will calculate the </w:t>
      </w:r>
      <w:r w:rsidR="007644CC">
        <w:t xml:space="preserve">costs </w:t>
      </w:r>
      <w:r w:rsidR="000E4AB7">
        <w:t>incurred during the episode</w:t>
      </w:r>
      <w:r w:rsidR="007644CC">
        <w:t xml:space="preserve">. </w:t>
      </w:r>
      <w:r w:rsidR="00E91659">
        <w:t xml:space="preserve">All Medicare Parts A and B services will be included in the CTI Episode, </w:t>
      </w:r>
      <w:r w:rsidR="00EE7C30">
        <w:t>except for the following:</w:t>
      </w:r>
    </w:p>
    <w:p w14:paraId="560FBF44" w14:textId="61731C21" w:rsidR="00E76F4A" w:rsidRDefault="00EE3CBF" w:rsidP="00046BDB">
      <w:pPr>
        <w:pStyle w:val="ListParagraph"/>
        <w:numPr>
          <w:ilvl w:val="0"/>
          <w:numId w:val="40"/>
        </w:numPr>
      </w:pPr>
      <w:r>
        <w:t xml:space="preserve">Claims with </w:t>
      </w:r>
      <w:r w:rsidR="00E76F4A" w:rsidRPr="00EF221D">
        <w:t xml:space="preserve">a standardized payment amount </w:t>
      </w:r>
      <w:r w:rsidR="00C547FF">
        <w:t>less than or equal to</w:t>
      </w:r>
      <w:r w:rsidR="00E76F4A" w:rsidRPr="00EF221D">
        <w:t xml:space="preserve"> zero</w:t>
      </w:r>
      <w:r w:rsidR="00444CD2">
        <w:t>;</w:t>
      </w:r>
    </w:p>
    <w:p w14:paraId="2054BA5E" w14:textId="20F66F83" w:rsidR="00C60355" w:rsidRPr="00EF221D" w:rsidRDefault="00C60355" w:rsidP="00046BDB">
      <w:pPr>
        <w:pStyle w:val="ListParagraph"/>
        <w:numPr>
          <w:ilvl w:val="0"/>
          <w:numId w:val="40"/>
        </w:numPr>
      </w:pPr>
      <w:r w:rsidRPr="00EF221D">
        <w:t>Part B payments for drugs on the average sales price (ASP) list</w:t>
      </w:r>
      <w:r w:rsidR="00444CD2">
        <w:t xml:space="preserve">; </w:t>
      </w:r>
    </w:p>
    <w:p w14:paraId="6D7E6B0F" w14:textId="2920A60B" w:rsidR="00C60355" w:rsidRPr="00EF221D" w:rsidRDefault="00C60355" w:rsidP="00046BDB">
      <w:pPr>
        <w:pStyle w:val="ListParagraph"/>
        <w:numPr>
          <w:ilvl w:val="0"/>
          <w:numId w:val="40"/>
        </w:numPr>
      </w:pPr>
      <w:r w:rsidRPr="00EF221D">
        <w:t>Blood clotting factor (HCPCS J7199)</w:t>
      </w:r>
      <w:r w:rsidR="00444CD2">
        <w:t xml:space="preserve">; </w:t>
      </w:r>
    </w:p>
    <w:p w14:paraId="25DE0028" w14:textId="648EC956" w:rsidR="00C60355" w:rsidRPr="00EF221D" w:rsidRDefault="00C60355" w:rsidP="00046BDB">
      <w:pPr>
        <w:pStyle w:val="ListParagraph"/>
        <w:numPr>
          <w:ilvl w:val="0"/>
          <w:numId w:val="40"/>
        </w:numPr>
      </w:pPr>
      <w:r w:rsidRPr="00EF221D">
        <w:t>Inpatient claims for hemophilia and clotting factors</w:t>
      </w:r>
      <w:r w:rsidR="00444CD2">
        <w:t xml:space="preserve">; </w:t>
      </w:r>
    </w:p>
    <w:p w14:paraId="50B8D2FA" w14:textId="54CEE42C" w:rsidR="00C60355" w:rsidRPr="00EF221D" w:rsidRDefault="00C60355" w:rsidP="00046BDB">
      <w:pPr>
        <w:pStyle w:val="ListParagraph"/>
        <w:numPr>
          <w:ilvl w:val="0"/>
          <w:numId w:val="40"/>
        </w:numPr>
      </w:pPr>
      <w:r w:rsidRPr="00EF221D">
        <w:t>Pass-through payments for medical devices in OPPS hospital claims</w:t>
      </w:r>
      <w:r w:rsidR="00444CD2">
        <w:t xml:space="preserve">; </w:t>
      </w:r>
    </w:p>
    <w:p w14:paraId="230224CC" w14:textId="370D70F1" w:rsidR="00444CD2" w:rsidRDefault="00C60355" w:rsidP="00046BDB">
      <w:pPr>
        <w:pStyle w:val="ListParagraph"/>
        <w:numPr>
          <w:ilvl w:val="0"/>
          <w:numId w:val="40"/>
        </w:numPr>
      </w:pPr>
      <w:r w:rsidRPr="00EF221D">
        <w:t>Claims that represent per-beneficiary-per-month (PBPM) payments for hospice claims</w:t>
      </w:r>
      <w:r w:rsidR="00444CD2">
        <w:t xml:space="preserve">; </w:t>
      </w:r>
    </w:p>
    <w:p w14:paraId="19B29689" w14:textId="1A35FDBD" w:rsidR="00444CD2" w:rsidRDefault="00AC086C" w:rsidP="00046BDB">
      <w:r>
        <w:t>These claims are excluded because they</w:t>
      </w:r>
      <w:r w:rsidR="00CB1F6D">
        <w:t xml:space="preserve"> were found to introduce </w:t>
      </w:r>
      <w:r w:rsidR="004A47F3">
        <w:t xml:space="preserve">excessive </w:t>
      </w:r>
      <w:r w:rsidR="00B568B7">
        <w:t xml:space="preserve">volatility </w:t>
      </w:r>
      <w:r w:rsidR="00212E9F">
        <w:t xml:space="preserve">into most CTI </w:t>
      </w:r>
      <w:r w:rsidR="0083232C">
        <w:t>costs</w:t>
      </w:r>
      <w:r w:rsidR="00212E9F">
        <w:t>. For example, within a DRG</w:t>
      </w:r>
      <w:r w:rsidR="0083232C">
        <w:t>,</w:t>
      </w:r>
      <w:r w:rsidR="00212E9F">
        <w:t xml:space="preserve"> those patients that happen to have hemophilia will likely have much higher costs. </w:t>
      </w:r>
      <w:r w:rsidR="00E54FBC">
        <w:t>However, a hospital may propose a CTI that targets one or more of the excluded cost categories (e.g. a CTI that targets beneficiaries with hemophilia)</w:t>
      </w:r>
      <w:r w:rsidR="0083232C">
        <w:t>.</w:t>
      </w:r>
      <w:r w:rsidR="00E54FBC">
        <w:t xml:space="preserve"> </w:t>
      </w:r>
      <w:r w:rsidR="0083232C">
        <w:t>I</w:t>
      </w:r>
      <w:r w:rsidR="00E54FBC">
        <w:t xml:space="preserve">n </w:t>
      </w:r>
      <w:r w:rsidR="0083232C">
        <w:t>this</w:t>
      </w:r>
      <w:r w:rsidR="00E54FBC">
        <w:t xml:space="preserve"> instance</w:t>
      </w:r>
      <w:r w:rsidR="0083232C">
        <w:t>,</w:t>
      </w:r>
      <w:r w:rsidR="00E54FBC">
        <w:t xml:space="preserve"> the relevant costs will be included in the CTI. </w:t>
      </w:r>
      <w:r w:rsidR="000F746D">
        <w:t xml:space="preserve">Hospitals that are interested in a CTI </w:t>
      </w:r>
      <w:r w:rsidR="0083232C">
        <w:t xml:space="preserve">that targets a population with common costs from the excluded list above </w:t>
      </w:r>
      <w:r w:rsidR="000F746D">
        <w:t>should contact the HSCRC for technical assistance.</w:t>
      </w:r>
    </w:p>
    <w:p w14:paraId="0F69F3C8" w14:textId="447F9293" w:rsidR="00432999" w:rsidRDefault="000E4AB7" w:rsidP="00046BDB">
      <w:r>
        <w:t xml:space="preserve">Additionally, </w:t>
      </w:r>
      <w:r w:rsidR="00BF1282">
        <w:t xml:space="preserve">certain services that straddle the CTI episode window will be prorated. A service straddles the episode window </w:t>
      </w:r>
      <w:r w:rsidR="0083232C">
        <w:t xml:space="preserve">when </w:t>
      </w:r>
      <w:r w:rsidR="00BF1282">
        <w:t xml:space="preserve">the date of service on the claim is within the episode window but the claim through date extends beyond the </w:t>
      </w:r>
      <w:r w:rsidR="00965869">
        <w:t>end of the episode window. For example, a single</w:t>
      </w:r>
      <w:r w:rsidR="0083232C">
        <w:t xml:space="preserve"> skilled nursing facility (</w:t>
      </w:r>
      <w:r w:rsidR="00965869">
        <w:t>SNF</w:t>
      </w:r>
      <w:r w:rsidR="0083232C">
        <w:t>)</w:t>
      </w:r>
      <w:r w:rsidR="00965869">
        <w:t xml:space="preserve"> claim may be associated with a 2 week stay. If the beneficiary was admitted to the SNF </w:t>
      </w:r>
      <w:r w:rsidR="0083232C">
        <w:t>one</w:t>
      </w:r>
      <w:r w:rsidR="00965869">
        <w:t xml:space="preserve"> week prior to the </w:t>
      </w:r>
      <w:r w:rsidR="007A7450">
        <w:t xml:space="preserve">end of the CTI episode window, then half of the </w:t>
      </w:r>
      <w:r w:rsidR="00212049">
        <w:t>SNF stay would have occurred during the episode and half of the SNF stay would have occurred outside of the episode window.</w:t>
      </w:r>
      <w:r w:rsidR="00432999">
        <w:t xml:space="preserve"> </w:t>
      </w:r>
    </w:p>
    <w:p w14:paraId="36388F16" w14:textId="093DF9A6" w:rsidR="00D87B5B" w:rsidRDefault="00F26444" w:rsidP="00046BDB">
      <w:r>
        <w:t xml:space="preserve">Claims for services provided by </w:t>
      </w:r>
      <w:r w:rsidRPr="00F26444">
        <w:t>Critical Access Hospitals, Home Health Agency</w:t>
      </w:r>
      <w:r w:rsidR="0083232C">
        <w:t xml:space="preserve"> (HHA)</w:t>
      </w:r>
      <w:r w:rsidRPr="00F26444">
        <w:t>, Hospice, Inpatient Psychiatric Facilit</w:t>
      </w:r>
      <w:r w:rsidR="0083232C">
        <w:t>y (IPF),</w:t>
      </w:r>
      <w:r w:rsidRPr="00F26444">
        <w:t xml:space="preserve"> Long-Term Care Hospital</w:t>
      </w:r>
      <w:r w:rsidR="0083232C">
        <w:t xml:space="preserve"> (LTC-IP)</w:t>
      </w:r>
      <w:r w:rsidRPr="00F26444">
        <w:t>, Skilled Nursing Facility, Inpatient Rehabilitation Facility</w:t>
      </w:r>
      <w:r w:rsidR="0083232C">
        <w:t xml:space="preserve"> (IRF)</w:t>
      </w:r>
      <w:r w:rsidRPr="00F26444">
        <w:t xml:space="preserve">, </w:t>
      </w:r>
      <w:r>
        <w:t xml:space="preserve">Acute Care Hospitals </w:t>
      </w:r>
      <w:r w:rsidR="0083232C">
        <w:t xml:space="preserve">(ACH) </w:t>
      </w:r>
      <w:r>
        <w:t xml:space="preserve">will be prorated on a per diem basis. </w:t>
      </w:r>
      <w:r w:rsidR="0064526A">
        <w:t>The proportion of the service that falls within the CTI episod</w:t>
      </w:r>
      <w:r w:rsidR="0048215E">
        <w:t xml:space="preserve">e window will be multiplied by the total cost of the service to determine how much cost is included in the episode window. For example, if half of the SNF services is included in the episode than half of the SNF costs will be included in the episode. </w:t>
      </w:r>
    </w:p>
    <w:p w14:paraId="2EBA7584" w14:textId="68973A86" w:rsidR="00F26444" w:rsidRPr="00046BDB" w:rsidRDefault="009401EF" w:rsidP="00046BDB">
      <w:pPr>
        <w:rPr>
          <w:i/>
        </w:rPr>
      </w:pPr>
      <w:r>
        <w:t xml:space="preserve">Other services types (physician, </w:t>
      </w:r>
      <w:r w:rsidR="00D87B5B">
        <w:t>OPPS</w:t>
      </w:r>
      <w:r>
        <w:t xml:space="preserve">, and </w:t>
      </w:r>
      <w:r w:rsidR="00D87B5B">
        <w:t>durable medical equipment (DME)</w:t>
      </w:r>
      <w:r>
        <w:t xml:space="preserve">) will have 100% of the costs assigned to the episode since these service types </w:t>
      </w:r>
      <w:r w:rsidR="00D87B5B">
        <w:t xml:space="preserve">are not typically </w:t>
      </w:r>
      <w:r w:rsidR="00981712">
        <w:t>provided over a prolonged period of time.</w:t>
      </w:r>
    </w:p>
    <w:p w14:paraId="645C6F69" w14:textId="3B8DFED8" w:rsidR="00C60355" w:rsidRDefault="00C00221" w:rsidP="00C60355">
      <w:pPr>
        <w:pStyle w:val="Heading4"/>
      </w:pPr>
      <w:bookmarkStart w:id="15" w:name="_Toc24993087"/>
      <w:r>
        <w:t>Step 2.D</w:t>
      </w:r>
      <w:r w:rsidR="00C60355">
        <w:t>: Aggregate</w:t>
      </w:r>
      <w:r w:rsidR="00784252">
        <w:t xml:space="preserve"> </w:t>
      </w:r>
      <w:r w:rsidR="00C60355">
        <w:t xml:space="preserve">Episode Costs </w:t>
      </w:r>
      <w:r w:rsidR="00110B68">
        <w:t>and Winsorize</w:t>
      </w:r>
      <w:bookmarkEnd w:id="15"/>
    </w:p>
    <w:p w14:paraId="7279D2C3" w14:textId="2FBE25E7" w:rsidR="00981712" w:rsidRPr="00FB7E8E" w:rsidRDefault="00981712" w:rsidP="00046BDB">
      <w:r>
        <w:t>O</w:t>
      </w:r>
      <w:r w:rsidR="008C1AB6">
        <w:t>nce the episod</w:t>
      </w:r>
      <w:r w:rsidR="00110B68">
        <w:t xml:space="preserve">e costs have been adjusted, all remaining claims will be aggregated by spending category. That is to say, </w:t>
      </w:r>
      <w:r w:rsidR="002B476F">
        <w:t>all hospital costs, physician costs, etc. will be reported separately.</w:t>
      </w:r>
      <w:r w:rsidR="00314C7D">
        <w:t xml:space="preserve"> An example is shown below.</w:t>
      </w:r>
    </w:p>
    <w:p w14:paraId="798052C2" w14:textId="2A93267E" w:rsidR="00750877" w:rsidRPr="002953A3" w:rsidRDefault="00750877" w:rsidP="00750877">
      <w:pPr>
        <w:rPr>
          <w:i/>
        </w:rPr>
      </w:pPr>
      <w:r w:rsidRPr="004B5933">
        <w:rPr>
          <w:b/>
          <w:i/>
        </w:rPr>
        <w:t>Example</w:t>
      </w:r>
      <w:r w:rsidR="004B5933" w:rsidRPr="004B5933">
        <w:rPr>
          <w:b/>
          <w:i/>
        </w:rPr>
        <w:t xml:space="preserve"> 2.</w:t>
      </w:r>
      <w:r w:rsidRPr="002953A3">
        <w:rPr>
          <w:i/>
        </w:rPr>
        <w:t xml:space="preserve"> Cost Aggregation across an Episode </w:t>
      </w:r>
    </w:p>
    <w:tbl>
      <w:tblPr>
        <w:tblStyle w:val="GridTable4-Accent5"/>
        <w:tblW w:w="9360" w:type="dxa"/>
        <w:tblLook w:val="04A0" w:firstRow="1" w:lastRow="0" w:firstColumn="1" w:lastColumn="0" w:noHBand="0" w:noVBand="1"/>
      </w:tblPr>
      <w:tblGrid>
        <w:gridCol w:w="4720"/>
        <w:gridCol w:w="4640"/>
      </w:tblGrid>
      <w:tr w:rsidR="00F67941" w:rsidRPr="00D87B5B" w14:paraId="237ACCC3" w14:textId="77777777" w:rsidTr="0004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top w:val="single" w:sz="4" w:space="0" w:color="auto"/>
              <w:left w:val="single" w:sz="4" w:space="0" w:color="auto"/>
            </w:tcBorders>
          </w:tcPr>
          <w:p w14:paraId="0A6C3477" w14:textId="104020D4" w:rsidR="00F67941" w:rsidRPr="00046BDB" w:rsidRDefault="00F67941" w:rsidP="00046BDB">
            <w:r w:rsidRPr="00F67941">
              <w:t>Spending Category</w:t>
            </w:r>
          </w:p>
        </w:tc>
        <w:tc>
          <w:tcPr>
            <w:tcW w:w="4640" w:type="dxa"/>
            <w:tcBorders>
              <w:top w:val="single" w:sz="4" w:space="0" w:color="auto"/>
              <w:right w:val="single" w:sz="4" w:space="0" w:color="auto"/>
            </w:tcBorders>
          </w:tcPr>
          <w:p w14:paraId="74255FE4" w14:textId="7B0B6A68" w:rsidR="00F67941" w:rsidRPr="00046BDB" w:rsidRDefault="00F67941" w:rsidP="00046BDB">
            <w:pPr>
              <w:jc w:val="right"/>
              <w:cnfStyle w:val="100000000000" w:firstRow="1" w:lastRow="0" w:firstColumn="0" w:lastColumn="0" w:oddVBand="0" w:evenVBand="0" w:oddHBand="0" w:evenHBand="0" w:firstRowFirstColumn="0" w:firstRowLastColumn="0" w:lastRowFirstColumn="0" w:lastRowLastColumn="0"/>
            </w:pPr>
            <w:r w:rsidRPr="00F67941">
              <w:t>Episode Costs</w:t>
            </w:r>
          </w:p>
        </w:tc>
      </w:tr>
      <w:tr w:rsidR="00B31721" w:rsidRPr="00D87B5B" w14:paraId="78411B21"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tcBorders>
          </w:tcPr>
          <w:p w14:paraId="5EDA23C5" w14:textId="2060CC53" w:rsidR="00B31721" w:rsidRPr="00F67941" w:rsidRDefault="00B31721">
            <w:r w:rsidRPr="00F67941">
              <w:t>Regulated – IP</w:t>
            </w:r>
            <w:r w:rsidR="00BE1258" w:rsidRPr="00046BDB">
              <w:t xml:space="preserve"> and OP</w:t>
            </w:r>
            <w:r w:rsidRPr="00F67941">
              <w:t xml:space="preserve"> Hospital</w:t>
            </w:r>
          </w:p>
        </w:tc>
        <w:tc>
          <w:tcPr>
            <w:tcW w:w="4640" w:type="dxa"/>
            <w:tcBorders>
              <w:right w:val="single" w:sz="4" w:space="0" w:color="auto"/>
            </w:tcBorders>
          </w:tcPr>
          <w:p w14:paraId="719B32E0" w14:textId="10A0914F" w:rsidR="00B31721" w:rsidRPr="00F67941" w:rsidRDefault="00B31721">
            <w:pPr>
              <w:jc w:val="right"/>
              <w:cnfStyle w:val="000000100000" w:firstRow="0" w:lastRow="0" w:firstColumn="0" w:lastColumn="0" w:oddVBand="0" w:evenVBand="0" w:oddHBand="1" w:evenHBand="0" w:firstRowFirstColumn="0" w:firstRowLastColumn="0" w:lastRowFirstColumn="0" w:lastRowLastColumn="0"/>
            </w:pPr>
            <w:r w:rsidRPr="00F67941">
              <w:t>$1</w:t>
            </w:r>
            <w:r w:rsidR="00BE1258" w:rsidRPr="00046BDB">
              <w:t>3</w:t>
            </w:r>
            <w:r w:rsidRPr="00F67941">
              <w:t>,2</w:t>
            </w:r>
            <w:r w:rsidR="00BE1258" w:rsidRPr="00046BDB">
              <w:t>7</w:t>
            </w:r>
            <w:r w:rsidRPr="00F67941">
              <w:t>7</w:t>
            </w:r>
          </w:p>
        </w:tc>
      </w:tr>
      <w:tr w:rsidR="00B31721" w:rsidRPr="00D87B5B" w14:paraId="69C9664B" w14:textId="77777777" w:rsidTr="00046BDB">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tcBorders>
          </w:tcPr>
          <w:p w14:paraId="77368603" w14:textId="16315903" w:rsidR="00B31721" w:rsidRPr="00F67941" w:rsidRDefault="00B31721">
            <w:r w:rsidRPr="00F67941">
              <w:t>Physician</w:t>
            </w:r>
            <w:r w:rsidR="00D87B5B" w:rsidRPr="00046BDB">
              <w:t xml:space="preserve"> Fee Schedule (PFS)</w:t>
            </w:r>
          </w:p>
        </w:tc>
        <w:tc>
          <w:tcPr>
            <w:tcW w:w="4640" w:type="dxa"/>
            <w:tcBorders>
              <w:right w:val="single" w:sz="4" w:space="0" w:color="auto"/>
            </w:tcBorders>
          </w:tcPr>
          <w:p w14:paraId="01C02A70" w14:textId="6F22ACC1" w:rsidR="00B31721" w:rsidRPr="00F67941" w:rsidRDefault="00B31721">
            <w:pPr>
              <w:jc w:val="right"/>
              <w:cnfStyle w:val="000000000000" w:firstRow="0" w:lastRow="0" w:firstColumn="0" w:lastColumn="0" w:oddVBand="0" w:evenVBand="0" w:oddHBand="0" w:evenHBand="0" w:firstRowFirstColumn="0" w:firstRowLastColumn="0" w:lastRowFirstColumn="0" w:lastRowLastColumn="0"/>
            </w:pPr>
            <w:r w:rsidRPr="00F67941">
              <w:t>$4,350</w:t>
            </w:r>
          </w:p>
        </w:tc>
      </w:tr>
      <w:tr w:rsidR="00D87B5B" w:rsidRPr="00D87B5B" w14:paraId="4959D41A"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tcBorders>
          </w:tcPr>
          <w:p w14:paraId="6AA797C0" w14:textId="162AD08D" w:rsidR="00D87B5B" w:rsidRPr="00046BDB" w:rsidRDefault="00D87B5B">
            <w:r w:rsidRPr="00046BDB">
              <w:t>Inpatient Rehab Facility</w:t>
            </w:r>
          </w:p>
        </w:tc>
        <w:tc>
          <w:tcPr>
            <w:tcW w:w="4640" w:type="dxa"/>
            <w:tcBorders>
              <w:right w:val="single" w:sz="4" w:space="0" w:color="auto"/>
            </w:tcBorders>
          </w:tcPr>
          <w:p w14:paraId="3A75841B" w14:textId="038F624E" w:rsidR="00D87B5B" w:rsidRPr="00046BDB" w:rsidRDefault="00D87B5B">
            <w:pPr>
              <w:jc w:val="right"/>
              <w:cnfStyle w:val="000000100000" w:firstRow="0" w:lastRow="0" w:firstColumn="0" w:lastColumn="0" w:oddVBand="0" w:evenVBand="0" w:oddHBand="1" w:evenHBand="0" w:firstRowFirstColumn="0" w:firstRowLastColumn="0" w:lastRowFirstColumn="0" w:lastRowLastColumn="0"/>
            </w:pPr>
            <w:r w:rsidRPr="00046BDB">
              <w:t>$3,560</w:t>
            </w:r>
          </w:p>
        </w:tc>
      </w:tr>
      <w:tr w:rsidR="00D87B5B" w:rsidRPr="00D87B5B" w14:paraId="4EF145B6" w14:textId="77777777" w:rsidTr="00046BDB">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tcBorders>
          </w:tcPr>
          <w:p w14:paraId="68A5049B" w14:textId="190C48C9" w:rsidR="00D87B5B" w:rsidRPr="00046BDB" w:rsidRDefault="00D87B5B">
            <w:r w:rsidRPr="00046BDB">
              <w:t>Skilled Nursing Facility (SNF)</w:t>
            </w:r>
          </w:p>
        </w:tc>
        <w:tc>
          <w:tcPr>
            <w:tcW w:w="4640" w:type="dxa"/>
            <w:tcBorders>
              <w:right w:val="single" w:sz="4" w:space="0" w:color="auto"/>
            </w:tcBorders>
          </w:tcPr>
          <w:p w14:paraId="1DAE9E07" w14:textId="07510F8E" w:rsidR="00D87B5B" w:rsidRPr="00046BDB" w:rsidRDefault="00D87B5B">
            <w:pPr>
              <w:jc w:val="right"/>
              <w:cnfStyle w:val="000000000000" w:firstRow="0" w:lastRow="0" w:firstColumn="0" w:lastColumn="0" w:oddVBand="0" w:evenVBand="0" w:oddHBand="0" w:evenHBand="0" w:firstRowFirstColumn="0" w:firstRowLastColumn="0" w:lastRowFirstColumn="0" w:lastRowLastColumn="0"/>
            </w:pPr>
            <w:r w:rsidRPr="00046BDB">
              <w:t>$5,600</w:t>
            </w:r>
          </w:p>
        </w:tc>
      </w:tr>
      <w:tr w:rsidR="00B31721" w:rsidRPr="00D87B5B" w14:paraId="4E403641"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tcBorders>
          </w:tcPr>
          <w:p w14:paraId="0F7DC3F5" w14:textId="4BCE6778" w:rsidR="00B31721" w:rsidRPr="00F67941" w:rsidRDefault="00B31721">
            <w:r w:rsidRPr="00F67941">
              <w:lastRenderedPageBreak/>
              <w:t>Home Health</w:t>
            </w:r>
            <w:r w:rsidR="00D87B5B" w:rsidRPr="00046BDB">
              <w:t xml:space="preserve"> Agency (HHA)</w:t>
            </w:r>
          </w:p>
        </w:tc>
        <w:tc>
          <w:tcPr>
            <w:tcW w:w="4640" w:type="dxa"/>
            <w:tcBorders>
              <w:right w:val="single" w:sz="4" w:space="0" w:color="auto"/>
            </w:tcBorders>
          </w:tcPr>
          <w:p w14:paraId="66D3557C" w14:textId="3403E3D2" w:rsidR="00B31721" w:rsidRPr="00F67941" w:rsidRDefault="00B31721">
            <w:pPr>
              <w:jc w:val="right"/>
              <w:cnfStyle w:val="000000100000" w:firstRow="0" w:lastRow="0" w:firstColumn="0" w:lastColumn="0" w:oddVBand="0" w:evenVBand="0" w:oddHBand="1" w:evenHBand="0" w:firstRowFirstColumn="0" w:firstRowLastColumn="0" w:lastRowFirstColumn="0" w:lastRowLastColumn="0"/>
            </w:pPr>
            <w:r w:rsidRPr="00F67941">
              <w:t>$3,075</w:t>
            </w:r>
          </w:p>
        </w:tc>
      </w:tr>
      <w:tr w:rsidR="00B31721" w:rsidRPr="00D87B5B" w14:paraId="5816B08F" w14:textId="77777777" w:rsidTr="00046BDB">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bottom w:val="single" w:sz="4" w:space="0" w:color="8EAADB" w:themeColor="accent5" w:themeTint="99"/>
            </w:tcBorders>
          </w:tcPr>
          <w:p w14:paraId="7247AFE5" w14:textId="7AF347A8" w:rsidR="00B31721" w:rsidRPr="00F67941" w:rsidRDefault="00D87B5B">
            <w:r w:rsidRPr="00046BDB">
              <w:t>Other (DME,</w:t>
            </w:r>
            <w:r w:rsidR="00BE1258" w:rsidRPr="00046BDB">
              <w:t xml:space="preserve"> Hospice,</w:t>
            </w:r>
            <w:r w:rsidRPr="00046BDB">
              <w:t xml:space="preserve"> unregulated OPPS etc.) </w:t>
            </w:r>
          </w:p>
        </w:tc>
        <w:tc>
          <w:tcPr>
            <w:tcW w:w="4640" w:type="dxa"/>
            <w:tcBorders>
              <w:bottom w:val="single" w:sz="4" w:space="0" w:color="8EAADB" w:themeColor="accent5" w:themeTint="99"/>
              <w:right w:val="single" w:sz="4" w:space="0" w:color="auto"/>
            </w:tcBorders>
          </w:tcPr>
          <w:p w14:paraId="4333C693" w14:textId="49391724" w:rsidR="00B31721" w:rsidRPr="00F67941" w:rsidRDefault="00B31721">
            <w:pPr>
              <w:jc w:val="right"/>
              <w:cnfStyle w:val="000000000000" w:firstRow="0" w:lastRow="0" w:firstColumn="0" w:lastColumn="0" w:oddVBand="0" w:evenVBand="0" w:oddHBand="0" w:evenHBand="0" w:firstRowFirstColumn="0" w:firstRowLastColumn="0" w:lastRowFirstColumn="0" w:lastRowLastColumn="0"/>
            </w:pPr>
            <w:r w:rsidRPr="00F67941">
              <w:t>$450</w:t>
            </w:r>
          </w:p>
        </w:tc>
      </w:tr>
      <w:tr w:rsidR="00B31721" w14:paraId="1BF10CE3"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0" w:type="dxa"/>
            <w:tcBorders>
              <w:left w:val="single" w:sz="4" w:space="0" w:color="auto"/>
              <w:bottom w:val="single" w:sz="4" w:space="0" w:color="auto"/>
            </w:tcBorders>
          </w:tcPr>
          <w:p w14:paraId="391694CF" w14:textId="5F64C16F" w:rsidR="00B31721" w:rsidRPr="00046BDB" w:rsidRDefault="00B31721">
            <w:r w:rsidRPr="006A607E">
              <w:t>Total</w:t>
            </w:r>
          </w:p>
        </w:tc>
        <w:tc>
          <w:tcPr>
            <w:tcW w:w="4640" w:type="dxa"/>
            <w:tcBorders>
              <w:bottom w:val="single" w:sz="4" w:space="0" w:color="auto"/>
              <w:right w:val="single" w:sz="4" w:space="0" w:color="auto"/>
            </w:tcBorders>
          </w:tcPr>
          <w:p w14:paraId="325796A4" w14:textId="2BBA23D5" w:rsidR="00B31721" w:rsidRPr="00F67941" w:rsidRDefault="00B31721">
            <w:pPr>
              <w:jc w:val="right"/>
              <w:cnfStyle w:val="000000100000" w:firstRow="0" w:lastRow="0" w:firstColumn="0" w:lastColumn="0" w:oddVBand="0" w:evenVBand="0" w:oddHBand="1" w:evenHBand="0" w:firstRowFirstColumn="0" w:firstRowLastColumn="0" w:lastRowFirstColumn="0" w:lastRowLastColumn="0"/>
              <w:rPr>
                <w:b/>
              </w:rPr>
            </w:pPr>
            <w:r w:rsidRPr="00F67941">
              <w:rPr>
                <w:b/>
              </w:rPr>
              <w:t>$</w:t>
            </w:r>
            <w:r w:rsidR="00D87B5B" w:rsidRPr="00046BDB">
              <w:rPr>
                <w:b/>
              </w:rPr>
              <w:t>30</w:t>
            </w:r>
            <w:r w:rsidRPr="00F67941">
              <w:rPr>
                <w:b/>
              </w:rPr>
              <w:t>,</w:t>
            </w:r>
            <w:r w:rsidR="00D87B5B" w:rsidRPr="00046BDB">
              <w:rPr>
                <w:b/>
              </w:rPr>
              <w:t>312</w:t>
            </w:r>
          </w:p>
        </w:tc>
      </w:tr>
      <w:tr w:rsidR="00F67941" w14:paraId="4216CF96" w14:textId="77777777" w:rsidTr="00046BDB">
        <w:tc>
          <w:tcPr>
            <w:cnfStyle w:val="001000000000" w:firstRow="0" w:lastRow="0" w:firstColumn="1" w:lastColumn="0" w:oddVBand="0" w:evenVBand="0" w:oddHBand="0" w:evenHBand="0" w:firstRowFirstColumn="0" w:firstRowLastColumn="0" w:lastRowFirstColumn="0" w:lastRowLastColumn="0"/>
            <w:tcW w:w="4720" w:type="dxa"/>
            <w:tcBorders>
              <w:top w:val="single" w:sz="4" w:space="0" w:color="auto"/>
              <w:left w:val="nil"/>
              <w:bottom w:val="nil"/>
              <w:right w:val="nil"/>
            </w:tcBorders>
            <w:shd w:val="clear" w:color="auto" w:fill="auto"/>
          </w:tcPr>
          <w:p w14:paraId="775BF20B" w14:textId="77777777" w:rsidR="00F67941" w:rsidRPr="00046BDB" w:rsidRDefault="00F67941" w:rsidP="00F67941">
            <w:pPr>
              <w:rPr>
                <w:b w:val="0"/>
                <w:sz w:val="16"/>
                <w:szCs w:val="16"/>
              </w:rPr>
            </w:pPr>
          </w:p>
        </w:tc>
        <w:tc>
          <w:tcPr>
            <w:tcW w:w="4640" w:type="dxa"/>
            <w:tcBorders>
              <w:top w:val="single" w:sz="4" w:space="0" w:color="auto"/>
              <w:left w:val="nil"/>
              <w:bottom w:val="nil"/>
              <w:right w:val="nil"/>
            </w:tcBorders>
            <w:shd w:val="clear" w:color="auto" w:fill="auto"/>
          </w:tcPr>
          <w:p w14:paraId="1D618ACE" w14:textId="77777777" w:rsidR="00F67941" w:rsidRPr="00046BDB" w:rsidRDefault="00F67941" w:rsidP="00F67941">
            <w:pPr>
              <w:jc w:val="right"/>
              <w:cnfStyle w:val="000000000000" w:firstRow="0" w:lastRow="0" w:firstColumn="0" w:lastColumn="0" w:oddVBand="0" w:evenVBand="0" w:oddHBand="0" w:evenHBand="0" w:firstRowFirstColumn="0" w:firstRowLastColumn="0" w:lastRowFirstColumn="0" w:lastRowLastColumn="0"/>
              <w:rPr>
                <w:b/>
                <w:sz w:val="16"/>
                <w:szCs w:val="16"/>
              </w:rPr>
            </w:pPr>
          </w:p>
        </w:tc>
      </w:tr>
    </w:tbl>
    <w:p w14:paraId="2CC0DA4C" w14:textId="249F2BA4" w:rsidR="00314C7D" w:rsidRPr="00046BDB" w:rsidRDefault="00314C7D" w:rsidP="00046BDB">
      <w:r>
        <w:t>The total episode spending will be winsorized meaning that costs below the 1</w:t>
      </w:r>
      <w:r w:rsidRPr="00046BDB">
        <w:rPr>
          <w:vertAlign w:val="superscript"/>
        </w:rPr>
        <w:t>st</w:t>
      </w:r>
      <w:r>
        <w:t xml:space="preserve"> percentile and costs over the 99</w:t>
      </w:r>
      <w:r w:rsidRPr="00046BDB">
        <w:rPr>
          <w:vertAlign w:val="superscript"/>
        </w:rPr>
        <w:t>th</w:t>
      </w:r>
      <w:r>
        <w:t xml:space="preserve"> percentile will be truncated. This process will ensure that very expensive or very inexpensive episodes do not drive the results</w:t>
      </w:r>
      <w:r w:rsidR="006D0C1B">
        <w:t xml:space="preserve"> of the episode spending. </w:t>
      </w:r>
      <w:r w:rsidR="00F67941">
        <w:t xml:space="preserve">Note that winsorization is determined based on total episode spending and not each cost category separately. </w:t>
      </w:r>
      <w:r w:rsidR="006D0C1B">
        <w:t xml:space="preserve">An example is show in the table below. </w:t>
      </w:r>
    </w:p>
    <w:p w14:paraId="2A1E1A2E" w14:textId="0CF35708" w:rsidR="004F5D02" w:rsidRDefault="004F5D02" w:rsidP="004B5933">
      <w:pPr>
        <w:spacing w:after="0"/>
        <w:rPr>
          <w:i/>
        </w:rPr>
      </w:pPr>
      <w:r w:rsidRPr="004B5933">
        <w:rPr>
          <w:b/>
          <w:i/>
        </w:rPr>
        <w:t>Example</w:t>
      </w:r>
      <w:r w:rsidR="004B5933" w:rsidRPr="004B5933">
        <w:rPr>
          <w:b/>
          <w:i/>
        </w:rPr>
        <w:t xml:space="preserve"> 3.</w:t>
      </w:r>
      <w:r w:rsidRPr="004F5D02">
        <w:rPr>
          <w:i/>
        </w:rPr>
        <w:t xml:space="preserve"> CTI Episode Costs and Winsorization Effect </w:t>
      </w:r>
    </w:p>
    <w:tbl>
      <w:tblPr>
        <w:tblStyle w:val="GridTable4-Accent1"/>
        <w:tblW w:w="9535" w:type="dxa"/>
        <w:tblLayout w:type="fixed"/>
        <w:tblLook w:val="0420" w:firstRow="1" w:lastRow="0" w:firstColumn="0" w:lastColumn="0" w:noHBand="0" w:noVBand="1"/>
      </w:tblPr>
      <w:tblGrid>
        <w:gridCol w:w="1165"/>
        <w:gridCol w:w="1170"/>
        <w:gridCol w:w="2132"/>
        <w:gridCol w:w="958"/>
        <w:gridCol w:w="4110"/>
      </w:tblGrid>
      <w:tr w:rsidR="006D0C1B" w:rsidRPr="00C216D4" w14:paraId="624083E9" w14:textId="77777777" w:rsidTr="00046BDB">
        <w:trPr>
          <w:cnfStyle w:val="100000000000" w:firstRow="1" w:lastRow="0" w:firstColumn="0" w:lastColumn="0" w:oddVBand="0" w:evenVBand="0" w:oddHBand="0" w:evenHBand="0" w:firstRowFirstColumn="0" w:firstRowLastColumn="0" w:lastRowFirstColumn="0" w:lastRowLastColumn="0"/>
          <w:trHeight w:val="469"/>
        </w:trPr>
        <w:tc>
          <w:tcPr>
            <w:tcW w:w="1165" w:type="dxa"/>
            <w:tcBorders>
              <w:top w:val="single" w:sz="4" w:space="0" w:color="auto"/>
              <w:left w:val="single" w:sz="4" w:space="0" w:color="auto"/>
            </w:tcBorders>
            <w:hideMark/>
          </w:tcPr>
          <w:p w14:paraId="031DC2CE" w14:textId="101B8BF2" w:rsidR="006D0C1B" w:rsidRPr="00C216D4" w:rsidRDefault="006D0C1B" w:rsidP="00C216D4">
            <w:pPr>
              <w:tabs>
                <w:tab w:val="left" w:pos="1395"/>
              </w:tabs>
              <w:spacing w:after="160" w:line="259" w:lineRule="auto"/>
            </w:pPr>
            <w:r w:rsidRPr="00C216D4">
              <w:rPr>
                <w:b w:val="0"/>
                <w:bCs w:val="0"/>
                <w:u w:val="single"/>
              </w:rPr>
              <w:t>Episode</w:t>
            </w:r>
            <w:r w:rsidRPr="00C216D4">
              <w:rPr>
                <w:u w:val="single"/>
              </w:rPr>
              <w:t xml:space="preserve"> ID</w:t>
            </w:r>
          </w:p>
        </w:tc>
        <w:tc>
          <w:tcPr>
            <w:tcW w:w="1170" w:type="dxa"/>
            <w:tcBorders>
              <w:top w:val="single" w:sz="4" w:space="0" w:color="auto"/>
            </w:tcBorders>
            <w:hideMark/>
          </w:tcPr>
          <w:p w14:paraId="27C700A0" w14:textId="77777777" w:rsidR="006D0C1B" w:rsidRPr="00C216D4" w:rsidRDefault="006D0C1B" w:rsidP="00C216D4">
            <w:pPr>
              <w:tabs>
                <w:tab w:val="left" w:pos="1395"/>
              </w:tabs>
              <w:spacing w:after="160" w:line="259" w:lineRule="auto"/>
            </w:pPr>
            <w:r w:rsidRPr="00C216D4">
              <w:rPr>
                <w:u w:val="single"/>
              </w:rPr>
              <w:t>Bene ID</w:t>
            </w:r>
          </w:p>
        </w:tc>
        <w:tc>
          <w:tcPr>
            <w:tcW w:w="2132" w:type="dxa"/>
            <w:tcBorders>
              <w:top w:val="single" w:sz="4" w:space="0" w:color="auto"/>
            </w:tcBorders>
            <w:hideMark/>
          </w:tcPr>
          <w:p w14:paraId="186FBEEA" w14:textId="21124898" w:rsidR="006D0C1B" w:rsidRPr="00C216D4" w:rsidRDefault="006D0C1B" w:rsidP="00C216D4">
            <w:pPr>
              <w:tabs>
                <w:tab w:val="left" w:pos="1395"/>
              </w:tabs>
              <w:spacing w:after="160" w:line="259" w:lineRule="auto"/>
            </w:pPr>
            <w:r w:rsidRPr="00C216D4">
              <w:rPr>
                <w:u w:val="single"/>
              </w:rPr>
              <w:t>Episode Window</w:t>
            </w:r>
          </w:p>
        </w:tc>
        <w:tc>
          <w:tcPr>
            <w:tcW w:w="958" w:type="dxa"/>
            <w:tcBorders>
              <w:top w:val="single" w:sz="4" w:space="0" w:color="auto"/>
            </w:tcBorders>
            <w:hideMark/>
          </w:tcPr>
          <w:p w14:paraId="11FBD7C0" w14:textId="77777777" w:rsidR="006D0C1B" w:rsidRPr="00C216D4" w:rsidRDefault="006D0C1B" w:rsidP="00C216D4">
            <w:pPr>
              <w:tabs>
                <w:tab w:val="left" w:pos="1395"/>
              </w:tabs>
              <w:spacing w:after="160" w:line="259" w:lineRule="auto"/>
            </w:pPr>
            <w:r w:rsidRPr="00C216D4">
              <w:rPr>
                <w:u w:val="single"/>
              </w:rPr>
              <w:t>Costs</w:t>
            </w:r>
          </w:p>
        </w:tc>
        <w:tc>
          <w:tcPr>
            <w:tcW w:w="4110" w:type="dxa"/>
            <w:tcBorders>
              <w:top w:val="single" w:sz="4" w:space="0" w:color="auto"/>
              <w:right w:val="single" w:sz="4" w:space="0" w:color="auto"/>
            </w:tcBorders>
            <w:hideMark/>
          </w:tcPr>
          <w:p w14:paraId="16374AE2" w14:textId="77777777" w:rsidR="006D0C1B" w:rsidRPr="00C216D4" w:rsidRDefault="006D0C1B" w:rsidP="00C216D4">
            <w:pPr>
              <w:tabs>
                <w:tab w:val="left" w:pos="1395"/>
              </w:tabs>
              <w:spacing w:after="160" w:line="259" w:lineRule="auto"/>
            </w:pPr>
            <w:r w:rsidRPr="00C216D4">
              <w:rPr>
                <w:u w:val="single"/>
              </w:rPr>
              <w:t>Comment</w:t>
            </w:r>
          </w:p>
        </w:tc>
      </w:tr>
      <w:tr w:rsidR="006D0C1B" w:rsidRPr="00C216D4" w14:paraId="73AAE45F" w14:textId="77777777" w:rsidTr="00046BDB">
        <w:trPr>
          <w:cnfStyle w:val="000000100000" w:firstRow="0" w:lastRow="0" w:firstColumn="0" w:lastColumn="0" w:oddVBand="0" w:evenVBand="0" w:oddHBand="1" w:evenHBand="0" w:firstRowFirstColumn="0" w:firstRowLastColumn="0" w:lastRowFirstColumn="0" w:lastRowLastColumn="0"/>
          <w:trHeight w:val="494"/>
        </w:trPr>
        <w:tc>
          <w:tcPr>
            <w:tcW w:w="1165" w:type="dxa"/>
            <w:tcBorders>
              <w:left w:val="single" w:sz="4" w:space="0" w:color="auto"/>
            </w:tcBorders>
            <w:vAlign w:val="center"/>
            <w:hideMark/>
          </w:tcPr>
          <w:p w14:paraId="1725BC3F" w14:textId="54949ED8" w:rsidR="006D0C1B" w:rsidRPr="00C216D4" w:rsidRDefault="006D0C1B" w:rsidP="00046BDB">
            <w:pPr>
              <w:tabs>
                <w:tab w:val="left" w:pos="1395"/>
              </w:tabs>
              <w:spacing w:after="160" w:line="259" w:lineRule="auto"/>
              <w:jc w:val="center"/>
            </w:pPr>
            <w:r>
              <w:rPr>
                <w:i/>
              </w:rPr>
              <w:t>E00</w:t>
            </w:r>
            <w:r w:rsidRPr="002E5EEA">
              <w:rPr>
                <w:i/>
              </w:rPr>
              <w:t>1</w:t>
            </w:r>
          </w:p>
        </w:tc>
        <w:tc>
          <w:tcPr>
            <w:tcW w:w="1170" w:type="dxa"/>
            <w:vAlign w:val="center"/>
            <w:hideMark/>
          </w:tcPr>
          <w:p w14:paraId="1DB369B2" w14:textId="649EA8B9" w:rsidR="006D0C1B" w:rsidRPr="00C216D4" w:rsidRDefault="006D0C1B" w:rsidP="00046BDB">
            <w:pPr>
              <w:tabs>
                <w:tab w:val="left" w:pos="1395"/>
              </w:tabs>
              <w:spacing w:after="160" w:line="259" w:lineRule="auto"/>
              <w:jc w:val="center"/>
            </w:pPr>
            <w:r w:rsidRPr="002E5EEA">
              <w:rPr>
                <w:i/>
              </w:rPr>
              <w:t>B001</w:t>
            </w:r>
          </w:p>
        </w:tc>
        <w:tc>
          <w:tcPr>
            <w:tcW w:w="2132" w:type="dxa"/>
            <w:vAlign w:val="center"/>
            <w:hideMark/>
          </w:tcPr>
          <w:p w14:paraId="06EA9CF9" w14:textId="35BB9C65" w:rsidR="006D0C1B" w:rsidRPr="00C216D4" w:rsidRDefault="006D0C1B" w:rsidP="00046BDB">
            <w:pPr>
              <w:tabs>
                <w:tab w:val="left" w:pos="1395"/>
              </w:tabs>
              <w:spacing w:after="160" w:line="259" w:lineRule="auto"/>
              <w:jc w:val="center"/>
            </w:pPr>
            <w:r w:rsidRPr="002E5EEA">
              <w:rPr>
                <w:i/>
              </w:rPr>
              <w:t>07/08/2020 - 10/06/2020</w:t>
            </w:r>
          </w:p>
        </w:tc>
        <w:tc>
          <w:tcPr>
            <w:tcW w:w="958" w:type="dxa"/>
            <w:vAlign w:val="center"/>
            <w:hideMark/>
          </w:tcPr>
          <w:p w14:paraId="71949E9F" w14:textId="77777777" w:rsidR="006D0C1B" w:rsidRPr="00C216D4" w:rsidRDefault="006D0C1B" w:rsidP="00046BDB">
            <w:pPr>
              <w:tabs>
                <w:tab w:val="left" w:pos="1395"/>
              </w:tabs>
              <w:spacing w:after="160" w:line="259" w:lineRule="auto"/>
              <w:jc w:val="center"/>
            </w:pPr>
            <w:r w:rsidRPr="00C216D4">
              <w:t>$18,102</w:t>
            </w:r>
          </w:p>
        </w:tc>
        <w:tc>
          <w:tcPr>
            <w:tcW w:w="4110" w:type="dxa"/>
            <w:tcBorders>
              <w:right w:val="single" w:sz="4" w:space="0" w:color="auto"/>
            </w:tcBorders>
            <w:vAlign w:val="center"/>
            <w:hideMark/>
          </w:tcPr>
          <w:p w14:paraId="363D95DC" w14:textId="77777777" w:rsidR="006D0C1B" w:rsidRPr="00C216D4" w:rsidRDefault="006D0C1B" w:rsidP="00046BDB">
            <w:pPr>
              <w:tabs>
                <w:tab w:val="left" w:pos="1395"/>
              </w:tabs>
              <w:spacing w:after="160" w:line="259" w:lineRule="auto"/>
              <w:jc w:val="center"/>
            </w:pPr>
          </w:p>
        </w:tc>
      </w:tr>
      <w:tr w:rsidR="006D0C1B" w:rsidRPr="00C216D4" w14:paraId="65106317" w14:textId="77777777" w:rsidTr="00046BDB">
        <w:trPr>
          <w:trHeight w:val="494"/>
        </w:trPr>
        <w:tc>
          <w:tcPr>
            <w:tcW w:w="1165" w:type="dxa"/>
            <w:tcBorders>
              <w:left w:val="single" w:sz="4" w:space="0" w:color="auto"/>
            </w:tcBorders>
            <w:vAlign w:val="center"/>
            <w:hideMark/>
          </w:tcPr>
          <w:p w14:paraId="15F4B420" w14:textId="796BAAB3" w:rsidR="006D0C1B" w:rsidRPr="00C216D4" w:rsidRDefault="006D0C1B" w:rsidP="00046BDB">
            <w:pPr>
              <w:tabs>
                <w:tab w:val="left" w:pos="1395"/>
              </w:tabs>
              <w:spacing w:after="160" w:line="259" w:lineRule="auto"/>
              <w:jc w:val="center"/>
            </w:pPr>
            <w:r>
              <w:rPr>
                <w:i/>
              </w:rPr>
              <w:t>E00</w:t>
            </w:r>
            <w:r w:rsidRPr="002E5EEA">
              <w:rPr>
                <w:i/>
              </w:rPr>
              <w:t>2</w:t>
            </w:r>
          </w:p>
        </w:tc>
        <w:tc>
          <w:tcPr>
            <w:tcW w:w="1170" w:type="dxa"/>
            <w:vAlign w:val="center"/>
            <w:hideMark/>
          </w:tcPr>
          <w:p w14:paraId="67AEEA4B" w14:textId="32809754" w:rsidR="006D0C1B" w:rsidRPr="00C216D4" w:rsidRDefault="006D0C1B" w:rsidP="00046BDB">
            <w:pPr>
              <w:tabs>
                <w:tab w:val="left" w:pos="1395"/>
              </w:tabs>
              <w:spacing w:after="160" w:line="259" w:lineRule="auto"/>
              <w:jc w:val="center"/>
            </w:pPr>
            <w:r w:rsidRPr="002E5EEA">
              <w:rPr>
                <w:i/>
              </w:rPr>
              <w:t>B002</w:t>
            </w:r>
          </w:p>
        </w:tc>
        <w:tc>
          <w:tcPr>
            <w:tcW w:w="2132" w:type="dxa"/>
            <w:vAlign w:val="center"/>
            <w:hideMark/>
          </w:tcPr>
          <w:p w14:paraId="3C5F21B4" w14:textId="0A3A4690" w:rsidR="006D0C1B" w:rsidRPr="00C216D4" w:rsidRDefault="006D0C1B" w:rsidP="00046BDB">
            <w:pPr>
              <w:tabs>
                <w:tab w:val="left" w:pos="1395"/>
              </w:tabs>
              <w:spacing w:after="160" w:line="259" w:lineRule="auto"/>
              <w:jc w:val="center"/>
            </w:pPr>
            <w:r w:rsidRPr="002E5EEA">
              <w:rPr>
                <w:i/>
              </w:rPr>
              <w:t>07/22/2020 - 10/20/2020</w:t>
            </w:r>
          </w:p>
        </w:tc>
        <w:tc>
          <w:tcPr>
            <w:tcW w:w="958" w:type="dxa"/>
            <w:vAlign w:val="center"/>
            <w:hideMark/>
          </w:tcPr>
          <w:p w14:paraId="289CC3CB" w14:textId="77777777" w:rsidR="006D0C1B" w:rsidRPr="00C216D4" w:rsidRDefault="006D0C1B" w:rsidP="00046BDB">
            <w:pPr>
              <w:tabs>
                <w:tab w:val="left" w:pos="1395"/>
              </w:tabs>
              <w:spacing w:after="160" w:line="259" w:lineRule="auto"/>
              <w:jc w:val="center"/>
            </w:pPr>
            <w:r w:rsidRPr="00C216D4">
              <w:t>$17,287</w:t>
            </w:r>
          </w:p>
        </w:tc>
        <w:tc>
          <w:tcPr>
            <w:tcW w:w="4110" w:type="dxa"/>
            <w:tcBorders>
              <w:right w:val="single" w:sz="4" w:space="0" w:color="auto"/>
            </w:tcBorders>
            <w:vAlign w:val="center"/>
            <w:hideMark/>
          </w:tcPr>
          <w:p w14:paraId="000BF05A" w14:textId="77777777" w:rsidR="006D0C1B" w:rsidRPr="00C216D4" w:rsidRDefault="006D0C1B" w:rsidP="00046BDB">
            <w:pPr>
              <w:tabs>
                <w:tab w:val="left" w:pos="1395"/>
              </w:tabs>
              <w:spacing w:after="160" w:line="259" w:lineRule="auto"/>
              <w:jc w:val="center"/>
            </w:pPr>
          </w:p>
        </w:tc>
      </w:tr>
      <w:tr w:rsidR="00776E19" w:rsidRPr="00C216D4" w14:paraId="48AFFE53" w14:textId="77777777" w:rsidTr="00776E19">
        <w:trPr>
          <w:cnfStyle w:val="000000100000" w:firstRow="0" w:lastRow="0" w:firstColumn="0" w:lastColumn="0" w:oddVBand="0" w:evenVBand="0" w:oddHBand="1" w:evenHBand="0" w:firstRowFirstColumn="0" w:firstRowLastColumn="0" w:lastRowFirstColumn="0" w:lastRowLastColumn="0"/>
          <w:trHeight w:val="494"/>
        </w:trPr>
        <w:tc>
          <w:tcPr>
            <w:tcW w:w="1165" w:type="dxa"/>
            <w:tcBorders>
              <w:left w:val="single" w:sz="4" w:space="0" w:color="auto"/>
            </w:tcBorders>
            <w:vAlign w:val="center"/>
            <w:hideMark/>
          </w:tcPr>
          <w:p w14:paraId="303EBACB" w14:textId="78B1BC01" w:rsidR="006D0C1B" w:rsidRPr="00C216D4" w:rsidRDefault="006D0C1B" w:rsidP="00046BDB">
            <w:pPr>
              <w:tabs>
                <w:tab w:val="left" w:pos="1395"/>
              </w:tabs>
              <w:spacing w:after="160" w:line="259" w:lineRule="auto"/>
              <w:jc w:val="center"/>
            </w:pPr>
            <w:r>
              <w:rPr>
                <w:i/>
              </w:rPr>
              <w:t>E003</w:t>
            </w:r>
          </w:p>
        </w:tc>
        <w:tc>
          <w:tcPr>
            <w:tcW w:w="1170" w:type="dxa"/>
            <w:vAlign w:val="center"/>
            <w:hideMark/>
          </w:tcPr>
          <w:p w14:paraId="7190DCD4" w14:textId="55866D52" w:rsidR="006D0C1B" w:rsidRPr="00C216D4" w:rsidRDefault="006D0C1B" w:rsidP="00046BDB">
            <w:pPr>
              <w:tabs>
                <w:tab w:val="left" w:pos="1395"/>
              </w:tabs>
              <w:spacing w:after="160" w:line="259" w:lineRule="auto"/>
              <w:jc w:val="center"/>
            </w:pPr>
            <w:r w:rsidRPr="002E5EEA">
              <w:rPr>
                <w:i/>
              </w:rPr>
              <w:t>B00</w:t>
            </w:r>
            <w:r>
              <w:rPr>
                <w:i/>
              </w:rPr>
              <w:t>3</w:t>
            </w:r>
          </w:p>
        </w:tc>
        <w:tc>
          <w:tcPr>
            <w:tcW w:w="2132" w:type="dxa"/>
            <w:vAlign w:val="center"/>
            <w:hideMark/>
          </w:tcPr>
          <w:p w14:paraId="5D749E1C" w14:textId="211CBF7A" w:rsidR="006D0C1B" w:rsidRPr="00C216D4" w:rsidRDefault="006D0C1B" w:rsidP="00046BDB">
            <w:pPr>
              <w:tabs>
                <w:tab w:val="left" w:pos="1395"/>
              </w:tabs>
              <w:spacing w:after="160" w:line="259" w:lineRule="auto"/>
              <w:jc w:val="center"/>
            </w:pPr>
            <w:r w:rsidRPr="002E5EEA">
              <w:rPr>
                <w:i/>
              </w:rPr>
              <w:t>08/21/2020 - 11/19/2020</w:t>
            </w:r>
          </w:p>
        </w:tc>
        <w:tc>
          <w:tcPr>
            <w:tcW w:w="958" w:type="dxa"/>
            <w:vAlign w:val="center"/>
            <w:hideMark/>
          </w:tcPr>
          <w:p w14:paraId="5DE283FE" w14:textId="77777777" w:rsidR="006D0C1B" w:rsidRPr="00C216D4" w:rsidRDefault="006D0C1B" w:rsidP="00046BDB">
            <w:pPr>
              <w:tabs>
                <w:tab w:val="left" w:pos="1395"/>
              </w:tabs>
              <w:spacing w:after="160" w:line="259" w:lineRule="auto"/>
              <w:jc w:val="center"/>
            </w:pPr>
            <w:r w:rsidRPr="00C216D4">
              <w:t>$91,606</w:t>
            </w:r>
          </w:p>
        </w:tc>
        <w:tc>
          <w:tcPr>
            <w:tcW w:w="4110" w:type="dxa"/>
            <w:tcBorders>
              <w:right w:val="single" w:sz="4" w:space="0" w:color="auto"/>
            </w:tcBorders>
            <w:shd w:val="clear" w:color="auto" w:fill="FFFF00"/>
            <w:vAlign w:val="center"/>
            <w:hideMark/>
          </w:tcPr>
          <w:p w14:paraId="3C0C8DFD" w14:textId="496B1C61" w:rsidR="006D0C1B" w:rsidRPr="00C216D4" w:rsidRDefault="006D0C1B" w:rsidP="00046BDB">
            <w:pPr>
              <w:tabs>
                <w:tab w:val="left" w:pos="1395"/>
              </w:tabs>
              <w:spacing w:after="160" w:line="259" w:lineRule="auto"/>
              <w:jc w:val="center"/>
            </w:pPr>
            <w:r w:rsidRPr="00C216D4">
              <w:t>Winsorized to the 99</w:t>
            </w:r>
            <w:r>
              <w:t>th</w:t>
            </w:r>
            <w:r w:rsidRPr="00C216D4">
              <w:t xml:space="preserve"> percentile threshold of $32k</w:t>
            </w:r>
          </w:p>
        </w:tc>
      </w:tr>
      <w:tr w:rsidR="006D0C1B" w:rsidRPr="00C216D4" w14:paraId="22B4329E" w14:textId="77777777" w:rsidTr="00046BDB">
        <w:trPr>
          <w:trHeight w:val="494"/>
        </w:trPr>
        <w:tc>
          <w:tcPr>
            <w:tcW w:w="1165" w:type="dxa"/>
            <w:tcBorders>
              <w:left w:val="single" w:sz="4" w:space="0" w:color="auto"/>
              <w:bottom w:val="single" w:sz="4" w:space="0" w:color="9CC2E5" w:themeColor="accent1" w:themeTint="99"/>
            </w:tcBorders>
            <w:vAlign w:val="center"/>
            <w:hideMark/>
          </w:tcPr>
          <w:p w14:paraId="42F282B7" w14:textId="66EA793E" w:rsidR="006D0C1B" w:rsidRPr="00C216D4" w:rsidRDefault="006D0C1B" w:rsidP="00046BDB">
            <w:pPr>
              <w:tabs>
                <w:tab w:val="left" w:pos="1395"/>
              </w:tabs>
              <w:spacing w:after="160" w:line="259" w:lineRule="auto"/>
              <w:jc w:val="center"/>
            </w:pPr>
            <w:r>
              <w:rPr>
                <w:i/>
              </w:rPr>
              <w:t>E004</w:t>
            </w:r>
          </w:p>
        </w:tc>
        <w:tc>
          <w:tcPr>
            <w:tcW w:w="1170" w:type="dxa"/>
            <w:tcBorders>
              <w:bottom w:val="single" w:sz="4" w:space="0" w:color="9CC2E5" w:themeColor="accent1" w:themeTint="99"/>
            </w:tcBorders>
            <w:vAlign w:val="center"/>
            <w:hideMark/>
          </w:tcPr>
          <w:p w14:paraId="6C8D86C3" w14:textId="4C3A3C21" w:rsidR="006D0C1B" w:rsidRPr="00C216D4" w:rsidRDefault="006D0C1B" w:rsidP="00046BDB">
            <w:pPr>
              <w:tabs>
                <w:tab w:val="left" w:pos="1395"/>
              </w:tabs>
              <w:spacing w:after="160" w:line="259" w:lineRule="auto"/>
              <w:jc w:val="center"/>
            </w:pPr>
            <w:r w:rsidRPr="002E5EEA">
              <w:rPr>
                <w:i/>
              </w:rPr>
              <w:t>B00</w:t>
            </w:r>
            <w:r>
              <w:rPr>
                <w:i/>
              </w:rPr>
              <w:t>4</w:t>
            </w:r>
          </w:p>
        </w:tc>
        <w:tc>
          <w:tcPr>
            <w:tcW w:w="2132" w:type="dxa"/>
            <w:tcBorders>
              <w:bottom w:val="single" w:sz="4" w:space="0" w:color="9CC2E5" w:themeColor="accent1" w:themeTint="99"/>
            </w:tcBorders>
            <w:vAlign w:val="center"/>
            <w:hideMark/>
          </w:tcPr>
          <w:p w14:paraId="0C77D058" w14:textId="71219A72" w:rsidR="006D0C1B" w:rsidRPr="00C216D4" w:rsidRDefault="006D0C1B" w:rsidP="00046BDB">
            <w:pPr>
              <w:tabs>
                <w:tab w:val="left" w:pos="1395"/>
              </w:tabs>
              <w:spacing w:after="160" w:line="259" w:lineRule="auto"/>
              <w:jc w:val="center"/>
            </w:pPr>
            <w:r w:rsidRPr="002E5EEA">
              <w:rPr>
                <w:i/>
              </w:rPr>
              <w:t>07/23/2020 - 10/21/2020</w:t>
            </w:r>
          </w:p>
        </w:tc>
        <w:tc>
          <w:tcPr>
            <w:tcW w:w="958" w:type="dxa"/>
            <w:tcBorders>
              <w:bottom w:val="single" w:sz="4" w:space="0" w:color="9CC2E5" w:themeColor="accent1" w:themeTint="99"/>
            </w:tcBorders>
            <w:vAlign w:val="center"/>
            <w:hideMark/>
          </w:tcPr>
          <w:p w14:paraId="6B8069DA" w14:textId="77777777" w:rsidR="006D0C1B" w:rsidRPr="00C216D4" w:rsidRDefault="006D0C1B" w:rsidP="00046BDB">
            <w:pPr>
              <w:tabs>
                <w:tab w:val="left" w:pos="1395"/>
              </w:tabs>
              <w:spacing w:after="160" w:line="259" w:lineRule="auto"/>
              <w:jc w:val="center"/>
            </w:pPr>
            <w:r w:rsidRPr="00C216D4">
              <w:t>$24,016</w:t>
            </w:r>
          </w:p>
        </w:tc>
        <w:tc>
          <w:tcPr>
            <w:tcW w:w="4110" w:type="dxa"/>
            <w:tcBorders>
              <w:bottom w:val="single" w:sz="4" w:space="0" w:color="9CC2E5" w:themeColor="accent1" w:themeTint="99"/>
              <w:right w:val="single" w:sz="4" w:space="0" w:color="auto"/>
            </w:tcBorders>
            <w:vAlign w:val="center"/>
            <w:hideMark/>
          </w:tcPr>
          <w:p w14:paraId="4BC36987" w14:textId="77777777" w:rsidR="006D0C1B" w:rsidRPr="00C216D4" w:rsidRDefault="006D0C1B" w:rsidP="00046BDB">
            <w:pPr>
              <w:tabs>
                <w:tab w:val="left" w:pos="1395"/>
              </w:tabs>
              <w:spacing w:after="160" w:line="259" w:lineRule="auto"/>
              <w:jc w:val="center"/>
            </w:pPr>
          </w:p>
        </w:tc>
      </w:tr>
      <w:tr w:rsidR="00776E19" w:rsidRPr="00C216D4" w14:paraId="1B39A08A" w14:textId="77777777" w:rsidTr="00046BDB">
        <w:trPr>
          <w:cnfStyle w:val="000000100000" w:firstRow="0" w:lastRow="0" w:firstColumn="0" w:lastColumn="0" w:oddVBand="0" w:evenVBand="0" w:oddHBand="1" w:evenHBand="0" w:firstRowFirstColumn="0" w:firstRowLastColumn="0" w:lastRowFirstColumn="0" w:lastRowLastColumn="0"/>
          <w:trHeight w:val="494"/>
        </w:trPr>
        <w:tc>
          <w:tcPr>
            <w:tcW w:w="1165" w:type="dxa"/>
            <w:tcBorders>
              <w:left w:val="single" w:sz="4" w:space="0" w:color="auto"/>
              <w:bottom w:val="single" w:sz="4" w:space="0" w:color="auto"/>
            </w:tcBorders>
            <w:vAlign w:val="center"/>
            <w:hideMark/>
          </w:tcPr>
          <w:p w14:paraId="7501B9EC" w14:textId="312F0D2A" w:rsidR="006D0C1B" w:rsidRPr="00C216D4" w:rsidRDefault="006D0C1B" w:rsidP="00046BDB">
            <w:pPr>
              <w:tabs>
                <w:tab w:val="left" w:pos="1395"/>
              </w:tabs>
              <w:spacing w:after="160" w:line="259" w:lineRule="auto"/>
              <w:jc w:val="center"/>
            </w:pPr>
            <w:r>
              <w:rPr>
                <w:i/>
              </w:rPr>
              <w:t>E005</w:t>
            </w:r>
          </w:p>
        </w:tc>
        <w:tc>
          <w:tcPr>
            <w:tcW w:w="1170" w:type="dxa"/>
            <w:tcBorders>
              <w:bottom w:val="single" w:sz="4" w:space="0" w:color="auto"/>
            </w:tcBorders>
            <w:vAlign w:val="center"/>
            <w:hideMark/>
          </w:tcPr>
          <w:p w14:paraId="5E468958" w14:textId="7518C092" w:rsidR="006D0C1B" w:rsidRPr="00C216D4" w:rsidRDefault="006D0C1B" w:rsidP="00046BDB">
            <w:pPr>
              <w:tabs>
                <w:tab w:val="left" w:pos="1395"/>
              </w:tabs>
              <w:spacing w:after="160" w:line="259" w:lineRule="auto"/>
              <w:jc w:val="center"/>
            </w:pPr>
            <w:r w:rsidRPr="002E5EEA">
              <w:rPr>
                <w:i/>
              </w:rPr>
              <w:t>B002</w:t>
            </w:r>
          </w:p>
        </w:tc>
        <w:tc>
          <w:tcPr>
            <w:tcW w:w="2132" w:type="dxa"/>
            <w:tcBorders>
              <w:bottom w:val="single" w:sz="4" w:space="0" w:color="auto"/>
            </w:tcBorders>
            <w:vAlign w:val="center"/>
            <w:hideMark/>
          </w:tcPr>
          <w:p w14:paraId="530FE37D" w14:textId="51A0A9B5" w:rsidR="006D0C1B" w:rsidRPr="00C216D4" w:rsidRDefault="006D0C1B" w:rsidP="00046BDB">
            <w:pPr>
              <w:tabs>
                <w:tab w:val="left" w:pos="1395"/>
              </w:tabs>
              <w:spacing w:after="160" w:line="259" w:lineRule="auto"/>
              <w:jc w:val="center"/>
            </w:pPr>
            <w:r>
              <w:rPr>
                <w:i/>
              </w:rPr>
              <w:t>10</w:t>
            </w:r>
            <w:r w:rsidRPr="002E5EEA">
              <w:rPr>
                <w:i/>
              </w:rPr>
              <w:t>/</w:t>
            </w:r>
            <w:r>
              <w:rPr>
                <w:i/>
              </w:rPr>
              <w:t>13</w:t>
            </w:r>
            <w:r w:rsidRPr="002E5EEA">
              <w:rPr>
                <w:i/>
              </w:rPr>
              <w:t>/2020 -</w:t>
            </w:r>
            <w:r>
              <w:rPr>
                <w:i/>
              </w:rPr>
              <w:t>0</w:t>
            </w:r>
            <w:r w:rsidRPr="002E5EEA">
              <w:rPr>
                <w:i/>
              </w:rPr>
              <w:t>1/</w:t>
            </w:r>
            <w:r>
              <w:rPr>
                <w:i/>
              </w:rPr>
              <w:t>11</w:t>
            </w:r>
            <w:r w:rsidRPr="002E5EEA">
              <w:rPr>
                <w:i/>
              </w:rPr>
              <w:t>/202</w:t>
            </w:r>
            <w:r>
              <w:rPr>
                <w:i/>
              </w:rPr>
              <w:t>1</w:t>
            </w:r>
          </w:p>
        </w:tc>
        <w:tc>
          <w:tcPr>
            <w:tcW w:w="958" w:type="dxa"/>
            <w:tcBorders>
              <w:bottom w:val="single" w:sz="4" w:space="0" w:color="auto"/>
            </w:tcBorders>
            <w:vAlign w:val="center"/>
            <w:hideMark/>
          </w:tcPr>
          <w:p w14:paraId="2397092E" w14:textId="77777777" w:rsidR="006D0C1B" w:rsidRPr="00C216D4" w:rsidRDefault="006D0C1B" w:rsidP="00046BDB">
            <w:pPr>
              <w:tabs>
                <w:tab w:val="left" w:pos="1395"/>
              </w:tabs>
              <w:spacing w:after="160" w:line="259" w:lineRule="auto"/>
              <w:jc w:val="center"/>
            </w:pPr>
            <w:r w:rsidRPr="00C216D4">
              <w:t>$20</w:t>
            </w:r>
          </w:p>
        </w:tc>
        <w:tc>
          <w:tcPr>
            <w:tcW w:w="4110" w:type="dxa"/>
            <w:tcBorders>
              <w:bottom w:val="single" w:sz="4" w:space="0" w:color="auto"/>
              <w:right w:val="single" w:sz="4" w:space="0" w:color="auto"/>
            </w:tcBorders>
            <w:shd w:val="clear" w:color="auto" w:fill="FFFF00"/>
            <w:vAlign w:val="center"/>
            <w:hideMark/>
          </w:tcPr>
          <w:p w14:paraId="05F1759C" w14:textId="77777777" w:rsidR="006D0C1B" w:rsidRPr="00C216D4" w:rsidRDefault="006D0C1B" w:rsidP="00046BDB">
            <w:pPr>
              <w:tabs>
                <w:tab w:val="left" w:pos="1395"/>
              </w:tabs>
              <w:spacing w:after="160" w:line="259" w:lineRule="auto"/>
              <w:jc w:val="center"/>
            </w:pPr>
            <w:r w:rsidRPr="00C216D4">
              <w:t>Winsorized to the 1st percentile threshold of $2.5k</w:t>
            </w:r>
          </w:p>
        </w:tc>
      </w:tr>
      <w:tr w:rsidR="00F67941" w:rsidRPr="00C216D4" w14:paraId="600ED49A" w14:textId="77777777" w:rsidTr="00046BDB">
        <w:trPr>
          <w:trHeight w:val="143"/>
        </w:trPr>
        <w:tc>
          <w:tcPr>
            <w:tcW w:w="1165" w:type="dxa"/>
            <w:tcBorders>
              <w:top w:val="single" w:sz="4" w:space="0" w:color="auto"/>
              <w:left w:val="nil"/>
              <w:bottom w:val="nil"/>
              <w:right w:val="nil"/>
            </w:tcBorders>
            <w:shd w:val="clear" w:color="auto" w:fill="auto"/>
          </w:tcPr>
          <w:p w14:paraId="5D8EC78C" w14:textId="77777777" w:rsidR="00F67941" w:rsidRPr="00046BDB" w:rsidRDefault="00F67941" w:rsidP="006D0C1B">
            <w:pPr>
              <w:tabs>
                <w:tab w:val="left" w:pos="1395"/>
              </w:tabs>
              <w:rPr>
                <w:i/>
                <w:sz w:val="16"/>
                <w:szCs w:val="16"/>
              </w:rPr>
            </w:pPr>
          </w:p>
        </w:tc>
        <w:tc>
          <w:tcPr>
            <w:tcW w:w="1170" w:type="dxa"/>
            <w:tcBorders>
              <w:top w:val="single" w:sz="4" w:space="0" w:color="auto"/>
              <w:left w:val="nil"/>
              <w:bottom w:val="nil"/>
              <w:right w:val="nil"/>
            </w:tcBorders>
            <w:shd w:val="clear" w:color="auto" w:fill="auto"/>
          </w:tcPr>
          <w:p w14:paraId="498A386D" w14:textId="77777777" w:rsidR="00F67941" w:rsidRPr="00046BDB" w:rsidRDefault="00F67941" w:rsidP="006D0C1B">
            <w:pPr>
              <w:tabs>
                <w:tab w:val="left" w:pos="1395"/>
              </w:tabs>
              <w:rPr>
                <w:i/>
                <w:sz w:val="16"/>
                <w:szCs w:val="16"/>
              </w:rPr>
            </w:pPr>
          </w:p>
        </w:tc>
        <w:tc>
          <w:tcPr>
            <w:tcW w:w="2132" w:type="dxa"/>
            <w:tcBorders>
              <w:top w:val="single" w:sz="4" w:space="0" w:color="auto"/>
              <w:left w:val="nil"/>
              <w:bottom w:val="nil"/>
              <w:right w:val="nil"/>
            </w:tcBorders>
            <w:shd w:val="clear" w:color="auto" w:fill="auto"/>
          </w:tcPr>
          <w:p w14:paraId="56A37D05" w14:textId="77777777" w:rsidR="00F67941" w:rsidRPr="00046BDB" w:rsidRDefault="00F67941" w:rsidP="006D0C1B">
            <w:pPr>
              <w:tabs>
                <w:tab w:val="left" w:pos="1395"/>
              </w:tabs>
              <w:rPr>
                <w:i/>
                <w:sz w:val="16"/>
                <w:szCs w:val="16"/>
              </w:rPr>
            </w:pPr>
          </w:p>
        </w:tc>
        <w:tc>
          <w:tcPr>
            <w:tcW w:w="958" w:type="dxa"/>
            <w:tcBorders>
              <w:top w:val="single" w:sz="4" w:space="0" w:color="auto"/>
              <w:left w:val="nil"/>
              <w:bottom w:val="nil"/>
              <w:right w:val="nil"/>
            </w:tcBorders>
            <w:shd w:val="clear" w:color="auto" w:fill="auto"/>
          </w:tcPr>
          <w:p w14:paraId="59001756" w14:textId="77777777" w:rsidR="00F67941" w:rsidRPr="00046BDB" w:rsidRDefault="00F67941" w:rsidP="006D0C1B">
            <w:pPr>
              <w:tabs>
                <w:tab w:val="left" w:pos="1395"/>
              </w:tabs>
              <w:rPr>
                <w:sz w:val="16"/>
                <w:szCs w:val="16"/>
              </w:rPr>
            </w:pPr>
          </w:p>
        </w:tc>
        <w:tc>
          <w:tcPr>
            <w:tcW w:w="4110" w:type="dxa"/>
            <w:tcBorders>
              <w:top w:val="single" w:sz="4" w:space="0" w:color="auto"/>
              <w:left w:val="nil"/>
              <w:bottom w:val="nil"/>
              <w:right w:val="nil"/>
            </w:tcBorders>
            <w:shd w:val="clear" w:color="auto" w:fill="auto"/>
          </w:tcPr>
          <w:p w14:paraId="738C1502" w14:textId="77777777" w:rsidR="00F67941" w:rsidRPr="00046BDB" w:rsidRDefault="00F67941" w:rsidP="006D0C1B">
            <w:pPr>
              <w:tabs>
                <w:tab w:val="left" w:pos="1395"/>
              </w:tabs>
              <w:rPr>
                <w:sz w:val="16"/>
                <w:szCs w:val="16"/>
              </w:rPr>
            </w:pPr>
          </w:p>
        </w:tc>
      </w:tr>
    </w:tbl>
    <w:p w14:paraId="6B0E4EA7" w14:textId="1B9B6A96" w:rsidR="00C60355" w:rsidRDefault="00F67941" w:rsidP="00750877">
      <w:pPr>
        <w:tabs>
          <w:tab w:val="left" w:pos="1395"/>
        </w:tabs>
      </w:pPr>
      <w:r>
        <w:t>Episode E003 is above the 99</w:t>
      </w:r>
      <w:r w:rsidRPr="00F3322F">
        <w:rPr>
          <w:vertAlign w:val="superscript"/>
        </w:rPr>
        <w:t>th</w:t>
      </w:r>
      <w:r>
        <w:t xml:space="preserve"> percentile of all episodes (in this example the 99</w:t>
      </w:r>
      <w:r w:rsidRPr="00046BDB">
        <w:rPr>
          <w:vertAlign w:val="superscript"/>
        </w:rPr>
        <w:t>th</w:t>
      </w:r>
      <w:r>
        <w:t xml:space="preserve"> percentile is $32 thousand) and so its costs are reduced to be $32 thousand. Additionally, episode E005 is below the 1</w:t>
      </w:r>
      <w:r w:rsidRPr="00F3322F">
        <w:rPr>
          <w:vertAlign w:val="superscript"/>
        </w:rPr>
        <w:t>st</w:t>
      </w:r>
      <w:r>
        <w:t xml:space="preserve"> percentile (in this example the 1</w:t>
      </w:r>
      <w:r w:rsidRPr="00046BDB">
        <w:rPr>
          <w:vertAlign w:val="superscript"/>
        </w:rPr>
        <w:t>st</w:t>
      </w:r>
      <w:r>
        <w:t xml:space="preserve"> percentile is $2.5 thousand) and so its costs are increased to be $2.5 thousand.</w:t>
      </w:r>
      <w:r w:rsidR="00750877">
        <w:tab/>
      </w:r>
    </w:p>
    <w:p w14:paraId="5A1E5AAF" w14:textId="3C5BBF36" w:rsidR="00760858" w:rsidRDefault="00BC732F" w:rsidP="00AC3BCC">
      <w:pPr>
        <w:pStyle w:val="Heading3"/>
      </w:pPr>
      <w:bookmarkStart w:id="16" w:name="_Toc24993088"/>
      <w:r>
        <w:t>Step 3</w:t>
      </w:r>
      <w:r w:rsidR="00CA4F88">
        <w:t xml:space="preserve">: </w:t>
      </w:r>
      <w:r w:rsidR="00F10785">
        <w:t>Calculate</w:t>
      </w:r>
      <w:r w:rsidR="00CA4F88">
        <w:t xml:space="preserve"> a Target Price</w:t>
      </w:r>
      <w:bookmarkEnd w:id="16"/>
    </w:p>
    <w:p w14:paraId="442C47AF" w14:textId="0B41B820" w:rsidR="00AC4039" w:rsidRDefault="00197BD2" w:rsidP="00012FFC">
      <w:r>
        <w:t xml:space="preserve">This section describes how the CTI target price is calculated from the aggregated episode prices </w:t>
      </w:r>
      <w:r w:rsidR="00A46895">
        <w:t xml:space="preserve">(“baseline costs”) </w:t>
      </w:r>
      <w:r>
        <w:t>described in Step 2</w:t>
      </w:r>
      <w:r w:rsidR="00A46895">
        <w:t>. Baseline costs are inflated into current year dollar to establish the target price</w:t>
      </w:r>
      <w:r w:rsidR="00AC4039">
        <w:t xml:space="preserve"> (Step 3.A below)</w:t>
      </w:r>
      <w:r w:rsidR="00A46895">
        <w:t xml:space="preserve">. </w:t>
      </w:r>
      <w:r w:rsidR="00012FFC">
        <w:t xml:space="preserve">The inflation methodology ensures that the target price is represented in current year dollars. </w:t>
      </w:r>
      <w:r w:rsidR="00AC4039">
        <w:t xml:space="preserve">Once an updated payment amount has been calculated through Step 3, the episode costs will be risk-adjusted (Steps 3.B and C below). </w:t>
      </w:r>
    </w:p>
    <w:p w14:paraId="492700BA" w14:textId="77777777" w:rsidR="00AC4039" w:rsidRDefault="00AC4039" w:rsidP="00012FFC">
      <w:r>
        <w:t xml:space="preserve">The risk adjustment approach will differ based on whether the CTI is triggered by a hospital stay or not. For a hospital-triggered CTI, the risk adjustment will be based on the APR-DRG &amp; SOI combination. For non-hospital-triggered CTI, the risk adjustment will be based on a HCC strata. In either approach, a separate target price will be established for each APR-DRG &amp; SOI combination or HCC strata. </w:t>
      </w:r>
    </w:p>
    <w:p w14:paraId="30E9DF8C" w14:textId="5E4C5F56" w:rsidR="00AC4039" w:rsidRDefault="00AC4039" w:rsidP="00012FFC">
      <w:r>
        <w:t xml:space="preserve">After risk adjustment is applied, the target price </w:t>
      </w:r>
      <w:r w:rsidR="005E6388">
        <w:t>will be</w:t>
      </w:r>
      <w:r>
        <w:t xml:space="preserve"> equal to the average updated costs of the Baseline Period episode within each APR-DRG &amp; SOI combination and HCC strata</w:t>
      </w:r>
      <w:r w:rsidR="00952BF4">
        <w:t xml:space="preserve"> (described in Step 3.D)</w:t>
      </w:r>
      <w:r>
        <w:t>.</w:t>
      </w:r>
    </w:p>
    <w:p w14:paraId="032E62DA" w14:textId="77777777" w:rsidR="00012FFC" w:rsidRDefault="00012FFC" w:rsidP="00FB7E8E"/>
    <w:p w14:paraId="2C9E7BBC" w14:textId="23DC6282" w:rsidR="00C60355" w:rsidRDefault="00C60355" w:rsidP="000B0ADE">
      <w:pPr>
        <w:pStyle w:val="Heading4"/>
        <w:tabs>
          <w:tab w:val="left" w:pos="7424"/>
        </w:tabs>
      </w:pPr>
      <w:bookmarkStart w:id="17" w:name="_Toc20995852"/>
      <w:bookmarkStart w:id="18" w:name="_Toc22729811"/>
      <w:bookmarkStart w:id="19" w:name="_Toc24993089"/>
      <w:r>
        <w:lastRenderedPageBreak/>
        <w:t xml:space="preserve">Step 3.A: </w:t>
      </w:r>
      <w:r w:rsidRPr="00CC3072">
        <w:t>Update Factor Calculation</w:t>
      </w:r>
      <w:bookmarkEnd w:id="17"/>
      <w:bookmarkEnd w:id="18"/>
      <w:bookmarkEnd w:id="19"/>
      <w:r w:rsidR="000B0ADE">
        <w:tab/>
      </w:r>
    </w:p>
    <w:p w14:paraId="527DE56D" w14:textId="33326E5C" w:rsidR="00DD0B4A" w:rsidRDefault="00A9255C">
      <w:r>
        <w:t xml:space="preserve">Each of the six settings of care </w:t>
      </w:r>
      <w:r w:rsidR="00BE1258">
        <w:t>shown</w:t>
      </w:r>
      <w:r>
        <w:t xml:space="preserve"> in </w:t>
      </w:r>
      <w:r w:rsidR="00BE1258">
        <w:t>Step</w:t>
      </w:r>
      <w:r>
        <w:t xml:space="preserve"> 2</w:t>
      </w:r>
      <w:r w:rsidR="006A607E">
        <w:t xml:space="preserve"> (Regulated, Physician, Inpatient Rehab, SNF, Home Health, and Other)</w:t>
      </w:r>
      <w:r>
        <w:t xml:space="preserve"> are inflated separately</w:t>
      </w:r>
      <w:r w:rsidR="00BE3BC8">
        <w:t xml:space="preserve"> using a setting specific update factor. Regulated hospital payments will be inflated according to the </w:t>
      </w:r>
      <w:r w:rsidR="00010B2F">
        <w:t>HSCRC rate orders, as discussed below</w:t>
      </w:r>
      <w:r w:rsidR="00C11324">
        <w:t>. The remaining five settings of care a</w:t>
      </w:r>
      <w:r w:rsidR="000E6D51">
        <w:t>re</w:t>
      </w:r>
      <w:r w:rsidR="00C11324">
        <w:t xml:space="preserve"> updated using the </w:t>
      </w:r>
      <w:r w:rsidR="000E6D51">
        <w:t xml:space="preserve">Medicare </w:t>
      </w:r>
      <w:r w:rsidR="00C11324">
        <w:t>update factors</w:t>
      </w:r>
      <w:r w:rsidR="000E6D51">
        <w:t xml:space="preserve"> that are included in the fee-schedules for the relevant setting of care</w:t>
      </w:r>
      <w:r w:rsidR="00C11324">
        <w:t>.</w:t>
      </w:r>
      <w:r w:rsidR="00DB07D9">
        <w:t xml:space="preserve"> </w:t>
      </w:r>
    </w:p>
    <w:p w14:paraId="4DAC8AC2" w14:textId="58BBDEA8" w:rsidR="00805522" w:rsidRDefault="00CE32ED" w:rsidP="00DB07D9">
      <w:pPr>
        <w:tabs>
          <w:tab w:val="left" w:pos="3040"/>
        </w:tabs>
      </w:pPr>
      <w:r>
        <w:t>Regulated hospital costs</w:t>
      </w:r>
      <w:r w:rsidR="000B0ADE">
        <w:rPr>
          <w:rStyle w:val="FootnoteReference"/>
        </w:rPr>
        <w:footnoteReference w:id="6"/>
      </w:r>
      <w:r>
        <w:t xml:space="preserve"> will be standardized </w:t>
      </w:r>
      <w:r w:rsidR="00253AC3">
        <w:t xml:space="preserve">and </w:t>
      </w:r>
      <w:r w:rsidR="006E34A7">
        <w:t>then</w:t>
      </w:r>
      <w:r w:rsidR="00253AC3">
        <w:t xml:space="preserve"> updated based on the </w:t>
      </w:r>
      <w:r w:rsidR="003159DF">
        <w:t>rate orders.</w:t>
      </w:r>
      <w:r w:rsidR="00805522">
        <w:t xml:space="preserve"> First, </w:t>
      </w:r>
      <w:r w:rsidR="00D93EC4">
        <w:t xml:space="preserve">hospital utilization will be separated out by the </w:t>
      </w:r>
      <w:r w:rsidR="004335C2">
        <w:t xml:space="preserve">rate center utilization that occurs during a CTI episode window. </w:t>
      </w:r>
      <w:r w:rsidR="00245FAC">
        <w:t xml:space="preserve">Second, the costs will be standardized and then updated. </w:t>
      </w:r>
      <w:r w:rsidR="006E34A7">
        <w:t>Standardization is necessary to eliminate any change in hospital costs which is caused by hospitals increasing their charges in order to meet their GBR</w:t>
      </w:r>
      <w:r w:rsidR="004A1A83">
        <w:t xml:space="preserve">, rather than the HSCRC update factors. </w:t>
      </w:r>
      <w:r w:rsidR="00AC7180">
        <w:t xml:space="preserve">The standardized costs will be updated </w:t>
      </w:r>
      <w:r w:rsidR="0030513A">
        <w:t xml:space="preserve">based on the change in the HSCRC rate orders. </w:t>
      </w:r>
    </w:p>
    <w:p w14:paraId="56FDAD58" w14:textId="40A89EE8" w:rsidR="00C60355" w:rsidRDefault="002D7E7A" w:rsidP="00DB07D9">
      <w:pPr>
        <w:tabs>
          <w:tab w:val="left" w:pos="3040"/>
        </w:tabs>
      </w:pPr>
      <w:r>
        <w:t xml:space="preserve">The </w:t>
      </w:r>
      <w:r w:rsidR="00915B58">
        <w:t>example</w:t>
      </w:r>
      <w:r w:rsidR="00245FAC">
        <w:t xml:space="preserve"> shows the process </w:t>
      </w:r>
      <w:r w:rsidR="003216F6">
        <w:t xml:space="preserve">in </w:t>
      </w:r>
      <w:r w:rsidR="00C701B0">
        <w:t>three steps:</w:t>
      </w:r>
    </w:p>
    <w:p w14:paraId="257B56D8" w14:textId="1CA36191" w:rsidR="00C701B0" w:rsidRPr="00BF790B" w:rsidRDefault="00C701B0" w:rsidP="00C701B0">
      <w:pPr>
        <w:pStyle w:val="ListParagraph"/>
        <w:numPr>
          <w:ilvl w:val="0"/>
          <w:numId w:val="51"/>
        </w:numPr>
        <w:tabs>
          <w:tab w:val="left" w:pos="3040"/>
        </w:tabs>
      </w:pPr>
      <w:r w:rsidRPr="00FB7E8E">
        <w:t xml:space="preserve">Hospital costs will be standardized by multiplying </w:t>
      </w:r>
      <w:r w:rsidRPr="00BF790B">
        <w:t xml:space="preserve">the number of units by the rate order for each applicable rate center. In the example below, </w:t>
      </w:r>
      <w:r w:rsidR="005F510D" w:rsidRPr="00BF790B">
        <w:t xml:space="preserve">column </w:t>
      </w:r>
      <w:r w:rsidR="00F33E51" w:rsidRPr="00BF790B">
        <w:t>B</w:t>
      </w:r>
      <w:r w:rsidR="005F510D" w:rsidRPr="00BF790B">
        <w:t xml:space="preserve"> is multiplied by column </w:t>
      </w:r>
      <w:r w:rsidR="00F33E51" w:rsidRPr="00BF790B">
        <w:t>C</w:t>
      </w:r>
      <w:r w:rsidR="00D5463C">
        <w:t xml:space="preserve"> and is reported</w:t>
      </w:r>
      <w:r w:rsidR="005F510D" w:rsidRPr="00BF790B">
        <w:t xml:space="preserve"> in column </w:t>
      </w:r>
      <w:r w:rsidR="00F33E51" w:rsidRPr="00BF790B">
        <w:t>D</w:t>
      </w:r>
      <w:r w:rsidR="005F510D" w:rsidRPr="00BF790B">
        <w:t>;</w:t>
      </w:r>
    </w:p>
    <w:p w14:paraId="294B3F00" w14:textId="5118E2A5" w:rsidR="001066BC" w:rsidRPr="00BF790B" w:rsidRDefault="005F510D" w:rsidP="00C701B0">
      <w:pPr>
        <w:pStyle w:val="ListParagraph"/>
        <w:numPr>
          <w:ilvl w:val="0"/>
          <w:numId w:val="51"/>
        </w:numPr>
        <w:tabs>
          <w:tab w:val="left" w:pos="3040"/>
        </w:tabs>
      </w:pPr>
      <w:r w:rsidRPr="00BF790B">
        <w:t xml:space="preserve">The percentage increase in the rate orders between the baseline year and the </w:t>
      </w:r>
      <w:r w:rsidR="00AB617A">
        <w:t>Performance Period</w:t>
      </w:r>
      <w:r w:rsidRPr="00BF790B">
        <w:t xml:space="preserve"> is multiplied by the </w:t>
      </w:r>
      <w:r w:rsidR="0060666C" w:rsidRPr="00BF790B">
        <w:t>standardized costs</w:t>
      </w:r>
      <w:r w:rsidR="00F33E51" w:rsidRPr="00BF790B">
        <w:t>. In the example below, column</w:t>
      </w:r>
      <w:r w:rsidR="001066BC" w:rsidRPr="00BF790B">
        <w:t xml:space="preserve"> E is divided by column B and then multiplied by column D. The updated costs are reported in column F; </w:t>
      </w:r>
    </w:p>
    <w:p w14:paraId="78142943" w14:textId="60B2F745" w:rsidR="005F510D" w:rsidRDefault="000C65D0" w:rsidP="00046BDB">
      <w:pPr>
        <w:pStyle w:val="ListParagraph"/>
        <w:numPr>
          <w:ilvl w:val="0"/>
          <w:numId w:val="51"/>
        </w:numPr>
        <w:tabs>
          <w:tab w:val="left" w:pos="3040"/>
        </w:tabs>
      </w:pPr>
      <w:r w:rsidRPr="00BF790B">
        <w:t>The updated hospital costs will be aggregated across all rate centers in order to calculate the total updated hospital costs.</w:t>
      </w:r>
    </w:p>
    <w:p w14:paraId="6F12F855" w14:textId="2B9C688C" w:rsidR="00A704EE" w:rsidRPr="00046BDB" w:rsidRDefault="00A704EE">
      <w:pPr>
        <w:tabs>
          <w:tab w:val="left" w:pos="3040"/>
        </w:tabs>
        <w:rPr>
          <w:i/>
        </w:rPr>
      </w:pPr>
      <w:r w:rsidRPr="00046BDB">
        <w:rPr>
          <w:b/>
          <w:i/>
        </w:rPr>
        <w:t xml:space="preserve">Example 4. </w:t>
      </w:r>
      <w:r w:rsidRPr="00046BDB">
        <w:rPr>
          <w:i/>
        </w:rPr>
        <w:t>Standardized and Updated Prices for Hospitals</w:t>
      </w:r>
    </w:p>
    <w:tbl>
      <w:tblPr>
        <w:tblStyle w:val="GridTable4-Accent5"/>
        <w:tblW w:w="0" w:type="auto"/>
        <w:tblLook w:val="04A0" w:firstRow="1" w:lastRow="0" w:firstColumn="1" w:lastColumn="0" w:noHBand="0" w:noVBand="1"/>
      </w:tblPr>
      <w:tblGrid>
        <w:gridCol w:w="1392"/>
        <w:gridCol w:w="1526"/>
        <w:gridCol w:w="1543"/>
        <w:gridCol w:w="1730"/>
        <w:gridCol w:w="1543"/>
        <w:gridCol w:w="1616"/>
      </w:tblGrid>
      <w:tr w:rsidR="00C701B0" w14:paraId="7FCB219A" w14:textId="77777777" w:rsidTr="00006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left w:val="single" w:sz="4" w:space="0" w:color="auto"/>
            </w:tcBorders>
            <w:vAlign w:val="center"/>
          </w:tcPr>
          <w:p w14:paraId="4B55ECE3" w14:textId="1C4DB4F6" w:rsidR="00C701B0" w:rsidRDefault="00653A67" w:rsidP="000064DC">
            <w:pPr>
              <w:tabs>
                <w:tab w:val="left" w:pos="3040"/>
              </w:tabs>
              <w:jc w:val="center"/>
            </w:pPr>
            <w:r>
              <w:t>Rate Center</w:t>
            </w:r>
          </w:p>
        </w:tc>
        <w:tc>
          <w:tcPr>
            <w:tcW w:w="1526" w:type="dxa"/>
            <w:tcBorders>
              <w:top w:val="single" w:sz="4" w:space="0" w:color="auto"/>
            </w:tcBorders>
            <w:vAlign w:val="center"/>
          </w:tcPr>
          <w:p w14:paraId="46E5A05B" w14:textId="70E63A42" w:rsidR="00C701B0" w:rsidRDefault="00C701B0"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Units</w:t>
            </w:r>
          </w:p>
        </w:tc>
        <w:tc>
          <w:tcPr>
            <w:tcW w:w="1543" w:type="dxa"/>
            <w:tcBorders>
              <w:top w:val="single" w:sz="4" w:space="0" w:color="auto"/>
            </w:tcBorders>
            <w:vAlign w:val="center"/>
          </w:tcPr>
          <w:p w14:paraId="18D0D978" w14:textId="77777777" w:rsidR="00C701B0" w:rsidRDefault="00C701B0"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Rate Order</w:t>
            </w:r>
          </w:p>
          <w:p w14:paraId="72459CBF" w14:textId="54CB29D5" w:rsidR="0077520B" w:rsidRDefault="0077520B"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Yr1</w:t>
            </w:r>
          </w:p>
        </w:tc>
        <w:tc>
          <w:tcPr>
            <w:tcW w:w="1730" w:type="dxa"/>
            <w:tcBorders>
              <w:top w:val="single" w:sz="4" w:space="0" w:color="auto"/>
            </w:tcBorders>
            <w:vAlign w:val="center"/>
          </w:tcPr>
          <w:p w14:paraId="739B357B" w14:textId="04A9403F" w:rsidR="00C701B0" w:rsidRDefault="00C701B0"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Standardized Cost</w:t>
            </w:r>
          </w:p>
        </w:tc>
        <w:tc>
          <w:tcPr>
            <w:tcW w:w="1543" w:type="dxa"/>
            <w:tcBorders>
              <w:top w:val="single" w:sz="4" w:space="0" w:color="auto"/>
            </w:tcBorders>
            <w:vAlign w:val="center"/>
          </w:tcPr>
          <w:p w14:paraId="0CDBD98A" w14:textId="77777777" w:rsidR="00C701B0" w:rsidRDefault="00C701B0"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Rate Order</w:t>
            </w:r>
          </w:p>
          <w:p w14:paraId="245FB7AE" w14:textId="7F4F670A" w:rsidR="0077520B" w:rsidRDefault="0077520B"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Yr2</w:t>
            </w:r>
          </w:p>
        </w:tc>
        <w:tc>
          <w:tcPr>
            <w:tcW w:w="1616" w:type="dxa"/>
            <w:tcBorders>
              <w:top w:val="single" w:sz="4" w:space="0" w:color="auto"/>
              <w:right w:val="single" w:sz="4" w:space="0" w:color="auto"/>
            </w:tcBorders>
            <w:vAlign w:val="center"/>
          </w:tcPr>
          <w:p w14:paraId="07165BC4" w14:textId="48253F81" w:rsidR="00C701B0" w:rsidRDefault="00C701B0" w:rsidP="000064DC">
            <w:pPr>
              <w:tabs>
                <w:tab w:val="left" w:pos="3040"/>
              </w:tabs>
              <w:jc w:val="center"/>
              <w:cnfStyle w:val="100000000000" w:firstRow="1" w:lastRow="0" w:firstColumn="0" w:lastColumn="0" w:oddVBand="0" w:evenVBand="0" w:oddHBand="0" w:evenHBand="0" w:firstRowFirstColumn="0" w:firstRowLastColumn="0" w:lastRowFirstColumn="0" w:lastRowLastColumn="0"/>
            </w:pPr>
            <w:r>
              <w:t>Updated Costs</w:t>
            </w:r>
          </w:p>
        </w:tc>
      </w:tr>
      <w:tr w:rsidR="00C701B0" w14:paraId="64FBA965" w14:textId="77777777" w:rsidTr="00006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tcBorders>
          </w:tcPr>
          <w:p w14:paraId="1B4C626C" w14:textId="363DCCA7" w:rsidR="00C701B0" w:rsidRDefault="00F33E51" w:rsidP="00046BDB">
            <w:pPr>
              <w:tabs>
                <w:tab w:val="left" w:pos="3040"/>
              </w:tabs>
              <w:jc w:val="center"/>
            </w:pPr>
            <w:r>
              <w:t>(A)</w:t>
            </w:r>
          </w:p>
        </w:tc>
        <w:tc>
          <w:tcPr>
            <w:tcW w:w="1526" w:type="dxa"/>
          </w:tcPr>
          <w:p w14:paraId="2ED50203" w14:textId="25290468" w:rsidR="00C701B0" w:rsidRDefault="00F33E51" w:rsidP="00046BDB">
            <w:pPr>
              <w:tabs>
                <w:tab w:val="left" w:pos="3040"/>
              </w:tabs>
              <w:jc w:val="center"/>
              <w:cnfStyle w:val="000000100000" w:firstRow="0" w:lastRow="0" w:firstColumn="0" w:lastColumn="0" w:oddVBand="0" w:evenVBand="0" w:oddHBand="1" w:evenHBand="0" w:firstRowFirstColumn="0" w:firstRowLastColumn="0" w:lastRowFirstColumn="0" w:lastRowLastColumn="0"/>
            </w:pPr>
            <w:r>
              <w:t>(B)</w:t>
            </w:r>
          </w:p>
        </w:tc>
        <w:tc>
          <w:tcPr>
            <w:tcW w:w="1543" w:type="dxa"/>
          </w:tcPr>
          <w:p w14:paraId="3CBB0AAD" w14:textId="62805D53" w:rsidR="00C701B0" w:rsidRDefault="00F33E51" w:rsidP="00046BDB">
            <w:pPr>
              <w:tabs>
                <w:tab w:val="left" w:pos="3040"/>
              </w:tabs>
              <w:jc w:val="center"/>
              <w:cnfStyle w:val="000000100000" w:firstRow="0" w:lastRow="0" w:firstColumn="0" w:lastColumn="0" w:oddVBand="0" w:evenVBand="0" w:oddHBand="1" w:evenHBand="0" w:firstRowFirstColumn="0" w:firstRowLastColumn="0" w:lastRowFirstColumn="0" w:lastRowLastColumn="0"/>
            </w:pPr>
            <w:r>
              <w:t>(C)</w:t>
            </w:r>
          </w:p>
        </w:tc>
        <w:tc>
          <w:tcPr>
            <w:tcW w:w="1730" w:type="dxa"/>
          </w:tcPr>
          <w:p w14:paraId="6E9563AA" w14:textId="4CCB4C94" w:rsidR="00C701B0" w:rsidRDefault="00F33E51" w:rsidP="00046BDB">
            <w:pPr>
              <w:tabs>
                <w:tab w:val="left" w:pos="3040"/>
              </w:tabs>
              <w:jc w:val="center"/>
              <w:cnfStyle w:val="000000100000" w:firstRow="0" w:lastRow="0" w:firstColumn="0" w:lastColumn="0" w:oddVBand="0" w:evenVBand="0" w:oddHBand="1" w:evenHBand="0" w:firstRowFirstColumn="0" w:firstRowLastColumn="0" w:lastRowFirstColumn="0" w:lastRowLastColumn="0"/>
            </w:pPr>
            <w:r>
              <w:t>(D)</w:t>
            </w:r>
          </w:p>
        </w:tc>
        <w:tc>
          <w:tcPr>
            <w:tcW w:w="1543" w:type="dxa"/>
          </w:tcPr>
          <w:p w14:paraId="741D6245" w14:textId="0A450B51" w:rsidR="00C701B0" w:rsidRDefault="00F33E51" w:rsidP="00046BDB">
            <w:pPr>
              <w:tabs>
                <w:tab w:val="left" w:pos="3040"/>
              </w:tabs>
              <w:jc w:val="center"/>
              <w:cnfStyle w:val="000000100000" w:firstRow="0" w:lastRow="0" w:firstColumn="0" w:lastColumn="0" w:oddVBand="0" w:evenVBand="0" w:oddHBand="1" w:evenHBand="0" w:firstRowFirstColumn="0" w:firstRowLastColumn="0" w:lastRowFirstColumn="0" w:lastRowLastColumn="0"/>
            </w:pPr>
            <w:r>
              <w:t>(E)</w:t>
            </w:r>
          </w:p>
        </w:tc>
        <w:tc>
          <w:tcPr>
            <w:tcW w:w="1616" w:type="dxa"/>
            <w:tcBorders>
              <w:right w:val="single" w:sz="4" w:space="0" w:color="auto"/>
            </w:tcBorders>
          </w:tcPr>
          <w:p w14:paraId="264FF877" w14:textId="04DF269E" w:rsidR="00C701B0" w:rsidRDefault="00F33E51" w:rsidP="00046BDB">
            <w:pPr>
              <w:tabs>
                <w:tab w:val="left" w:pos="3040"/>
              </w:tabs>
              <w:jc w:val="center"/>
              <w:cnfStyle w:val="000000100000" w:firstRow="0" w:lastRow="0" w:firstColumn="0" w:lastColumn="0" w:oddVBand="0" w:evenVBand="0" w:oddHBand="1" w:evenHBand="0" w:firstRowFirstColumn="0" w:firstRowLastColumn="0" w:lastRowFirstColumn="0" w:lastRowLastColumn="0"/>
            </w:pPr>
            <w:r>
              <w:t>(F)</w:t>
            </w:r>
          </w:p>
        </w:tc>
      </w:tr>
      <w:tr w:rsidR="00D07307" w14:paraId="7A68DBD6" w14:textId="77777777" w:rsidTr="000064DC">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tcBorders>
          </w:tcPr>
          <w:p w14:paraId="31B2CAB3" w14:textId="2FF3F9CF" w:rsidR="00D07307" w:rsidRDefault="00D07307" w:rsidP="00D07307">
            <w:pPr>
              <w:tabs>
                <w:tab w:val="left" w:pos="3040"/>
              </w:tabs>
              <w:jc w:val="center"/>
            </w:pPr>
            <w:r>
              <w:rPr>
                <w:rFonts w:ascii="Calibri" w:hAnsi="Calibri" w:cs="Calibri"/>
                <w:color w:val="000000"/>
              </w:rPr>
              <w:t>ADM</w:t>
            </w:r>
          </w:p>
        </w:tc>
        <w:tc>
          <w:tcPr>
            <w:tcW w:w="1526" w:type="dxa"/>
          </w:tcPr>
          <w:p w14:paraId="259E826D" w14:textId="1743A2FF"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140</w:t>
            </w:r>
          </w:p>
        </w:tc>
        <w:tc>
          <w:tcPr>
            <w:tcW w:w="1543" w:type="dxa"/>
          </w:tcPr>
          <w:p w14:paraId="4CFE574E" w14:textId="4AA09283"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$100</w:t>
            </w:r>
          </w:p>
        </w:tc>
        <w:tc>
          <w:tcPr>
            <w:tcW w:w="1730" w:type="dxa"/>
          </w:tcPr>
          <w:p w14:paraId="54681EA8" w14:textId="7ADC8DE9"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$14000</w:t>
            </w:r>
          </w:p>
        </w:tc>
        <w:tc>
          <w:tcPr>
            <w:tcW w:w="1543" w:type="dxa"/>
          </w:tcPr>
          <w:p w14:paraId="396CEC46" w14:textId="4A05D46A"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$110</w:t>
            </w:r>
          </w:p>
        </w:tc>
        <w:tc>
          <w:tcPr>
            <w:tcW w:w="1616" w:type="dxa"/>
            <w:tcBorders>
              <w:right w:val="single" w:sz="4" w:space="0" w:color="auto"/>
            </w:tcBorders>
          </w:tcPr>
          <w:p w14:paraId="22B0F9B8" w14:textId="111AC74D"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$15400</w:t>
            </w:r>
          </w:p>
        </w:tc>
      </w:tr>
      <w:tr w:rsidR="00D07307" w14:paraId="0B07B64B" w14:textId="77777777" w:rsidTr="00006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tcBorders>
          </w:tcPr>
          <w:p w14:paraId="177CA27F" w14:textId="066838BE" w:rsidR="00D07307" w:rsidRDefault="00D07307" w:rsidP="00D07307">
            <w:pPr>
              <w:tabs>
                <w:tab w:val="left" w:pos="3040"/>
              </w:tabs>
              <w:jc w:val="center"/>
            </w:pPr>
            <w:r>
              <w:rPr>
                <w:rFonts w:ascii="Calibri" w:hAnsi="Calibri" w:cs="Calibri"/>
                <w:color w:val="000000"/>
              </w:rPr>
              <w:t>CAT</w:t>
            </w:r>
          </w:p>
        </w:tc>
        <w:tc>
          <w:tcPr>
            <w:tcW w:w="1526" w:type="dxa"/>
          </w:tcPr>
          <w:p w14:paraId="23C69256" w14:textId="03B0474C"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t>561</w:t>
            </w:r>
          </w:p>
        </w:tc>
        <w:tc>
          <w:tcPr>
            <w:tcW w:w="1543" w:type="dxa"/>
          </w:tcPr>
          <w:p w14:paraId="13E8AECF" w14:textId="5917297F"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t>$160</w:t>
            </w:r>
          </w:p>
        </w:tc>
        <w:tc>
          <w:tcPr>
            <w:tcW w:w="1730" w:type="dxa"/>
          </w:tcPr>
          <w:p w14:paraId="6086EC33" w14:textId="7A3D16BB"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$89760</w:t>
            </w:r>
          </w:p>
        </w:tc>
        <w:tc>
          <w:tcPr>
            <w:tcW w:w="1543" w:type="dxa"/>
          </w:tcPr>
          <w:p w14:paraId="332058CA" w14:textId="5CB2C571"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$176</w:t>
            </w:r>
          </w:p>
        </w:tc>
        <w:tc>
          <w:tcPr>
            <w:tcW w:w="1616" w:type="dxa"/>
            <w:tcBorders>
              <w:right w:val="single" w:sz="4" w:space="0" w:color="auto"/>
            </w:tcBorders>
          </w:tcPr>
          <w:p w14:paraId="7AFB0550" w14:textId="4B5C9868"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$98736</w:t>
            </w:r>
          </w:p>
        </w:tc>
      </w:tr>
      <w:tr w:rsidR="00D07307" w14:paraId="5EF77E5D" w14:textId="77777777" w:rsidTr="000064DC">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tcBorders>
          </w:tcPr>
          <w:p w14:paraId="7CDFC558" w14:textId="5935D83C" w:rsidR="00D07307" w:rsidRDefault="00D07307" w:rsidP="00D07307">
            <w:pPr>
              <w:tabs>
                <w:tab w:val="left" w:pos="3040"/>
              </w:tabs>
              <w:jc w:val="center"/>
            </w:pPr>
            <w:r>
              <w:rPr>
                <w:rFonts w:ascii="Calibri" w:hAnsi="Calibri" w:cs="Calibri"/>
                <w:color w:val="000000"/>
              </w:rPr>
              <w:t>EKG</w:t>
            </w:r>
          </w:p>
        </w:tc>
        <w:tc>
          <w:tcPr>
            <w:tcW w:w="1526" w:type="dxa"/>
          </w:tcPr>
          <w:p w14:paraId="41E901D6" w14:textId="3AE8FD21"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376</w:t>
            </w:r>
          </w:p>
        </w:tc>
        <w:tc>
          <w:tcPr>
            <w:tcW w:w="1543" w:type="dxa"/>
          </w:tcPr>
          <w:p w14:paraId="22F83720" w14:textId="54B275B7"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$50</w:t>
            </w:r>
          </w:p>
        </w:tc>
        <w:tc>
          <w:tcPr>
            <w:tcW w:w="1730" w:type="dxa"/>
          </w:tcPr>
          <w:p w14:paraId="27678BEF" w14:textId="149E0424"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$18800</w:t>
            </w:r>
          </w:p>
        </w:tc>
        <w:tc>
          <w:tcPr>
            <w:tcW w:w="1543" w:type="dxa"/>
          </w:tcPr>
          <w:p w14:paraId="4A702A56" w14:textId="514D5F35"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$55</w:t>
            </w:r>
          </w:p>
        </w:tc>
        <w:tc>
          <w:tcPr>
            <w:tcW w:w="1616" w:type="dxa"/>
            <w:tcBorders>
              <w:right w:val="single" w:sz="4" w:space="0" w:color="auto"/>
            </w:tcBorders>
          </w:tcPr>
          <w:p w14:paraId="4C150F44" w14:textId="3A4FB9E7"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$20680</w:t>
            </w:r>
          </w:p>
        </w:tc>
      </w:tr>
      <w:tr w:rsidR="00D07307" w14:paraId="4F1A7C85" w14:textId="77777777" w:rsidTr="00006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tcBorders>
          </w:tcPr>
          <w:p w14:paraId="0FDF9D7F" w14:textId="7011931C" w:rsidR="00D07307" w:rsidRDefault="00D07307" w:rsidP="00D07307">
            <w:pPr>
              <w:tabs>
                <w:tab w:val="left" w:pos="3040"/>
              </w:tabs>
              <w:jc w:val="center"/>
            </w:pPr>
            <w:r w:rsidRPr="00BD11F6">
              <w:rPr>
                <w:rFonts w:ascii="Calibri" w:hAnsi="Calibri" w:cs="Calibri"/>
                <w:color w:val="000000"/>
              </w:rPr>
              <w:t>EMG</w:t>
            </w:r>
          </w:p>
        </w:tc>
        <w:tc>
          <w:tcPr>
            <w:tcW w:w="1526" w:type="dxa"/>
          </w:tcPr>
          <w:p w14:paraId="57B7ADBF" w14:textId="0B826FBC"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t>990</w:t>
            </w:r>
          </w:p>
        </w:tc>
        <w:tc>
          <w:tcPr>
            <w:tcW w:w="1543" w:type="dxa"/>
          </w:tcPr>
          <w:p w14:paraId="3C914ACF" w14:textId="00974FB4"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t>$60</w:t>
            </w:r>
          </w:p>
        </w:tc>
        <w:tc>
          <w:tcPr>
            <w:tcW w:w="1730" w:type="dxa"/>
          </w:tcPr>
          <w:p w14:paraId="2CEFB98C" w14:textId="0D118477"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$59400</w:t>
            </w:r>
          </w:p>
        </w:tc>
        <w:tc>
          <w:tcPr>
            <w:tcW w:w="1543" w:type="dxa"/>
          </w:tcPr>
          <w:p w14:paraId="03ADFB3E" w14:textId="204A6852"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$66</w:t>
            </w:r>
          </w:p>
        </w:tc>
        <w:tc>
          <w:tcPr>
            <w:tcW w:w="1616" w:type="dxa"/>
            <w:tcBorders>
              <w:right w:val="single" w:sz="4" w:space="0" w:color="auto"/>
            </w:tcBorders>
          </w:tcPr>
          <w:p w14:paraId="448C22A9" w14:textId="1F9BB0E1" w:rsidR="00D07307" w:rsidRDefault="00D07307" w:rsidP="00D07307">
            <w:pPr>
              <w:tabs>
                <w:tab w:val="left" w:pos="3040"/>
              </w:tabs>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$65340</w:t>
            </w:r>
          </w:p>
        </w:tc>
      </w:tr>
      <w:tr w:rsidR="00D07307" w14:paraId="332610E9" w14:textId="77777777" w:rsidTr="000064DC">
        <w:tc>
          <w:tcPr>
            <w:cnfStyle w:val="001000000000" w:firstRow="0" w:lastRow="0" w:firstColumn="1" w:lastColumn="0" w:oddVBand="0" w:evenVBand="0" w:oddHBand="0" w:evenHBand="0" w:firstRowFirstColumn="0" w:firstRowLastColumn="0" w:lastRowFirstColumn="0" w:lastRowLastColumn="0"/>
            <w:tcW w:w="1392" w:type="dxa"/>
            <w:tcBorders>
              <w:left w:val="single" w:sz="4" w:space="0" w:color="auto"/>
              <w:bottom w:val="single" w:sz="4" w:space="0" w:color="auto"/>
            </w:tcBorders>
          </w:tcPr>
          <w:p w14:paraId="5C58A7A9" w14:textId="7A1E2A4C" w:rsidR="00D07307" w:rsidRDefault="00D07307" w:rsidP="00D07307">
            <w:pPr>
              <w:tabs>
                <w:tab w:val="left" w:pos="3040"/>
              </w:tabs>
              <w:jc w:val="center"/>
            </w:pPr>
            <w:r>
              <w:rPr>
                <w:rFonts w:ascii="Calibri" w:hAnsi="Calibri" w:cs="Calibri"/>
                <w:color w:val="000000"/>
              </w:rPr>
              <w:t>MRI</w:t>
            </w:r>
          </w:p>
        </w:tc>
        <w:tc>
          <w:tcPr>
            <w:tcW w:w="1526" w:type="dxa"/>
            <w:tcBorders>
              <w:bottom w:val="single" w:sz="4" w:space="0" w:color="auto"/>
            </w:tcBorders>
          </w:tcPr>
          <w:p w14:paraId="4627CCF6" w14:textId="26052B95"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240</w:t>
            </w:r>
          </w:p>
        </w:tc>
        <w:tc>
          <w:tcPr>
            <w:tcW w:w="1543" w:type="dxa"/>
            <w:tcBorders>
              <w:bottom w:val="single" w:sz="4" w:space="0" w:color="auto"/>
            </w:tcBorders>
          </w:tcPr>
          <w:p w14:paraId="7FEEE09D" w14:textId="79B853E3"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t>$200</w:t>
            </w:r>
          </w:p>
        </w:tc>
        <w:tc>
          <w:tcPr>
            <w:tcW w:w="1730" w:type="dxa"/>
            <w:tcBorders>
              <w:bottom w:val="single" w:sz="4" w:space="0" w:color="auto"/>
            </w:tcBorders>
          </w:tcPr>
          <w:p w14:paraId="0A2BF2C8" w14:textId="74138339"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$48000</w:t>
            </w:r>
          </w:p>
        </w:tc>
        <w:tc>
          <w:tcPr>
            <w:tcW w:w="1543" w:type="dxa"/>
            <w:tcBorders>
              <w:bottom w:val="single" w:sz="4" w:space="0" w:color="auto"/>
            </w:tcBorders>
          </w:tcPr>
          <w:p w14:paraId="530D8CFD" w14:textId="6190D320"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$220</w:t>
            </w:r>
          </w:p>
        </w:tc>
        <w:tc>
          <w:tcPr>
            <w:tcW w:w="1616" w:type="dxa"/>
            <w:tcBorders>
              <w:bottom w:val="single" w:sz="4" w:space="0" w:color="auto"/>
              <w:right w:val="single" w:sz="4" w:space="0" w:color="auto"/>
            </w:tcBorders>
          </w:tcPr>
          <w:p w14:paraId="49E6B7CD" w14:textId="32DD7909" w:rsidR="00D07307" w:rsidRDefault="00D07307" w:rsidP="00D07307">
            <w:pPr>
              <w:tabs>
                <w:tab w:val="left" w:pos="3040"/>
              </w:tabs>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$52800</w:t>
            </w:r>
          </w:p>
        </w:tc>
      </w:tr>
      <w:tr w:rsidR="00C701B0" w14:paraId="53CF5C79" w14:textId="77777777" w:rsidTr="00006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Borders>
              <w:top w:val="single" w:sz="4" w:space="0" w:color="auto"/>
              <w:left w:val="nil"/>
              <w:bottom w:val="nil"/>
              <w:right w:val="nil"/>
            </w:tcBorders>
            <w:shd w:val="clear" w:color="auto" w:fill="FFFFFF" w:themeFill="background1"/>
          </w:tcPr>
          <w:p w14:paraId="351FF293" w14:textId="77777777" w:rsidR="00C701B0" w:rsidRDefault="00C701B0" w:rsidP="00DB07D9">
            <w:pPr>
              <w:tabs>
                <w:tab w:val="left" w:pos="3040"/>
              </w:tabs>
            </w:pPr>
          </w:p>
        </w:tc>
        <w:tc>
          <w:tcPr>
            <w:tcW w:w="1526" w:type="dxa"/>
            <w:tcBorders>
              <w:top w:val="single" w:sz="4" w:space="0" w:color="auto"/>
              <w:left w:val="nil"/>
              <w:bottom w:val="nil"/>
              <w:right w:val="nil"/>
            </w:tcBorders>
            <w:shd w:val="clear" w:color="auto" w:fill="FFFFFF" w:themeFill="background1"/>
          </w:tcPr>
          <w:p w14:paraId="56638187" w14:textId="5024F6E1" w:rsidR="00C701B0" w:rsidRDefault="00C701B0" w:rsidP="00DB07D9">
            <w:pPr>
              <w:tabs>
                <w:tab w:val="left" w:pos="3040"/>
              </w:tabs>
              <w:cnfStyle w:val="000000100000" w:firstRow="0" w:lastRow="0" w:firstColumn="0" w:lastColumn="0" w:oddVBand="0" w:evenVBand="0" w:oddHBand="1" w:evenHBand="0" w:firstRowFirstColumn="0" w:firstRowLastColumn="0" w:lastRowFirstColumn="0" w:lastRowLastColumn="0"/>
            </w:pPr>
          </w:p>
        </w:tc>
        <w:tc>
          <w:tcPr>
            <w:tcW w:w="1543" w:type="dxa"/>
            <w:tcBorders>
              <w:top w:val="single" w:sz="4" w:space="0" w:color="auto"/>
              <w:left w:val="nil"/>
              <w:bottom w:val="nil"/>
              <w:right w:val="nil"/>
            </w:tcBorders>
            <w:shd w:val="clear" w:color="auto" w:fill="FFFFFF" w:themeFill="background1"/>
          </w:tcPr>
          <w:p w14:paraId="426CEB70" w14:textId="77777777" w:rsidR="00C701B0" w:rsidRDefault="00C701B0" w:rsidP="00DB07D9">
            <w:pPr>
              <w:tabs>
                <w:tab w:val="left" w:pos="3040"/>
              </w:tabs>
              <w:cnfStyle w:val="000000100000" w:firstRow="0" w:lastRow="0" w:firstColumn="0" w:lastColumn="0" w:oddVBand="0" w:evenVBand="0" w:oddHBand="1" w:evenHBand="0" w:firstRowFirstColumn="0" w:firstRowLastColumn="0" w:lastRowFirstColumn="0" w:lastRowLastColumn="0"/>
            </w:pPr>
          </w:p>
        </w:tc>
        <w:tc>
          <w:tcPr>
            <w:tcW w:w="1730" w:type="dxa"/>
            <w:tcBorders>
              <w:top w:val="single" w:sz="4" w:space="0" w:color="auto"/>
              <w:left w:val="nil"/>
              <w:bottom w:val="nil"/>
              <w:right w:val="nil"/>
            </w:tcBorders>
            <w:shd w:val="clear" w:color="auto" w:fill="FFFFFF" w:themeFill="background1"/>
          </w:tcPr>
          <w:p w14:paraId="679107E5" w14:textId="77777777" w:rsidR="00C701B0" w:rsidRDefault="00C701B0" w:rsidP="00DB07D9">
            <w:pPr>
              <w:tabs>
                <w:tab w:val="left" w:pos="3040"/>
              </w:tabs>
              <w:cnfStyle w:val="000000100000" w:firstRow="0" w:lastRow="0" w:firstColumn="0" w:lastColumn="0" w:oddVBand="0" w:evenVBand="0" w:oddHBand="1" w:evenHBand="0" w:firstRowFirstColumn="0" w:firstRowLastColumn="0" w:lastRowFirstColumn="0" w:lastRowLastColumn="0"/>
            </w:pPr>
          </w:p>
        </w:tc>
        <w:tc>
          <w:tcPr>
            <w:tcW w:w="1543" w:type="dxa"/>
            <w:tcBorders>
              <w:top w:val="single" w:sz="4" w:space="0" w:color="auto"/>
              <w:left w:val="nil"/>
              <w:bottom w:val="nil"/>
              <w:right w:val="nil"/>
            </w:tcBorders>
            <w:shd w:val="clear" w:color="auto" w:fill="FFFFFF" w:themeFill="background1"/>
          </w:tcPr>
          <w:p w14:paraId="41E8BEB9" w14:textId="77777777" w:rsidR="00C701B0" w:rsidRDefault="00C701B0" w:rsidP="00DB07D9">
            <w:pPr>
              <w:tabs>
                <w:tab w:val="left" w:pos="3040"/>
              </w:tabs>
              <w:cnfStyle w:val="000000100000" w:firstRow="0" w:lastRow="0" w:firstColumn="0" w:lastColumn="0" w:oddVBand="0" w:evenVBand="0" w:oddHBand="1" w:evenHBand="0" w:firstRowFirstColumn="0" w:firstRowLastColumn="0" w:lastRowFirstColumn="0" w:lastRowLastColumn="0"/>
            </w:pPr>
          </w:p>
        </w:tc>
        <w:tc>
          <w:tcPr>
            <w:tcW w:w="1616" w:type="dxa"/>
            <w:tcBorders>
              <w:top w:val="single" w:sz="4" w:space="0" w:color="auto"/>
              <w:left w:val="nil"/>
              <w:bottom w:val="nil"/>
              <w:right w:val="nil"/>
            </w:tcBorders>
            <w:shd w:val="clear" w:color="auto" w:fill="FFFFFF" w:themeFill="background1"/>
          </w:tcPr>
          <w:p w14:paraId="18E99394" w14:textId="77777777" w:rsidR="00C701B0" w:rsidRDefault="00C701B0" w:rsidP="00DB07D9">
            <w:pPr>
              <w:tabs>
                <w:tab w:val="left" w:pos="3040"/>
              </w:tabs>
              <w:cnfStyle w:val="000000100000" w:firstRow="0" w:lastRow="0" w:firstColumn="0" w:lastColumn="0" w:oddVBand="0" w:evenVBand="0" w:oddHBand="1" w:evenHBand="0" w:firstRowFirstColumn="0" w:firstRowLastColumn="0" w:lastRowFirstColumn="0" w:lastRowLastColumn="0"/>
            </w:pPr>
          </w:p>
        </w:tc>
      </w:tr>
    </w:tbl>
    <w:p w14:paraId="775F605E" w14:textId="3BE73980" w:rsidR="00955C17" w:rsidRDefault="00955C17" w:rsidP="00955C17">
      <w:pPr>
        <w:rPr>
          <w:bCs/>
        </w:rPr>
      </w:pPr>
      <w:r>
        <w:rPr>
          <w:bCs/>
        </w:rPr>
        <w:t xml:space="preserve">Unregulated costs will be aggregated </w:t>
      </w:r>
      <w:r w:rsidR="00890080">
        <w:rPr>
          <w:bCs/>
        </w:rPr>
        <w:t xml:space="preserve">based on the update factors established by CMS in </w:t>
      </w:r>
      <w:r w:rsidR="00DE7563">
        <w:rPr>
          <w:bCs/>
        </w:rPr>
        <w:t xml:space="preserve">the relevant fee schedules. </w:t>
      </w:r>
      <w:r w:rsidR="00BC0023">
        <w:rPr>
          <w:bCs/>
        </w:rPr>
        <w:t xml:space="preserve">A different approach is used in each setting of care, based on the underlying inputs to those rate centers. </w:t>
      </w:r>
      <w:r w:rsidR="0037326D">
        <w:rPr>
          <w:bCs/>
        </w:rPr>
        <w:t xml:space="preserve">The approach described here is based on </w:t>
      </w:r>
      <w:r w:rsidR="0064293B">
        <w:rPr>
          <w:bCs/>
        </w:rPr>
        <w:t xml:space="preserve">CMS’ approach for the Bundled Payment for Care Improvement Advanced (BCPI-A) model. The update factor approach </w:t>
      </w:r>
      <w:r w:rsidR="00E956FF">
        <w:rPr>
          <w:bCs/>
        </w:rPr>
        <w:t xml:space="preserve">for each setting of care </w:t>
      </w:r>
      <w:r w:rsidR="0064293B">
        <w:rPr>
          <w:bCs/>
        </w:rPr>
        <w:t>is described as follows:</w:t>
      </w:r>
    </w:p>
    <w:p w14:paraId="7D9B3B53" w14:textId="6892A61F" w:rsidR="005F4B2A" w:rsidRDefault="003E65FF" w:rsidP="0055336E">
      <w:pPr>
        <w:pStyle w:val="ListParagraph"/>
        <w:numPr>
          <w:ilvl w:val="0"/>
          <w:numId w:val="45"/>
        </w:numPr>
      </w:pPr>
      <w:r w:rsidRPr="00046BDB">
        <w:rPr>
          <w:b/>
          <w:bCs/>
        </w:rPr>
        <w:lastRenderedPageBreak/>
        <w:t>Update Factor for</w:t>
      </w:r>
      <w:r w:rsidR="00387CC8" w:rsidRPr="00046BDB">
        <w:rPr>
          <w:b/>
          <w:bCs/>
        </w:rPr>
        <w:t xml:space="preserve"> </w:t>
      </w:r>
      <w:r w:rsidRPr="00046BDB">
        <w:rPr>
          <w:b/>
          <w:bCs/>
        </w:rPr>
        <w:t>SNF</w:t>
      </w:r>
      <w:r w:rsidR="0055336E" w:rsidRPr="00046BDB">
        <w:rPr>
          <w:b/>
          <w:bCs/>
        </w:rPr>
        <w:t>.</w:t>
      </w:r>
      <w:r w:rsidR="0055336E">
        <w:t xml:space="preserve"> </w:t>
      </w:r>
      <w:r w:rsidR="005F4B2A">
        <w:t>The fee schedule for SNF</w:t>
      </w:r>
      <w:r w:rsidR="0055336E">
        <w:t xml:space="preserve">s </w:t>
      </w:r>
      <w:r w:rsidR="00A0547C">
        <w:t>changed on October 1, 2019</w:t>
      </w:r>
      <w:r w:rsidR="005F4B2A">
        <w:t xml:space="preserve">. </w:t>
      </w:r>
      <w:r w:rsidR="00FB5F71">
        <w:t xml:space="preserve">Therefore, the claims in the </w:t>
      </w:r>
      <w:r w:rsidR="00AB617A">
        <w:t>Baseline Period</w:t>
      </w:r>
      <w:r w:rsidR="00FB5F71">
        <w:t xml:space="preserve"> will be repriced </w:t>
      </w:r>
      <w:r w:rsidR="0055336E">
        <w:t>under the Patient-Driven Payment Model (PCPM) that is described in the SNF final rule</w:t>
      </w:r>
      <w:r w:rsidR="00BE1258">
        <w:t xml:space="preserve"> </w:t>
      </w:r>
      <w:r w:rsidR="0055336E">
        <w:t xml:space="preserve">using the rates and weights for the </w:t>
      </w:r>
      <w:r w:rsidR="00AB617A">
        <w:t>Performance Period</w:t>
      </w:r>
      <w:r w:rsidR="0055336E">
        <w:t>.</w:t>
      </w:r>
      <w:r w:rsidR="004A1635" w:rsidRPr="004A1635">
        <w:rPr>
          <w:rStyle w:val="FootnoteReference"/>
        </w:rPr>
        <w:t xml:space="preserve"> </w:t>
      </w:r>
      <w:r w:rsidR="004A1635">
        <w:rPr>
          <w:rStyle w:val="FootnoteReference"/>
        </w:rPr>
        <w:footnoteReference w:id="7"/>
      </w:r>
    </w:p>
    <w:p w14:paraId="7B062BE4" w14:textId="51C3B748" w:rsidR="0055336E" w:rsidRPr="00046BDB" w:rsidRDefault="0055336E" w:rsidP="00046BDB">
      <w:pPr>
        <w:pStyle w:val="ListParagraph"/>
        <w:numPr>
          <w:ilvl w:val="0"/>
          <w:numId w:val="45"/>
        </w:numPr>
        <w:rPr>
          <w:b/>
          <w:bCs/>
        </w:rPr>
      </w:pPr>
      <w:r w:rsidRPr="00046BDB">
        <w:rPr>
          <w:b/>
          <w:bCs/>
        </w:rPr>
        <w:t>Update Factor for HHA.</w:t>
      </w:r>
      <w:r>
        <w:t xml:space="preserve"> The fee schedule for HHA change</w:t>
      </w:r>
      <w:r w:rsidR="00A0547C">
        <w:t>d on January 1, 2019</w:t>
      </w:r>
      <w:r>
        <w:t xml:space="preserve">. Therefore, the claims in the </w:t>
      </w:r>
      <w:r w:rsidR="00AB617A">
        <w:t>Baseline Period</w:t>
      </w:r>
      <w:r>
        <w:t xml:space="preserve"> will be repriced under the Patient-Driven Groupings Model (PDGM) that is described in the HHA final rule using the base rates and weights for the </w:t>
      </w:r>
      <w:r w:rsidR="00AB617A">
        <w:t>Performance Period</w:t>
      </w:r>
      <w:r>
        <w:t>.</w:t>
      </w:r>
    </w:p>
    <w:p w14:paraId="3E09A98A" w14:textId="3033041F" w:rsidR="00496D31" w:rsidRDefault="00387CC8" w:rsidP="00046BDB">
      <w:pPr>
        <w:pStyle w:val="ListParagraph"/>
        <w:numPr>
          <w:ilvl w:val="0"/>
          <w:numId w:val="45"/>
        </w:numPr>
      </w:pPr>
      <w:r w:rsidRPr="00046BDB">
        <w:rPr>
          <w:b/>
          <w:bCs/>
        </w:rPr>
        <w:t>Update Factor for PFS</w:t>
      </w:r>
      <w:r w:rsidR="006B31B4">
        <w:rPr>
          <w:b/>
          <w:bCs/>
        </w:rPr>
        <w:t xml:space="preserve">. </w:t>
      </w:r>
      <w:r w:rsidR="005D048C">
        <w:t xml:space="preserve">The fee schedule for physicians will </w:t>
      </w:r>
      <w:r w:rsidR="00B50DF5">
        <w:t xml:space="preserve">be updated by the </w:t>
      </w:r>
      <w:r w:rsidR="00496D31">
        <w:t xml:space="preserve">weighted average of anesthesia and physician update factors where the weights are the payment for anesthesia and physician carrier claims </w:t>
      </w:r>
      <w:r w:rsidR="002D24ED">
        <w:t xml:space="preserve">in the </w:t>
      </w:r>
      <w:r w:rsidR="00AB617A">
        <w:t>Baseline Period</w:t>
      </w:r>
      <w:r w:rsidR="002D24ED">
        <w:t xml:space="preserve"> and </w:t>
      </w:r>
      <w:r w:rsidR="00AB617A">
        <w:t>Performance Period</w:t>
      </w:r>
      <w:r w:rsidR="002D24ED">
        <w:t xml:space="preserve">s that are included in the relevant </w:t>
      </w:r>
      <w:r w:rsidR="003D022D">
        <w:t xml:space="preserve">final rules. </w:t>
      </w:r>
    </w:p>
    <w:p w14:paraId="2399FF0F" w14:textId="09B3AD5B" w:rsidR="00496D31" w:rsidRDefault="00387CC8" w:rsidP="00046BDB">
      <w:pPr>
        <w:pStyle w:val="ListParagraph"/>
        <w:numPr>
          <w:ilvl w:val="0"/>
          <w:numId w:val="45"/>
        </w:numPr>
      </w:pPr>
      <w:r w:rsidRPr="00046BDB">
        <w:rPr>
          <w:b/>
          <w:bCs/>
        </w:rPr>
        <w:t>Update Factor for IRF</w:t>
      </w:r>
      <w:r w:rsidR="006160DF" w:rsidRPr="00046BDB">
        <w:rPr>
          <w:b/>
          <w:bCs/>
        </w:rPr>
        <w:t>.</w:t>
      </w:r>
      <w:r w:rsidR="00992D8C" w:rsidRPr="00FB7E8E">
        <w:rPr>
          <w:b/>
          <w:bCs/>
        </w:rPr>
        <w:t xml:space="preserve"> </w:t>
      </w:r>
      <w:r w:rsidR="005563FC">
        <w:t xml:space="preserve">The fee schedule for Inpatient Rehabilitation Facilities will be based on </w:t>
      </w:r>
      <w:r w:rsidR="00496D31" w:rsidRPr="00496D31">
        <w:t xml:space="preserve">the ratio </w:t>
      </w:r>
      <w:r w:rsidR="00FC576F">
        <w:t xml:space="preserve">of </w:t>
      </w:r>
      <w:r w:rsidR="00496D31" w:rsidRPr="00496D31">
        <w:t xml:space="preserve">the </w:t>
      </w:r>
      <w:r w:rsidR="00AB617A">
        <w:t>Performance Period</w:t>
      </w:r>
      <w:r w:rsidR="00FC576F">
        <w:t xml:space="preserve"> </w:t>
      </w:r>
      <w:r w:rsidR="00496D31" w:rsidRPr="00496D31">
        <w:t>conversion factor to the baseline year conversion factor</w:t>
      </w:r>
      <w:r w:rsidR="00FC576F">
        <w:t xml:space="preserve"> that were included in the final</w:t>
      </w:r>
      <w:r w:rsidR="00966213">
        <w:t xml:space="preserve"> rule</w:t>
      </w:r>
      <w:r w:rsidR="0037036A">
        <w:t xml:space="preserve"> for the relevant year</w:t>
      </w:r>
      <w:r w:rsidR="005563FC">
        <w:t xml:space="preserve">. </w:t>
      </w:r>
    </w:p>
    <w:p w14:paraId="71B70EA6" w14:textId="662E1BEC" w:rsidR="007E0A31" w:rsidRDefault="00387CC8" w:rsidP="00046BDB">
      <w:pPr>
        <w:pStyle w:val="ListParagraph"/>
        <w:numPr>
          <w:ilvl w:val="0"/>
          <w:numId w:val="45"/>
        </w:numPr>
      </w:pPr>
      <w:r w:rsidRPr="00046BDB">
        <w:rPr>
          <w:b/>
          <w:bCs/>
        </w:rPr>
        <w:t xml:space="preserve">Update Factor for Other </w:t>
      </w:r>
      <w:r w:rsidR="005563FC">
        <w:rPr>
          <w:b/>
          <w:bCs/>
        </w:rPr>
        <w:t xml:space="preserve">Spending. </w:t>
      </w:r>
      <w:r w:rsidR="00EF5E24">
        <w:t xml:space="preserve">Costs that falls into a setting of care other than one of those listed above will be updated by the </w:t>
      </w:r>
      <w:r w:rsidR="00496D31">
        <w:t xml:space="preserve">chained Medicare Economic Index (MEI) between the baseline and </w:t>
      </w:r>
      <w:r w:rsidR="00AB617A">
        <w:t>Performance Period</w:t>
      </w:r>
      <w:r w:rsidR="00496D31">
        <w:t>.</w:t>
      </w:r>
      <w:r w:rsidR="00EF5E24">
        <w:t xml:space="preserve"> The MEI is calculated and published by CMS.</w:t>
      </w:r>
      <w:r w:rsidR="00EF5E24">
        <w:rPr>
          <w:rStyle w:val="FootnoteReference"/>
        </w:rPr>
        <w:footnoteReference w:id="8"/>
      </w:r>
    </w:p>
    <w:p w14:paraId="5AD55BA8" w14:textId="65B490FD" w:rsidR="007E0A31" w:rsidRDefault="007E0A31" w:rsidP="007E0A31">
      <w:pPr>
        <w:rPr>
          <w:bCs/>
        </w:rPr>
      </w:pPr>
      <w:r>
        <w:rPr>
          <w:bCs/>
        </w:rPr>
        <w:t>All episode</w:t>
      </w:r>
      <w:r w:rsidR="00E40B1F">
        <w:rPr>
          <w:bCs/>
        </w:rPr>
        <w:t xml:space="preserve">s </w:t>
      </w:r>
      <w:r>
        <w:rPr>
          <w:bCs/>
        </w:rPr>
        <w:t xml:space="preserve">will be </w:t>
      </w:r>
      <w:r w:rsidR="00E40B1F">
        <w:rPr>
          <w:bCs/>
        </w:rPr>
        <w:t xml:space="preserve">inflated by the </w:t>
      </w:r>
      <w:r>
        <w:rPr>
          <w:bCs/>
        </w:rPr>
        <w:t xml:space="preserve">update factor for the relevant spending type. </w:t>
      </w:r>
      <w:r w:rsidR="009C595A">
        <w:rPr>
          <w:bCs/>
        </w:rPr>
        <w:t xml:space="preserve">An aggregate update factor will also be calculated. This updated factor will be reported to hospitals </w:t>
      </w:r>
      <w:r w:rsidR="001659B3">
        <w:rPr>
          <w:bCs/>
        </w:rPr>
        <w:t xml:space="preserve">to inform them of the overall inflation in their CTI population – if cost growth in their CTI population is kept below the aggregate update factor, then the hospital will achieve savings. </w:t>
      </w:r>
      <w:r w:rsidR="00E274B4">
        <w:rPr>
          <w:bCs/>
        </w:rPr>
        <w:t>However, this aggregate update factor represents the weighted average of the update factors for each other setting of care</w:t>
      </w:r>
      <w:r w:rsidR="00895E1C">
        <w:rPr>
          <w:bCs/>
        </w:rPr>
        <w:t>.</w:t>
      </w:r>
    </w:p>
    <w:p w14:paraId="1A9B8762" w14:textId="2FA656F0" w:rsidR="00453C1B" w:rsidRPr="00FB7E8E" w:rsidRDefault="00453C1B" w:rsidP="00046BDB">
      <w:pPr>
        <w:rPr>
          <w:bCs/>
        </w:rPr>
      </w:pPr>
      <w:r w:rsidRPr="00FB7E8E">
        <w:rPr>
          <w:bCs/>
        </w:rPr>
        <w:t>The aggregated update</w:t>
      </w:r>
      <w:r w:rsidRPr="00453C1B">
        <w:rPr>
          <w:bCs/>
        </w:rPr>
        <w:t xml:space="preserve"> factor is the weighted average of each update factor. It is calculated in two steps. </w:t>
      </w:r>
      <w:r w:rsidR="00653FE4">
        <w:rPr>
          <w:bCs/>
        </w:rPr>
        <w:t>First</w:t>
      </w:r>
      <w:r w:rsidRPr="00453C1B">
        <w:rPr>
          <w:bCs/>
        </w:rPr>
        <w:t xml:space="preserve">, the ratio of spending in each setting of care to its total episode spending is calculated. </w:t>
      </w:r>
      <w:r w:rsidR="00653FE4">
        <w:rPr>
          <w:bCs/>
        </w:rPr>
        <w:t>Then</w:t>
      </w:r>
      <w:r w:rsidRPr="00453C1B">
        <w:rPr>
          <w:bCs/>
        </w:rPr>
        <w:t>, the ratio is multiplied by the update factor for each</w:t>
      </w:r>
      <w:r w:rsidRPr="00046BDB">
        <w:rPr>
          <w:bCs/>
        </w:rPr>
        <w:t xml:space="preserve"> setting of ca</w:t>
      </w:r>
      <w:r w:rsidRPr="00FB7E8E">
        <w:rPr>
          <w:bCs/>
        </w:rPr>
        <w:t>re</w:t>
      </w:r>
      <w:r>
        <w:rPr>
          <w:bCs/>
        </w:rPr>
        <w:t xml:space="preserve"> and summed across all setting of care. The formula for which is shown below.</w:t>
      </w:r>
    </w:p>
    <w:p w14:paraId="3448EACE" w14:textId="340BF1EA" w:rsidR="00496D31" w:rsidRPr="0050211D" w:rsidRDefault="00496D31" w:rsidP="0050211D">
      <w:pPr>
        <w:pStyle w:val="ListParagraph"/>
        <w:rPr>
          <w:rFonts w:eastAsiaTheme="minorEastAsia"/>
        </w:rPr>
      </w:pPr>
      <m:oMathPara>
        <m:oMath>
          <m:r>
            <w:rPr>
              <w:rFonts w:ascii="Cambria Math" w:hAnsi="Cambria Math"/>
            </w:rPr>
            <m:t xml:space="preserve">Overall UF= </m:t>
          </m:r>
          <m:nary>
            <m:naryPr>
              <m:chr m:val="∑"/>
              <m:limLoc m:val="undOvr"/>
              <m:supHide m:val="1"/>
              <m:ctrlPr>
                <w:rPr>
                  <w:rFonts w:ascii="Cambria Math" w:hAnsi="Cambria Math"/>
                  <w:i/>
                </w:rPr>
              </m:ctrlPr>
            </m:naryPr>
            <m:sub>
              <m:r>
                <w:rPr>
                  <w:rFonts w:ascii="Cambria Math" w:hAnsi="Cambria Math"/>
                </w:rPr>
                <m:t>sE(Regulated,PFS,IRF,SNF,HHA,Other)</m:t>
              </m:r>
            </m:sub>
            <m:sup/>
            <m:e>
              <m:sSub>
                <m:sSubPr>
                  <m:ctrlPr>
                    <w:rPr>
                      <w:rFonts w:ascii="Cambria Math" w:hAnsi="Cambria Math"/>
                      <w:i/>
                    </w:rPr>
                  </m:ctrlPr>
                </m:sSubPr>
                <m:e>
                  <m:r>
                    <w:rPr>
                      <w:rFonts w:ascii="Cambria Math" w:hAnsi="Cambria Math"/>
                    </w:rPr>
                    <m:t>UF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Payment Ratio</m:t>
                  </m:r>
                </m:e>
                <m:sub>
                  <m:r>
                    <w:rPr>
                      <w:rFonts w:ascii="Cambria Math" w:hAnsi="Cambria Math"/>
                    </w:rPr>
                    <m:t>s</m:t>
                  </m:r>
                </m:sub>
              </m:sSub>
            </m:e>
          </m:nary>
        </m:oMath>
      </m:oMathPara>
    </w:p>
    <w:p w14:paraId="04DCDC77" w14:textId="3FE8DF09" w:rsidR="00C60355" w:rsidRDefault="00C60355" w:rsidP="00046BDB">
      <w:pPr>
        <w:pStyle w:val="Heading4"/>
        <w:tabs>
          <w:tab w:val="left" w:pos="7219"/>
        </w:tabs>
      </w:pPr>
      <w:bookmarkStart w:id="20" w:name="_Toc22729813"/>
      <w:bookmarkStart w:id="21" w:name="_Toc24993090"/>
      <w:r>
        <w:t>Step 3.</w:t>
      </w:r>
      <w:r w:rsidR="00027BED">
        <w:t>B</w:t>
      </w:r>
      <w:r>
        <w:t xml:space="preserve">: </w:t>
      </w:r>
      <w:bookmarkEnd w:id="20"/>
      <w:r w:rsidR="00027BED">
        <w:t>Calculate Statewide Anchor Factors</w:t>
      </w:r>
      <w:bookmarkEnd w:id="21"/>
      <w:r w:rsidR="008F06AC">
        <w:tab/>
      </w:r>
    </w:p>
    <w:p w14:paraId="05D2DFB2" w14:textId="2F1D3EFC" w:rsidR="00CC44E5" w:rsidRDefault="00393565" w:rsidP="001C73DB">
      <w:r>
        <w:t xml:space="preserve">In this step, the CTI episodes will be risk adjusted based on their </w:t>
      </w:r>
      <w:r w:rsidR="008F06AC">
        <w:t xml:space="preserve">APR-DRG &amp; SOI or HCC strata. </w:t>
      </w:r>
      <w:r w:rsidR="00AE5A3F">
        <w:t xml:space="preserve">Each CTI Episode will be risk adjusted based on the statewide ratio of costs between each APR-DRG &amp; SOI / HCC strata. </w:t>
      </w:r>
      <w:r w:rsidR="00A366E9">
        <w:t xml:space="preserve"> This process is necessary to control for the small cell sizes that are likely to exist for an individual hospital’s APR-DRG &amp; SOI / HCC st</w:t>
      </w:r>
      <w:r w:rsidR="00CC44E5">
        <w:t xml:space="preserve">rata. </w:t>
      </w:r>
    </w:p>
    <w:p w14:paraId="130865B7" w14:textId="4FB95817" w:rsidR="008F06AC" w:rsidRDefault="00AE5A3F" w:rsidP="00046BDB">
      <w:pPr>
        <w:tabs>
          <w:tab w:val="center" w:pos="4680"/>
        </w:tabs>
      </w:pPr>
      <w:r>
        <w:t xml:space="preserve">The </w:t>
      </w:r>
      <w:r w:rsidR="00CC44E5">
        <w:t xml:space="preserve">process has two </w:t>
      </w:r>
      <w:r w:rsidR="006A490F">
        <w:t>parts</w:t>
      </w:r>
      <w:r w:rsidR="00CC44E5">
        <w:t xml:space="preserve">: </w:t>
      </w:r>
      <w:r w:rsidR="00CC44E5">
        <w:tab/>
      </w:r>
    </w:p>
    <w:p w14:paraId="5186EC49" w14:textId="31C93601" w:rsidR="00AE5A3F" w:rsidRDefault="00CC44E5" w:rsidP="00AE5A3F">
      <w:pPr>
        <w:pStyle w:val="ListParagraph"/>
        <w:numPr>
          <w:ilvl w:val="0"/>
          <w:numId w:val="55"/>
        </w:numPr>
      </w:pPr>
      <w:r w:rsidRPr="00AE5A3F">
        <w:rPr>
          <w:b/>
        </w:rPr>
        <w:t>Calculate Anchor Factors.</w:t>
      </w:r>
      <w:r w:rsidR="00AE5A3F">
        <w:t xml:space="preserve"> </w:t>
      </w:r>
      <w:r w:rsidR="00AE5A3F" w:rsidRPr="00AE5A3F">
        <w:t xml:space="preserve">Conceptually, each anchor factor is the </w:t>
      </w:r>
      <w:r w:rsidR="00AE5A3F">
        <w:t xml:space="preserve">ratio for an average cost for a given APR-DRG &amp; SOI / HCC </w:t>
      </w:r>
      <w:r w:rsidR="00AE5A3F" w:rsidRPr="00AE5A3F">
        <w:t>strata relative to the state mean of the APR DRG – SOI comb</w:t>
      </w:r>
      <w:r w:rsidR="00AE5A3F">
        <w:t xml:space="preserve">ination with the highest volume. The anchor factor for each APR-DRG &amp; SOI / HCC </w:t>
      </w:r>
      <w:r w:rsidR="00A706DA">
        <w:t>strata is calculated.</w:t>
      </w:r>
    </w:p>
    <w:p w14:paraId="6994B719" w14:textId="7D9E36F3" w:rsidR="00CC44E5" w:rsidRPr="00046BDB" w:rsidRDefault="00A706DA" w:rsidP="00046BDB">
      <w:pPr>
        <w:pStyle w:val="ListParagraph"/>
        <w:numPr>
          <w:ilvl w:val="0"/>
          <w:numId w:val="55"/>
        </w:numPr>
        <w:rPr>
          <w:b/>
        </w:rPr>
      </w:pPr>
      <w:r w:rsidRPr="00046BDB">
        <w:rPr>
          <w:b/>
        </w:rPr>
        <w:lastRenderedPageBreak/>
        <w:t>Calculate Hospital Weights</w:t>
      </w:r>
      <w:r>
        <w:rPr>
          <w:b/>
        </w:rPr>
        <w:t xml:space="preserve">. </w:t>
      </w:r>
      <w:r>
        <w:t>Once the statewide anchor factors have been calculated</w:t>
      </w:r>
      <w:r w:rsidR="00E267B9">
        <w:t xml:space="preserve">, a hospital specific weight will be calculated. The hospital weight is the weighted average of the </w:t>
      </w:r>
      <w:r w:rsidR="009819E4">
        <w:t xml:space="preserve">statewide anchor factors, where the weights are the number of episodes that are in the relevant APR-DRG &amp; SOI / HCC strata at the given hospital. </w:t>
      </w:r>
    </w:p>
    <w:p w14:paraId="5FF934AE" w14:textId="0BFCDA9B" w:rsidR="00321D23" w:rsidRDefault="00321D23" w:rsidP="00046BDB">
      <w:pPr>
        <w:tabs>
          <w:tab w:val="left" w:pos="3048"/>
        </w:tabs>
      </w:pPr>
      <w:r>
        <w:t>An example</w:t>
      </w:r>
      <w:r w:rsidR="00C35FCA">
        <w:t xml:space="preserve"> of the anchor fac</w:t>
      </w:r>
      <w:r w:rsidR="00B6594F">
        <w:t xml:space="preserve">tor calculation is shown below for a CTI that has three HCC </w:t>
      </w:r>
      <w:r w:rsidR="009E5247">
        <w:t xml:space="preserve">strata. </w:t>
      </w:r>
      <w:r w:rsidR="007B0DA1">
        <w:t xml:space="preserve">The most numerous strata is HCC between 0.75 and 1.25. Therefore, all other anchor factors can be thought of as how inexpensive/expensive the other strata are relative to the </w:t>
      </w:r>
      <w:r w:rsidR="00314350">
        <w:t xml:space="preserve">most numerous strata. The calculation is show in column D and is made by dividing each value of column C by the average episode cost for the most numerous HCC strata (in this case $1876). </w:t>
      </w:r>
    </w:p>
    <w:p w14:paraId="3512FCDB" w14:textId="70A6DA6B" w:rsidR="00CA4131" w:rsidRPr="00046BDB" w:rsidRDefault="00CA4131" w:rsidP="00046BDB">
      <w:pPr>
        <w:tabs>
          <w:tab w:val="left" w:pos="3048"/>
        </w:tabs>
        <w:rPr>
          <w:i/>
        </w:rPr>
      </w:pPr>
      <w:r>
        <w:rPr>
          <w:b/>
          <w:i/>
        </w:rPr>
        <w:t xml:space="preserve">Example 5. </w:t>
      </w:r>
      <w:r>
        <w:rPr>
          <w:i/>
        </w:rPr>
        <w:t>Calculation of Statewide Anchor Factors</w:t>
      </w:r>
    </w:p>
    <w:tbl>
      <w:tblPr>
        <w:tblStyle w:val="GridTable4-Accent5"/>
        <w:tblW w:w="0" w:type="auto"/>
        <w:tblLook w:val="04A0" w:firstRow="1" w:lastRow="0" w:firstColumn="1" w:lastColumn="0" w:noHBand="0" w:noVBand="1"/>
      </w:tblPr>
      <w:tblGrid>
        <w:gridCol w:w="2355"/>
        <w:gridCol w:w="2185"/>
        <w:gridCol w:w="2419"/>
        <w:gridCol w:w="2391"/>
      </w:tblGrid>
      <w:tr w:rsidR="00321D23" w14:paraId="7C2C352A" w14:textId="77777777" w:rsidTr="0004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5" w:type="dxa"/>
            <w:tcBorders>
              <w:top w:val="single" w:sz="4" w:space="0" w:color="auto"/>
              <w:left w:val="single" w:sz="4" w:space="0" w:color="auto"/>
            </w:tcBorders>
          </w:tcPr>
          <w:p w14:paraId="7B077450" w14:textId="5A8D1162" w:rsidR="00321D23" w:rsidRDefault="00321D23" w:rsidP="00046BDB">
            <w:pPr>
              <w:jc w:val="center"/>
            </w:pPr>
            <w:r>
              <w:t>HCC Strata</w:t>
            </w:r>
          </w:p>
        </w:tc>
        <w:tc>
          <w:tcPr>
            <w:tcW w:w="2185" w:type="dxa"/>
            <w:tcBorders>
              <w:top w:val="single" w:sz="4" w:space="0" w:color="auto"/>
            </w:tcBorders>
          </w:tcPr>
          <w:p w14:paraId="3321A211" w14:textId="3798375D" w:rsidR="00321D23" w:rsidRDefault="00321D23" w:rsidP="00046BDB">
            <w:pPr>
              <w:jc w:val="center"/>
              <w:cnfStyle w:val="100000000000" w:firstRow="1" w:lastRow="0" w:firstColumn="0" w:lastColumn="0" w:oddVBand="0" w:evenVBand="0" w:oddHBand="0" w:evenHBand="0" w:firstRowFirstColumn="0" w:firstRowLastColumn="0" w:lastRowFirstColumn="0" w:lastRowLastColumn="0"/>
            </w:pPr>
            <w:r>
              <w:t>Number of Episodes</w:t>
            </w:r>
          </w:p>
        </w:tc>
        <w:tc>
          <w:tcPr>
            <w:tcW w:w="2419" w:type="dxa"/>
            <w:tcBorders>
              <w:top w:val="single" w:sz="4" w:space="0" w:color="auto"/>
            </w:tcBorders>
          </w:tcPr>
          <w:p w14:paraId="680610B4" w14:textId="5ADEDF19" w:rsidR="00321D23" w:rsidRDefault="00321D23" w:rsidP="00046BDB">
            <w:pPr>
              <w:jc w:val="center"/>
              <w:cnfStyle w:val="100000000000" w:firstRow="1" w:lastRow="0" w:firstColumn="0" w:lastColumn="0" w:oddVBand="0" w:evenVBand="0" w:oddHBand="0" w:evenHBand="0" w:firstRowFirstColumn="0" w:firstRowLastColumn="0" w:lastRowFirstColumn="0" w:lastRowLastColumn="0"/>
            </w:pPr>
            <w:r>
              <w:t>Average Episode Costs</w:t>
            </w:r>
          </w:p>
        </w:tc>
        <w:tc>
          <w:tcPr>
            <w:tcW w:w="2391" w:type="dxa"/>
            <w:tcBorders>
              <w:top w:val="single" w:sz="4" w:space="0" w:color="auto"/>
              <w:right w:val="single" w:sz="4" w:space="0" w:color="auto"/>
            </w:tcBorders>
          </w:tcPr>
          <w:p w14:paraId="4BBBBC1B" w14:textId="7CDA5B9B" w:rsidR="00321D23" w:rsidRDefault="00321D23" w:rsidP="00046BDB">
            <w:pPr>
              <w:jc w:val="center"/>
              <w:cnfStyle w:val="100000000000" w:firstRow="1" w:lastRow="0" w:firstColumn="0" w:lastColumn="0" w:oddVBand="0" w:evenVBand="0" w:oddHBand="0" w:evenHBand="0" w:firstRowFirstColumn="0" w:firstRowLastColumn="0" w:lastRowFirstColumn="0" w:lastRowLastColumn="0"/>
            </w:pPr>
            <w:r>
              <w:t>Anchor Factor</w:t>
            </w:r>
          </w:p>
        </w:tc>
      </w:tr>
      <w:tr w:rsidR="00321D23" w14:paraId="05F09575"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5" w:type="dxa"/>
            <w:tcBorders>
              <w:left w:val="single" w:sz="4" w:space="0" w:color="auto"/>
            </w:tcBorders>
          </w:tcPr>
          <w:p w14:paraId="470098E6" w14:textId="28E12B0E" w:rsidR="00321D23" w:rsidRDefault="00321D23" w:rsidP="00046BDB">
            <w:pPr>
              <w:jc w:val="center"/>
            </w:pPr>
            <w:r>
              <w:t>(A)</w:t>
            </w:r>
          </w:p>
        </w:tc>
        <w:tc>
          <w:tcPr>
            <w:tcW w:w="2185" w:type="dxa"/>
          </w:tcPr>
          <w:p w14:paraId="0EF72035" w14:textId="6590B809"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(B)</w:t>
            </w:r>
          </w:p>
        </w:tc>
        <w:tc>
          <w:tcPr>
            <w:tcW w:w="2419" w:type="dxa"/>
          </w:tcPr>
          <w:p w14:paraId="7CF68724" w14:textId="6AD390DD"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(C)</w:t>
            </w:r>
          </w:p>
        </w:tc>
        <w:tc>
          <w:tcPr>
            <w:tcW w:w="2391" w:type="dxa"/>
            <w:tcBorders>
              <w:right w:val="single" w:sz="4" w:space="0" w:color="auto"/>
            </w:tcBorders>
          </w:tcPr>
          <w:p w14:paraId="18AB7D3F" w14:textId="6E8DD7B8"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(D)</w:t>
            </w:r>
          </w:p>
        </w:tc>
      </w:tr>
      <w:tr w:rsidR="00321D23" w14:paraId="2095DE59" w14:textId="77777777" w:rsidTr="00046BDB">
        <w:tc>
          <w:tcPr>
            <w:cnfStyle w:val="001000000000" w:firstRow="0" w:lastRow="0" w:firstColumn="1" w:lastColumn="0" w:oddVBand="0" w:evenVBand="0" w:oddHBand="0" w:evenHBand="0" w:firstRowFirstColumn="0" w:firstRowLastColumn="0" w:lastRowFirstColumn="0" w:lastRowLastColumn="0"/>
            <w:tcW w:w="2355" w:type="dxa"/>
            <w:tcBorders>
              <w:left w:val="single" w:sz="4" w:space="0" w:color="auto"/>
            </w:tcBorders>
          </w:tcPr>
          <w:p w14:paraId="79A26C7D" w14:textId="687E1BA9" w:rsidR="00321D23" w:rsidRDefault="00321D23" w:rsidP="00046BDB">
            <w:pPr>
              <w:jc w:val="center"/>
            </w:pPr>
            <w:r>
              <w:t>&lt;0.75</w:t>
            </w:r>
          </w:p>
        </w:tc>
        <w:tc>
          <w:tcPr>
            <w:tcW w:w="2185" w:type="dxa"/>
          </w:tcPr>
          <w:p w14:paraId="17858AA1" w14:textId="43AAD5C9" w:rsidR="00321D23" w:rsidRDefault="00321D23" w:rsidP="00046BDB">
            <w:pPr>
              <w:jc w:val="center"/>
              <w:cnfStyle w:val="000000000000" w:firstRow="0" w:lastRow="0" w:firstColumn="0" w:lastColumn="0" w:oddVBand="0" w:evenVBand="0" w:oddHBand="0" w:evenHBand="0" w:firstRowFirstColumn="0" w:firstRowLastColumn="0" w:lastRowFirstColumn="0" w:lastRowLastColumn="0"/>
            </w:pPr>
            <w:r>
              <w:t>481</w:t>
            </w:r>
          </w:p>
        </w:tc>
        <w:tc>
          <w:tcPr>
            <w:tcW w:w="2419" w:type="dxa"/>
          </w:tcPr>
          <w:p w14:paraId="6728E015" w14:textId="35136E16" w:rsidR="00321D23" w:rsidRDefault="00321D23" w:rsidP="00046BDB">
            <w:pPr>
              <w:jc w:val="center"/>
              <w:cnfStyle w:val="000000000000" w:firstRow="0" w:lastRow="0" w:firstColumn="0" w:lastColumn="0" w:oddVBand="0" w:evenVBand="0" w:oddHBand="0" w:evenHBand="0" w:firstRowFirstColumn="0" w:firstRowLastColumn="0" w:lastRowFirstColumn="0" w:lastRowLastColumn="0"/>
            </w:pPr>
            <w:r>
              <w:t>$939</w:t>
            </w:r>
          </w:p>
        </w:tc>
        <w:tc>
          <w:tcPr>
            <w:tcW w:w="2391" w:type="dxa"/>
            <w:tcBorders>
              <w:right w:val="single" w:sz="4" w:space="0" w:color="auto"/>
            </w:tcBorders>
          </w:tcPr>
          <w:p w14:paraId="26297C64" w14:textId="2A418D1A" w:rsidR="00321D23" w:rsidRDefault="00B6594F" w:rsidP="00046BDB">
            <w:pPr>
              <w:jc w:val="center"/>
              <w:cnfStyle w:val="000000000000" w:firstRow="0" w:lastRow="0" w:firstColumn="0" w:lastColumn="0" w:oddVBand="0" w:evenVBand="0" w:oddHBand="0" w:evenHBand="0" w:firstRowFirstColumn="0" w:firstRowLastColumn="0" w:lastRowFirstColumn="0" w:lastRowLastColumn="0"/>
            </w:pPr>
            <w:r>
              <w:t>0.5</w:t>
            </w:r>
          </w:p>
        </w:tc>
      </w:tr>
      <w:tr w:rsidR="00321D23" w14:paraId="198658FD"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5" w:type="dxa"/>
            <w:tcBorders>
              <w:left w:val="single" w:sz="4" w:space="0" w:color="auto"/>
            </w:tcBorders>
          </w:tcPr>
          <w:p w14:paraId="307FC3E4" w14:textId="48F801B4" w:rsidR="00321D23" w:rsidRDefault="00321D23" w:rsidP="00046BDB">
            <w:pPr>
              <w:jc w:val="center"/>
            </w:pPr>
            <w:r>
              <w:t>0.75-1.25</w:t>
            </w:r>
          </w:p>
        </w:tc>
        <w:tc>
          <w:tcPr>
            <w:tcW w:w="2185" w:type="dxa"/>
          </w:tcPr>
          <w:p w14:paraId="770C8EF4" w14:textId="0953B572"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933</w:t>
            </w:r>
          </w:p>
        </w:tc>
        <w:tc>
          <w:tcPr>
            <w:tcW w:w="2419" w:type="dxa"/>
          </w:tcPr>
          <w:p w14:paraId="308AC737" w14:textId="67BB3D31"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$1876</w:t>
            </w:r>
          </w:p>
        </w:tc>
        <w:tc>
          <w:tcPr>
            <w:tcW w:w="2391" w:type="dxa"/>
            <w:tcBorders>
              <w:right w:val="single" w:sz="4" w:space="0" w:color="auto"/>
            </w:tcBorders>
          </w:tcPr>
          <w:p w14:paraId="57094419" w14:textId="7A23A90A" w:rsidR="00321D23" w:rsidRDefault="00321D23" w:rsidP="00046BDB">
            <w:pPr>
              <w:jc w:val="center"/>
              <w:cnfStyle w:val="000000100000" w:firstRow="0" w:lastRow="0" w:firstColumn="0" w:lastColumn="0" w:oddVBand="0" w:evenVBand="0" w:oddHBand="1" w:evenHBand="0" w:firstRowFirstColumn="0" w:firstRowLastColumn="0" w:lastRowFirstColumn="0" w:lastRowLastColumn="0"/>
            </w:pPr>
            <w:r>
              <w:t>1</w:t>
            </w:r>
            <w:r w:rsidR="00B6594F">
              <w:t>.0</w:t>
            </w:r>
          </w:p>
        </w:tc>
      </w:tr>
      <w:tr w:rsidR="00321D23" w14:paraId="133BE903" w14:textId="77777777" w:rsidTr="00046BDB">
        <w:tc>
          <w:tcPr>
            <w:cnfStyle w:val="001000000000" w:firstRow="0" w:lastRow="0" w:firstColumn="1" w:lastColumn="0" w:oddVBand="0" w:evenVBand="0" w:oddHBand="0" w:evenHBand="0" w:firstRowFirstColumn="0" w:firstRowLastColumn="0" w:lastRowFirstColumn="0" w:lastRowLastColumn="0"/>
            <w:tcW w:w="2355" w:type="dxa"/>
            <w:tcBorders>
              <w:left w:val="single" w:sz="4" w:space="0" w:color="auto"/>
              <w:bottom w:val="single" w:sz="4" w:space="0" w:color="auto"/>
            </w:tcBorders>
          </w:tcPr>
          <w:p w14:paraId="0282233A" w14:textId="049A1601" w:rsidR="00321D23" w:rsidRDefault="00321D23" w:rsidP="00046BDB">
            <w:pPr>
              <w:jc w:val="center"/>
            </w:pPr>
            <w:r>
              <w:t>&gt;1.25</w:t>
            </w:r>
          </w:p>
        </w:tc>
        <w:tc>
          <w:tcPr>
            <w:tcW w:w="2185" w:type="dxa"/>
            <w:tcBorders>
              <w:bottom w:val="single" w:sz="4" w:space="0" w:color="auto"/>
            </w:tcBorders>
          </w:tcPr>
          <w:p w14:paraId="088D6F38" w14:textId="0BD86075" w:rsidR="00321D23" w:rsidRDefault="00321D23" w:rsidP="00046BDB">
            <w:pPr>
              <w:jc w:val="center"/>
              <w:cnfStyle w:val="000000000000" w:firstRow="0" w:lastRow="0" w:firstColumn="0" w:lastColumn="0" w:oddVBand="0" w:evenVBand="0" w:oddHBand="0" w:evenHBand="0" w:firstRowFirstColumn="0" w:firstRowLastColumn="0" w:lastRowFirstColumn="0" w:lastRowLastColumn="0"/>
            </w:pPr>
            <w:r>
              <w:t>323</w:t>
            </w:r>
          </w:p>
        </w:tc>
        <w:tc>
          <w:tcPr>
            <w:tcW w:w="2419" w:type="dxa"/>
            <w:tcBorders>
              <w:bottom w:val="single" w:sz="4" w:space="0" w:color="auto"/>
            </w:tcBorders>
          </w:tcPr>
          <w:p w14:paraId="558E0837" w14:textId="725AB3CB" w:rsidR="00321D23" w:rsidRDefault="005E05E9" w:rsidP="00046BDB">
            <w:pPr>
              <w:tabs>
                <w:tab w:val="center" w:pos="1101"/>
              </w:tabs>
              <w:cnfStyle w:val="000000000000" w:firstRow="0" w:lastRow="0" w:firstColumn="0" w:lastColumn="0" w:oddVBand="0" w:evenVBand="0" w:oddHBand="0" w:evenHBand="0" w:firstRowFirstColumn="0" w:firstRowLastColumn="0" w:lastRowFirstColumn="0" w:lastRowLastColumn="0"/>
            </w:pPr>
            <w:r>
              <w:tab/>
            </w:r>
            <w:r w:rsidR="00321D23">
              <w:t>$</w:t>
            </w:r>
            <w:r w:rsidR="00B6594F">
              <w:t>225</w:t>
            </w:r>
            <w:r w:rsidR="00321D23">
              <w:t>2</w:t>
            </w:r>
          </w:p>
        </w:tc>
        <w:tc>
          <w:tcPr>
            <w:tcW w:w="2391" w:type="dxa"/>
            <w:tcBorders>
              <w:bottom w:val="single" w:sz="4" w:space="0" w:color="auto"/>
              <w:right w:val="single" w:sz="4" w:space="0" w:color="auto"/>
            </w:tcBorders>
          </w:tcPr>
          <w:p w14:paraId="44DDFCE6" w14:textId="4ADC227B" w:rsidR="00321D23" w:rsidRDefault="00B6594F" w:rsidP="00046BDB">
            <w:pPr>
              <w:jc w:val="center"/>
              <w:cnfStyle w:val="000000000000" w:firstRow="0" w:lastRow="0" w:firstColumn="0" w:lastColumn="0" w:oddVBand="0" w:evenVBand="0" w:oddHBand="0" w:evenHBand="0" w:firstRowFirstColumn="0" w:firstRowLastColumn="0" w:lastRowFirstColumn="0" w:lastRowLastColumn="0"/>
            </w:pPr>
            <w:r>
              <w:t>1.2</w:t>
            </w:r>
          </w:p>
        </w:tc>
      </w:tr>
      <w:tr w:rsidR="00321D23" w14:paraId="44CA1759"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5" w:type="dxa"/>
            <w:tcBorders>
              <w:top w:val="single" w:sz="4" w:space="0" w:color="auto"/>
              <w:left w:val="nil"/>
              <w:bottom w:val="nil"/>
              <w:right w:val="nil"/>
            </w:tcBorders>
            <w:shd w:val="clear" w:color="auto" w:fill="auto"/>
          </w:tcPr>
          <w:p w14:paraId="7C66C950" w14:textId="77777777" w:rsidR="00321D23" w:rsidRPr="00046BDB" w:rsidRDefault="00321D23" w:rsidP="001C73DB">
            <w:pPr>
              <w:rPr>
                <w:sz w:val="16"/>
                <w:szCs w:val="16"/>
              </w:rPr>
            </w:pPr>
          </w:p>
        </w:tc>
        <w:tc>
          <w:tcPr>
            <w:tcW w:w="2185" w:type="dxa"/>
            <w:tcBorders>
              <w:top w:val="single" w:sz="4" w:space="0" w:color="auto"/>
              <w:left w:val="nil"/>
              <w:bottom w:val="nil"/>
              <w:right w:val="nil"/>
            </w:tcBorders>
            <w:shd w:val="clear" w:color="auto" w:fill="auto"/>
          </w:tcPr>
          <w:p w14:paraId="04927F3C" w14:textId="77777777" w:rsidR="00321D23" w:rsidRPr="00046BDB" w:rsidRDefault="00321D23" w:rsidP="001C73DB">
            <w:pPr>
              <w:cnfStyle w:val="000000100000" w:firstRow="0" w:lastRow="0" w:firstColumn="0" w:lastColumn="0" w:oddVBand="0" w:evenVBand="0" w:oddHBand="1" w:evenHBand="0" w:firstRowFirstColumn="0" w:firstRowLastColumn="0" w:lastRowFirstColumn="0" w:lastRowLastColumn="0"/>
              <w:rPr>
                <w:sz w:val="16"/>
                <w:szCs w:val="16"/>
              </w:rPr>
            </w:pPr>
          </w:p>
        </w:tc>
        <w:tc>
          <w:tcPr>
            <w:tcW w:w="2419" w:type="dxa"/>
            <w:tcBorders>
              <w:top w:val="single" w:sz="4" w:space="0" w:color="auto"/>
              <w:left w:val="nil"/>
              <w:bottom w:val="nil"/>
              <w:right w:val="nil"/>
            </w:tcBorders>
            <w:shd w:val="clear" w:color="auto" w:fill="auto"/>
          </w:tcPr>
          <w:p w14:paraId="0E460F3B" w14:textId="34F05FA8" w:rsidR="00321D23" w:rsidRPr="00046BDB" w:rsidRDefault="00321D23" w:rsidP="001C73DB">
            <w:pPr>
              <w:cnfStyle w:val="000000100000" w:firstRow="0" w:lastRow="0" w:firstColumn="0" w:lastColumn="0" w:oddVBand="0" w:evenVBand="0" w:oddHBand="1" w:evenHBand="0" w:firstRowFirstColumn="0" w:firstRowLastColumn="0" w:lastRowFirstColumn="0" w:lastRowLastColumn="0"/>
              <w:rPr>
                <w:sz w:val="16"/>
                <w:szCs w:val="16"/>
              </w:rPr>
            </w:pPr>
          </w:p>
        </w:tc>
        <w:tc>
          <w:tcPr>
            <w:tcW w:w="2391" w:type="dxa"/>
            <w:tcBorders>
              <w:top w:val="single" w:sz="4" w:space="0" w:color="auto"/>
              <w:left w:val="nil"/>
              <w:bottom w:val="nil"/>
              <w:right w:val="nil"/>
            </w:tcBorders>
            <w:shd w:val="clear" w:color="auto" w:fill="auto"/>
          </w:tcPr>
          <w:p w14:paraId="30C30601" w14:textId="77777777" w:rsidR="00321D23" w:rsidRPr="00046BDB" w:rsidRDefault="00321D23" w:rsidP="001C73DB">
            <w:pPr>
              <w:cnfStyle w:val="000000100000" w:firstRow="0" w:lastRow="0" w:firstColumn="0" w:lastColumn="0" w:oddVBand="0" w:evenVBand="0" w:oddHBand="1" w:evenHBand="0" w:firstRowFirstColumn="0" w:firstRowLastColumn="0" w:lastRowFirstColumn="0" w:lastRowLastColumn="0"/>
              <w:rPr>
                <w:sz w:val="16"/>
                <w:szCs w:val="16"/>
              </w:rPr>
            </w:pPr>
          </w:p>
        </w:tc>
      </w:tr>
    </w:tbl>
    <w:p w14:paraId="1D2E3349" w14:textId="3B9F7B07" w:rsidR="008F06AC" w:rsidRDefault="00D26BF1" w:rsidP="001C73DB">
      <w:r>
        <w:t xml:space="preserve">Once the </w:t>
      </w:r>
      <w:r w:rsidR="008C03D0">
        <w:t xml:space="preserve">statewide anchor factors </w:t>
      </w:r>
      <w:r w:rsidR="00F85357">
        <w:t>are known</w:t>
      </w:r>
      <w:r w:rsidR="00EB4CF4">
        <w:t xml:space="preserve">, </w:t>
      </w:r>
      <w:r w:rsidR="00F85357">
        <w:t xml:space="preserve">the hospital specific weights are calculated by </w:t>
      </w:r>
      <w:r w:rsidR="00D90CC3">
        <w:t xml:space="preserve">taking the weighted average of the </w:t>
      </w:r>
      <w:r w:rsidR="00BB2EC3">
        <w:t xml:space="preserve">statewide anchor factors </w:t>
      </w:r>
      <w:r w:rsidR="00F06557">
        <w:t xml:space="preserve">using the hospital’s </w:t>
      </w:r>
      <w:r w:rsidR="009F155A">
        <w:t xml:space="preserve">volume. This process </w:t>
      </w:r>
      <w:r w:rsidR="00023E1A">
        <w:t xml:space="preserve">normalizes episodes </w:t>
      </w:r>
      <w:r w:rsidR="000E3DB4">
        <w:t xml:space="preserve">costs </w:t>
      </w:r>
      <w:r w:rsidR="00E0037A">
        <w:t xml:space="preserve">based on the statewide </w:t>
      </w:r>
      <w:r w:rsidR="000271F0">
        <w:t xml:space="preserve">distribution of costs. For instance, </w:t>
      </w:r>
      <w:r w:rsidR="00124463">
        <w:t xml:space="preserve">it inflates the costs for each CTI Episode that fall into the first HCC strata by 2 because statewide CTI episodes in the first </w:t>
      </w:r>
      <w:r w:rsidR="00D8008C">
        <w:t xml:space="preserve">strata are half </w:t>
      </w:r>
      <w:r w:rsidR="00A11E17">
        <w:t xml:space="preserve">as expensive. </w:t>
      </w:r>
    </w:p>
    <w:p w14:paraId="6C71E44D" w14:textId="1048F1B0" w:rsidR="00315EE9" w:rsidRDefault="00126DF3" w:rsidP="001C73DB">
      <w:r>
        <w:t xml:space="preserve">Mathematically, the </w:t>
      </w:r>
      <w:r w:rsidR="002D10EA">
        <w:t xml:space="preserve">calculation </w:t>
      </w:r>
      <w:r w:rsidR="00E33E50">
        <w:t xml:space="preserve">is the average of the </w:t>
      </w:r>
      <w:r w:rsidR="00C27751">
        <w:t>anchor factors in e</w:t>
      </w:r>
      <w:r w:rsidR="006E26DF">
        <w:t xml:space="preserve">xample 5 weighted using the episode </w:t>
      </w:r>
      <w:r w:rsidR="00AD4E3D">
        <w:t xml:space="preserve">volume by HCC strata </w:t>
      </w:r>
      <w:r w:rsidR="005E05E9">
        <w:t>at the individual hospital</w:t>
      </w:r>
      <w:r w:rsidR="00AD4E3D">
        <w:t xml:space="preserve">. </w:t>
      </w:r>
      <w:r w:rsidR="00D606F3">
        <w:t>In this cas</w:t>
      </w:r>
      <w:r w:rsidR="00E4657F">
        <w:t xml:space="preserve">e, the weighted average is 0.91. </w:t>
      </w:r>
      <w:r w:rsidR="00752BE6">
        <w:t xml:space="preserve">This indicates that </w:t>
      </w:r>
      <w:r w:rsidR="00B01C0B">
        <w:t xml:space="preserve">based on </w:t>
      </w:r>
      <w:r w:rsidR="00B27EFC">
        <w:t xml:space="preserve">statewide </w:t>
      </w:r>
      <w:r w:rsidR="002C0ACC">
        <w:t xml:space="preserve">patterns, the </w:t>
      </w:r>
      <w:r w:rsidR="00E77341">
        <w:t>average</w:t>
      </w:r>
      <w:r w:rsidR="004A4D7E">
        <w:t xml:space="preserve"> across all</w:t>
      </w:r>
      <w:r w:rsidR="00E77341">
        <w:t xml:space="preserve"> CTI </w:t>
      </w:r>
      <w:r w:rsidR="00A22CE7">
        <w:t xml:space="preserve">Episode </w:t>
      </w:r>
      <w:r w:rsidR="004A4D7E">
        <w:t xml:space="preserve">should be </w:t>
      </w:r>
      <w:r w:rsidR="00FF6648">
        <w:t xml:space="preserve">91% of the </w:t>
      </w:r>
      <w:r w:rsidR="00845957">
        <w:t xml:space="preserve">average costs </w:t>
      </w:r>
      <w:r w:rsidR="001B6D01">
        <w:t>in the most numerous HCC strata</w:t>
      </w:r>
      <w:r w:rsidR="00E56BD8">
        <w:t xml:space="preserve">. </w:t>
      </w:r>
      <w:r w:rsidR="00EE273B">
        <w:t>I</w:t>
      </w:r>
      <w:r w:rsidR="00AE5767">
        <w:t xml:space="preserve">n </w:t>
      </w:r>
      <w:r w:rsidR="00AB25A3">
        <w:t xml:space="preserve">example 6 below, </w:t>
      </w:r>
      <w:r w:rsidR="00282FD0">
        <w:t xml:space="preserve">the average of all CTI Episodes for the hospital </w:t>
      </w:r>
      <w:r w:rsidR="000D74A0">
        <w:t>($1623) is 94% of the average of all CTI Episodes that are in the middle HCC strata ($1732</w:t>
      </w:r>
      <w:r w:rsidR="00D977BC">
        <w:t>).</w:t>
      </w:r>
      <w:r w:rsidR="005E6B01">
        <w:t xml:space="preserve"> </w:t>
      </w:r>
    </w:p>
    <w:p w14:paraId="6A1784F9" w14:textId="6E1B97C2" w:rsidR="001276A8" w:rsidRPr="00046BDB" w:rsidRDefault="00315EE9" w:rsidP="001C73DB">
      <w:pPr>
        <w:rPr>
          <w:i/>
        </w:rPr>
      </w:pPr>
      <w:r>
        <w:rPr>
          <w:b/>
          <w:i/>
        </w:rPr>
        <w:t>Example 6</w:t>
      </w:r>
      <w:r w:rsidR="001276A8" w:rsidRPr="00046BDB">
        <w:rPr>
          <w:b/>
          <w:i/>
        </w:rPr>
        <w:t>.</w:t>
      </w:r>
      <w:r w:rsidR="001276A8" w:rsidRPr="00046BDB">
        <w:rPr>
          <w:i/>
        </w:rPr>
        <w:t xml:space="preserve"> Example </w:t>
      </w:r>
      <w:r>
        <w:rPr>
          <w:i/>
        </w:rPr>
        <w:t>of Hospital Weight</w:t>
      </w:r>
      <w:r w:rsidR="001173DC">
        <w:rPr>
          <w:i/>
        </w:rPr>
        <w:t xml:space="preserve"> Calculation</w:t>
      </w:r>
    </w:p>
    <w:tbl>
      <w:tblPr>
        <w:tblStyle w:val="GridTable4-Accent5"/>
        <w:tblW w:w="0" w:type="auto"/>
        <w:tblLook w:val="04A0" w:firstRow="1" w:lastRow="0" w:firstColumn="1" w:lastColumn="0" w:noHBand="0" w:noVBand="1"/>
      </w:tblPr>
      <w:tblGrid>
        <w:gridCol w:w="2337"/>
        <w:gridCol w:w="2337"/>
        <w:gridCol w:w="2338"/>
        <w:gridCol w:w="2338"/>
      </w:tblGrid>
      <w:tr w:rsidR="009F155A" w14:paraId="14A2FDCD" w14:textId="7ADDC823" w:rsidTr="0004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tcBorders>
          </w:tcPr>
          <w:p w14:paraId="4528BF22" w14:textId="143D1D4E" w:rsidR="009F155A" w:rsidRDefault="009F155A" w:rsidP="00046BDB">
            <w:pPr>
              <w:jc w:val="center"/>
            </w:pPr>
            <w:r>
              <w:t>Episode</w:t>
            </w:r>
          </w:p>
        </w:tc>
        <w:tc>
          <w:tcPr>
            <w:tcW w:w="2337" w:type="dxa"/>
            <w:tcBorders>
              <w:top w:val="single" w:sz="4" w:space="0" w:color="auto"/>
            </w:tcBorders>
          </w:tcPr>
          <w:p w14:paraId="4739611B" w14:textId="3399D268" w:rsidR="009F155A" w:rsidRDefault="009F155A" w:rsidP="00046BDB">
            <w:pPr>
              <w:jc w:val="center"/>
              <w:cnfStyle w:val="100000000000" w:firstRow="1" w:lastRow="0" w:firstColumn="0" w:lastColumn="0" w:oddVBand="0" w:evenVBand="0" w:oddHBand="0" w:evenHBand="0" w:firstRowFirstColumn="0" w:firstRowLastColumn="0" w:lastRowFirstColumn="0" w:lastRowLastColumn="0"/>
            </w:pPr>
            <w:r>
              <w:t>HCC Strata</w:t>
            </w:r>
          </w:p>
        </w:tc>
        <w:tc>
          <w:tcPr>
            <w:tcW w:w="2338" w:type="dxa"/>
            <w:tcBorders>
              <w:top w:val="single" w:sz="4" w:space="0" w:color="auto"/>
            </w:tcBorders>
          </w:tcPr>
          <w:p w14:paraId="7F4F15E8" w14:textId="6A41590E" w:rsidR="009F155A" w:rsidRDefault="009F155A" w:rsidP="00046BDB">
            <w:pPr>
              <w:jc w:val="center"/>
              <w:cnfStyle w:val="100000000000" w:firstRow="1" w:lastRow="0" w:firstColumn="0" w:lastColumn="0" w:oddVBand="0" w:evenVBand="0" w:oddHBand="0" w:evenHBand="0" w:firstRowFirstColumn="0" w:firstRowLastColumn="0" w:lastRowFirstColumn="0" w:lastRowLastColumn="0"/>
            </w:pPr>
            <w:r>
              <w:t>Episode Costs</w:t>
            </w:r>
          </w:p>
        </w:tc>
        <w:tc>
          <w:tcPr>
            <w:tcW w:w="2338" w:type="dxa"/>
            <w:tcBorders>
              <w:top w:val="single" w:sz="4" w:space="0" w:color="auto"/>
              <w:right w:val="single" w:sz="4" w:space="0" w:color="auto"/>
            </w:tcBorders>
          </w:tcPr>
          <w:p w14:paraId="2953CF51" w14:textId="232C3785" w:rsidR="009F155A" w:rsidRDefault="005E05E9" w:rsidP="009F155A">
            <w:pPr>
              <w:jc w:val="center"/>
              <w:cnfStyle w:val="100000000000" w:firstRow="1" w:lastRow="0" w:firstColumn="0" w:lastColumn="0" w:oddVBand="0" w:evenVBand="0" w:oddHBand="0" w:evenHBand="0" w:firstRowFirstColumn="0" w:firstRowLastColumn="0" w:lastRowFirstColumn="0" w:lastRowLastColumn="0"/>
            </w:pPr>
            <w:r>
              <w:t>Normalized</w:t>
            </w:r>
            <w:r w:rsidR="009F155A">
              <w:t xml:space="preserve"> Costs</w:t>
            </w:r>
          </w:p>
        </w:tc>
      </w:tr>
      <w:tr w:rsidR="00315EE9" w14:paraId="16EB33C3"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0204A4FD" w14:textId="721A6A28" w:rsidR="00315EE9" w:rsidRPr="00046BDB" w:rsidRDefault="00315EE9" w:rsidP="00A11E17">
            <w:pPr>
              <w:jc w:val="center"/>
              <w:rPr>
                <w:b w:val="0"/>
              </w:rPr>
            </w:pPr>
            <w:r w:rsidRPr="00315EE9">
              <w:t>(A)</w:t>
            </w:r>
          </w:p>
        </w:tc>
        <w:tc>
          <w:tcPr>
            <w:tcW w:w="2337" w:type="dxa"/>
          </w:tcPr>
          <w:p w14:paraId="073A2A59" w14:textId="7A678573" w:rsidR="00315EE9" w:rsidRPr="005A668B" w:rsidRDefault="00315EE9" w:rsidP="00A11E17">
            <w:pPr>
              <w:jc w:val="center"/>
              <w:cnfStyle w:val="000000100000" w:firstRow="0" w:lastRow="0" w:firstColumn="0" w:lastColumn="0" w:oddVBand="0" w:evenVBand="0" w:oddHBand="1" w:evenHBand="0" w:firstRowFirstColumn="0" w:firstRowLastColumn="0" w:lastRowFirstColumn="0" w:lastRowLastColumn="0"/>
            </w:pPr>
            <w:r>
              <w:t>(B)</w:t>
            </w:r>
          </w:p>
        </w:tc>
        <w:tc>
          <w:tcPr>
            <w:tcW w:w="2338" w:type="dxa"/>
          </w:tcPr>
          <w:p w14:paraId="5D7740CB" w14:textId="707795F8" w:rsidR="00315EE9" w:rsidRDefault="00315EE9" w:rsidP="00A11E17">
            <w:pPr>
              <w:jc w:val="center"/>
              <w:cnfStyle w:val="000000100000" w:firstRow="0" w:lastRow="0" w:firstColumn="0" w:lastColumn="0" w:oddVBand="0" w:evenVBand="0" w:oddHBand="1" w:evenHBand="0" w:firstRowFirstColumn="0" w:firstRowLastColumn="0" w:lastRowFirstColumn="0" w:lastRowLastColumn="0"/>
            </w:pPr>
            <w:r>
              <w:t>(C)</w:t>
            </w:r>
          </w:p>
        </w:tc>
        <w:tc>
          <w:tcPr>
            <w:tcW w:w="2338" w:type="dxa"/>
            <w:tcBorders>
              <w:right w:val="single" w:sz="4" w:space="0" w:color="auto"/>
            </w:tcBorders>
          </w:tcPr>
          <w:p w14:paraId="42FD9FE0" w14:textId="22215B19" w:rsidR="00315EE9" w:rsidRDefault="00315EE9" w:rsidP="00A11E17">
            <w:pPr>
              <w:jc w:val="center"/>
              <w:cnfStyle w:val="000000100000" w:firstRow="0" w:lastRow="0" w:firstColumn="0" w:lastColumn="0" w:oddVBand="0" w:evenVBand="0" w:oddHBand="1" w:evenHBand="0" w:firstRowFirstColumn="0" w:firstRowLastColumn="0" w:lastRowFirstColumn="0" w:lastRowLastColumn="0"/>
            </w:pPr>
            <w:r>
              <w:t>(D)</w:t>
            </w:r>
          </w:p>
        </w:tc>
      </w:tr>
      <w:tr w:rsidR="008E5AFC" w14:paraId="18F77900" w14:textId="77777777"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shd w:val="clear" w:color="auto" w:fill="auto"/>
          </w:tcPr>
          <w:p w14:paraId="582D7C15" w14:textId="75472C47" w:rsidR="008E5AFC" w:rsidRPr="00CC61BB" w:rsidRDefault="008E5AFC" w:rsidP="008E5AFC">
            <w:pPr>
              <w:jc w:val="center"/>
            </w:pPr>
            <w:r w:rsidRPr="00CC61BB">
              <w:t>E001</w:t>
            </w:r>
          </w:p>
        </w:tc>
        <w:tc>
          <w:tcPr>
            <w:tcW w:w="2337" w:type="dxa"/>
            <w:shd w:val="clear" w:color="auto" w:fill="auto"/>
          </w:tcPr>
          <w:p w14:paraId="63FE0CF7" w14:textId="467A8638" w:rsidR="008E5AFC" w:rsidRPr="005A668B" w:rsidRDefault="008E5AFC" w:rsidP="008E5AFC">
            <w:pPr>
              <w:jc w:val="center"/>
              <w:cnfStyle w:val="000000000000" w:firstRow="0" w:lastRow="0" w:firstColumn="0" w:lastColumn="0" w:oddVBand="0" w:evenVBand="0" w:oddHBand="0" w:evenHBand="0" w:firstRowFirstColumn="0" w:firstRowLastColumn="0" w:lastRowFirstColumn="0" w:lastRowLastColumn="0"/>
            </w:pPr>
            <w:r w:rsidRPr="005A668B">
              <w:t>&lt;0.75</w:t>
            </w:r>
          </w:p>
        </w:tc>
        <w:tc>
          <w:tcPr>
            <w:tcW w:w="2338" w:type="dxa"/>
            <w:shd w:val="clear" w:color="auto" w:fill="auto"/>
          </w:tcPr>
          <w:p w14:paraId="244449AE" w14:textId="76A772B6"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t>$664</w:t>
            </w:r>
          </w:p>
        </w:tc>
        <w:tc>
          <w:tcPr>
            <w:tcW w:w="2338" w:type="dxa"/>
            <w:tcBorders>
              <w:right w:val="single" w:sz="4" w:space="0" w:color="auto"/>
            </w:tcBorders>
            <w:shd w:val="clear" w:color="auto" w:fill="auto"/>
            <w:vAlign w:val="bottom"/>
          </w:tcPr>
          <w:p w14:paraId="6ACB6BE7" w14:textId="5A4003B8"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$730 </w:t>
            </w:r>
          </w:p>
        </w:tc>
      </w:tr>
      <w:tr w:rsidR="008E5AFC" w14:paraId="47B66A2C" w14:textId="0F451FC9"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4BEF565F" w14:textId="2F29AD09" w:rsidR="008E5AFC" w:rsidRPr="00046BDB" w:rsidRDefault="008E5AFC" w:rsidP="00046BDB">
            <w:pPr>
              <w:jc w:val="center"/>
              <w:rPr>
                <w:b w:val="0"/>
                <w:bCs w:val="0"/>
              </w:rPr>
            </w:pPr>
            <w:r w:rsidRPr="00CC61BB">
              <w:t>E002</w:t>
            </w:r>
          </w:p>
        </w:tc>
        <w:tc>
          <w:tcPr>
            <w:tcW w:w="2337" w:type="dxa"/>
          </w:tcPr>
          <w:p w14:paraId="37D15D7E" w14:textId="6CDFF028"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rsidRPr="005A668B">
              <w:t>&lt;0.75</w:t>
            </w:r>
          </w:p>
        </w:tc>
        <w:tc>
          <w:tcPr>
            <w:tcW w:w="2338" w:type="dxa"/>
          </w:tcPr>
          <w:p w14:paraId="75FC8296" w14:textId="660D3015"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t>$758</w:t>
            </w:r>
          </w:p>
        </w:tc>
        <w:tc>
          <w:tcPr>
            <w:tcW w:w="2338" w:type="dxa"/>
            <w:tcBorders>
              <w:right w:val="single" w:sz="4" w:space="0" w:color="auto"/>
            </w:tcBorders>
            <w:vAlign w:val="bottom"/>
          </w:tcPr>
          <w:p w14:paraId="69E10ED3" w14:textId="64DB8D0C"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$833 </w:t>
            </w:r>
          </w:p>
        </w:tc>
      </w:tr>
      <w:tr w:rsidR="008E5AFC" w14:paraId="4C735EA3" w14:textId="7A02A651"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3C13E523" w14:textId="22FA71B8" w:rsidR="008E5AFC" w:rsidRPr="00046BDB" w:rsidRDefault="008E5AFC" w:rsidP="00046BDB">
            <w:pPr>
              <w:jc w:val="center"/>
              <w:rPr>
                <w:b w:val="0"/>
                <w:bCs w:val="0"/>
              </w:rPr>
            </w:pPr>
            <w:r w:rsidRPr="00CC61BB">
              <w:t>E003</w:t>
            </w:r>
          </w:p>
        </w:tc>
        <w:tc>
          <w:tcPr>
            <w:tcW w:w="2337" w:type="dxa"/>
          </w:tcPr>
          <w:p w14:paraId="624A50AC" w14:textId="7CE95C62"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rsidRPr="005A668B">
              <w:t>&lt;0.75</w:t>
            </w:r>
          </w:p>
        </w:tc>
        <w:tc>
          <w:tcPr>
            <w:tcW w:w="2338" w:type="dxa"/>
          </w:tcPr>
          <w:p w14:paraId="5805B1F8" w14:textId="1F8A12D1"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t>$1102</w:t>
            </w:r>
          </w:p>
        </w:tc>
        <w:tc>
          <w:tcPr>
            <w:tcW w:w="2338" w:type="dxa"/>
            <w:tcBorders>
              <w:right w:val="single" w:sz="4" w:space="0" w:color="auto"/>
            </w:tcBorders>
            <w:vAlign w:val="bottom"/>
          </w:tcPr>
          <w:p w14:paraId="52B36052" w14:textId="55BEF214"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$1,211 </w:t>
            </w:r>
          </w:p>
        </w:tc>
      </w:tr>
      <w:tr w:rsidR="008E5AFC" w14:paraId="4402C11B" w14:textId="4682FD09"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010269C3" w14:textId="0F008F1B" w:rsidR="008E5AFC" w:rsidRPr="00046BDB" w:rsidRDefault="008E5AFC" w:rsidP="00046BDB">
            <w:pPr>
              <w:jc w:val="center"/>
              <w:rPr>
                <w:b w:val="0"/>
                <w:bCs w:val="0"/>
              </w:rPr>
            </w:pPr>
            <w:r w:rsidRPr="00CC61BB">
              <w:t>E004</w:t>
            </w:r>
          </w:p>
        </w:tc>
        <w:tc>
          <w:tcPr>
            <w:tcW w:w="2337" w:type="dxa"/>
          </w:tcPr>
          <w:p w14:paraId="54A00972" w14:textId="237EB49C"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rsidRPr="00C0677C">
              <w:t>0.75-1.25</w:t>
            </w:r>
          </w:p>
        </w:tc>
        <w:tc>
          <w:tcPr>
            <w:tcW w:w="2338" w:type="dxa"/>
          </w:tcPr>
          <w:p w14:paraId="1A974FAE" w14:textId="4EE3882F"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t>$1721</w:t>
            </w:r>
          </w:p>
        </w:tc>
        <w:tc>
          <w:tcPr>
            <w:tcW w:w="2338" w:type="dxa"/>
            <w:tcBorders>
              <w:right w:val="single" w:sz="4" w:space="0" w:color="auto"/>
            </w:tcBorders>
            <w:vAlign w:val="bottom"/>
          </w:tcPr>
          <w:p w14:paraId="2A32148B" w14:textId="1959D89D"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$1,891 </w:t>
            </w:r>
          </w:p>
        </w:tc>
      </w:tr>
      <w:tr w:rsidR="008E5AFC" w14:paraId="1AC7973B" w14:textId="5E4ADCE7"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38B6FC5B" w14:textId="09EC3FCE" w:rsidR="008E5AFC" w:rsidRPr="00046BDB" w:rsidRDefault="008E5AFC" w:rsidP="00046BDB">
            <w:pPr>
              <w:jc w:val="center"/>
              <w:rPr>
                <w:b w:val="0"/>
                <w:bCs w:val="0"/>
              </w:rPr>
            </w:pPr>
            <w:r w:rsidRPr="00CC61BB">
              <w:t>E005</w:t>
            </w:r>
          </w:p>
        </w:tc>
        <w:tc>
          <w:tcPr>
            <w:tcW w:w="2337" w:type="dxa"/>
          </w:tcPr>
          <w:p w14:paraId="5EFBF6D7" w14:textId="47587550"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rsidRPr="00C0677C">
              <w:t>0.75-1.25</w:t>
            </w:r>
          </w:p>
        </w:tc>
        <w:tc>
          <w:tcPr>
            <w:tcW w:w="2338" w:type="dxa"/>
          </w:tcPr>
          <w:p w14:paraId="03397066" w14:textId="27994FBC"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t>$1301</w:t>
            </w:r>
          </w:p>
        </w:tc>
        <w:tc>
          <w:tcPr>
            <w:tcW w:w="2338" w:type="dxa"/>
            <w:tcBorders>
              <w:right w:val="single" w:sz="4" w:space="0" w:color="auto"/>
            </w:tcBorders>
            <w:vAlign w:val="bottom"/>
          </w:tcPr>
          <w:p w14:paraId="790983E6" w14:textId="26D7AF5E"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$1,430 </w:t>
            </w:r>
          </w:p>
        </w:tc>
      </w:tr>
      <w:tr w:rsidR="008E5AFC" w14:paraId="47725E14" w14:textId="7D1603AA"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7601738B" w14:textId="3F94B8B0" w:rsidR="008E5AFC" w:rsidRPr="00046BDB" w:rsidRDefault="008E5AFC" w:rsidP="00046BDB">
            <w:pPr>
              <w:jc w:val="center"/>
              <w:rPr>
                <w:b w:val="0"/>
                <w:bCs w:val="0"/>
              </w:rPr>
            </w:pPr>
            <w:r w:rsidRPr="00CC61BB">
              <w:t>E006</w:t>
            </w:r>
          </w:p>
        </w:tc>
        <w:tc>
          <w:tcPr>
            <w:tcW w:w="2337" w:type="dxa"/>
          </w:tcPr>
          <w:p w14:paraId="30BA95C8" w14:textId="477E062A"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rsidRPr="00C0677C">
              <w:t>0.75-1.25</w:t>
            </w:r>
          </w:p>
        </w:tc>
        <w:tc>
          <w:tcPr>
            <w:tcW w:w="2338" w:type="dxa"/>
          </w:tcPr>
          <w:p w14:paraId="0110DDEC" w14:textId="48BF4503"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t>$1856</w:t>
            </w:r>
          </w:p>
        </w:tc>
        <w:tc>
          <w:tcPr>
            <w:tcW w:w="2338" w:type="dxa"/>
            <w:tcBorders>
              <w:right w:val="single" w:sz="4" w:space="0" w:color="auto"/>
            </w:tcBorders>
            <w:vAlign w:val="bottom"/>
          </w:tcPr>
          <w:p w14:paraId="50978D5D" w14:textId="3B6F62B2"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$2,040 </w:t>
            </w:r>
          </w:p>
        </w:tc>
      </w:tr>
      <w:tr w:rsidR="008E5AFC" w14:paraId="53BB1409" w14:textId="61170552"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0990064D" w14:textId="6CC75011" w:rsidR="008E5AFC" w:rsidRPr="00046BDB" w:rsidRDefault="008E5AFC" w:rsidP="00046BDB">
            <w:pPr>
              <w:jc w:val="center"/>
              <w:rPr>
                <w:b w:val="0"/>
                <w:bCs w:val="0"/>
              </w:rPr>
            </w:pPr>
            <w:r w:rsidRPr="00603A0F">
              <w:rPr>
                <w:bCs w:val="0"/>
              </w:rPr>
              <w:t>E007</w:t>
            </w:r>
          </w:p>
        </w:tc>
        <w:tc>
          <w:tcPr>
            <w:tcW w:w="2337" w:type="dxa"/>
          </w:tcPr>
          <w:p w14:paraId="754E7410" w14:textId="35577D0F"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rsidRPr="00C0677C">
              <w:t>0.75-1.25</w:t>
            </w:r>
          </w:p>
        </w:tc>
        <w:tc>
          <w:tcPr>
            <w:tcW w:w="2338" w:type="dxa"/>
          </w:tcPr>
          <w:p w14:paraId="5DC77D93" w14:textId="687AEB9B"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t>$2049</w:t>
            </w:r>
          </w:p>
        </w:tc>
        <w:tc>
          <w:tcPr>
            <w:tcW w:w="2338" w:type="dxa"/>
            <w:tcBorders>
              <w:right w:val="single" w:sz="4" w:space="0" w:color="auto"/>
            </w:tcBorders>
            <w:vAlign w:val="bottom"/>
          </w:tcPr>
          <w:p w14:paraId="4B340124" w14:textId="3B2A0D52"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$2,252 </w:t>
            </w:r>
          </w:p>
        </w:tc>
      </w:tr>
      <w:tr w:rsidR="008E5AFC" w14:paraId="68E3ABD8" w14:textId="251CA091"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176A0E63" w14:textId="4EAD86A1" w:rsidR="008E5AFC" w:rsidRPr="001D3DA6" w:rsidRDefault="008E5AFC" w:rsidP="008E5AFC">
            <w:pPr>
              <w:jc w:val="center"/>
            </w:pPr>
            <w:r w:rsidRPr="00603A0F">
              <w:rPr>
                <w:bCs w:val="0"/>
              </w:rPr>
              <w:t>E008</w:t>
            </w:r>
          </w:p>
        </w:tc>
        <w:tc>
          <w:tcPr>
            <w:tcW w:w="2337" w:type="dxa"/>
          </w:tcPr>
          <w:p w14:paraId="5AB69E3E" w14:textId="7212A8D9"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sidRPr="003C492C">
              <w:t>&gt;1.25</w:t>
            </w:r>
          </w:p>
        </w:tc>
        <w:tc>
          <w:tcPr>
            <w:tcW w:w="2338" w:type="dxa"/>
          </w:tcPr>
          <w:p w14:paraId="2AE1914C" w14:textId="50E48F48"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t>$2191</w:t>
            </w:r>
          </w:p>
        </w:tc>
        <w:tc>
          <w:tcPr>
            <w:tcW w:w="2338" w:type="dxa"/>
            <w:tcBorders>
              <w:right w:val="single" w:sz="4" w:space="0" w:color="auto"/>
            </w:tcBorders>
            <w:vAlign w:val="bottom"/>
          </w:tcPr>
          <w:p w14:paraId="56489006" w14:textId="574DE7A4"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$2,408 </w:t>
            </w:r>
          </w:p>
        </w:tc>
      </w:tr>
      <w:tr w:rsidR="008E5AFC" w14:paraId="13D05AA8" w14:textId="38CA1C9C"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4AFC75E9" w14:textId="6B59A022" w:rsidR="008E5AFC" w:rsidRPr="00046BDB" w:rsidRDefault="008E5AFC" w:rsidP="00046BDB">
            <w:pPr>
              <w:jc w:val="center"/>
              <w:rPr>
                <w:bCs w:val="0"/>
              </w:rPr>
            </w:pPr>
            <w:r w:rsidRPr="00603A0F">
              <w:rPr>
                <w:bCs w:val="0"/>
              </w:rPr>
              <w:t>E009</w:t>
            </w:r>
          </w:p>
        </w:tc>
        <w:tc>
          <w:tcPr>
            <w:tcW w:w="2337" w:type="dxa"/>
          </w:tcPr>
          <w:p w14:paraId="524440EA" w14:textId="68613687"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rsidRPr="003C492C">
              <w:t>&gt;1.25</w:t>
            </w:r>
          </w:p>
        </w:tc>
        <w:tc>
          <w:tcPr>
            <w:tcW w:w="2338" w:type="dxa"/>
          </w:tcPr>
          <w:p w14:paraId="1F7B1F9C" w14:textId="7475D4BF" w:rsidR="008E5AFC" w:rsidRDefault="008E5AFC" w:rsidP="00046BDB">
            <w:pPr>
              <w:jc w:val="center"/>
              <w:cnfStyle w:val="000000000000" w:firstRow="0" w:lastRow="0" w:firstColumn="0" w:lastColumn="0" w:oddVBand="0" w:evenVBand="0" w:oddHBand="0" w:evenHBand="0" w:firstRowFirstColumn="0" w:firstRowLastColumn="0" w:lastRowFirstColumn="0" w:lastRowLastColumn="0"/>
            </w:pPr>
            <w:r>
              <w:t>$2996</w:t>
            </w:r>
          </w:p>
        </w:tc>
        <w:tc>
          <w:tcPr>
            <w:tcW w:w="2338" w:type="dxa"/>
            <w:tcBorders>
              <w:right w:val="single" w:sz="4" w:space="0" w:color="auto"/>
            </w:tcBorders>
            <w:vAlign w:val="bottom"/>
          </w:tcPr>
          <w:p w14:paraId="3CB84BC3" w14:textId="62BC6B26" w:rsidR="008E5AFC" w:rsidRDefault="008E5AFC" w:rsidP="008E5AF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$3,292 </w:t>
            </w:r>
          </w:p>
        </w:tc>
      </w:tr>
      <w:tr w:rsidR="008E5AFC" w14:paraId="54D76A33" w14:textId="053F4F6F"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bottom w:val="single" w:sz="4" w:space="0" w:color="auto"/>
            </w:tcBorders>
          </w:tcPr>
          <w:p w14:paraId="239455BE" w14:textId="676F9F51" w:rsidR="008E5AFC" w:rsidRPr="00046BDB" w:rsidRDefault="008E5AFC" w:rsidP="00046BDB">
            <w:pPr>
              <w:jc w:val="center"/>
              <w:rPr>
                <w:bCs w:val="0"/>
              </w:rPr>
            </w:pPr>
            <w:r w:rsidRPr="00603A0F">
              <w:rPr>
                <w:bCs w:val="0"/>
              </w:rPr>
              <w:t>E010</w:t>
            </w:r>
          </w:p>
        </w:tc>
        <w:tc>
          <w:tcPr>
            <w:tcW w:w="2337" w:type="dxa"/>
            <w:tcBorders>
              <w:bottom w:val="single" w:sz="4" w:space="0" w:color="auto"/>
            </w:tcBorders>
          </w:tcPr>
          <w:p w14:paraId="0CAA293A" w14:textId="403FD10D"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rsidRPr="003C492C">
              <w:t>&gt;1.25</w:t>
            </w:r>
          </w:p>
        </w:tc>
        <w:tc>
          <w:tcPr>
            <w:tcW w:w="2338" w:type="dxa"/>
            <w:tcBorders>
              <w:bottom w:val="single" w:sz="4" w:space="0" w:color="auto"/>
            </w:tcBorders>
          </w:tcPr>
          <w:p w14:paraId="76FC4951" w14:textId="6B43A567" w:rsidR="008E5AFC" w:rsidRDefault="008E5AFC" w:rsidP="00046BDB">
            <w:pPr>
              <w:jc w:val="center"/>
              <w:cnfStyle w:val="000000100000" w:firstRow="0" w:lastRow="0" w:firstColumn="0" w:lastColumn="0" w:oddVBand="0" w:evenVBand="0" w:oddHBand="1" w:evenHBand="0" w:firstRowFirstColumn="0" w:firstRowLastColumn="0" w:lastRowFirstColumn="0" w:lastRowLastColumn="0"/>
            </w:pPr>
            <w:r>
              <w:t>$1592</w:t>
            </w:r>
          </w:p>
        </w:tc>
        <w:tc>
          <w:tcPr>
            <w:tcW w:w="2338" w:type="dxa"/>
            <w:tcBorders>
              <w:bottom w:val="single" w:sz="4" w:space="0" w:color="auto"/>
              <w:right w:val="single" w:sz="4" w:space="0" w:color="auto"/>
            </w:tcBorders>
            <w:vAlign w:val="bottom"/>
          </w:tcPr>
          <w:p w14:paraId="68D715C3" w14:textId="71677235" w:rsidR="008E5AFC" w:rsidRDefault="008E5AFC" w:rsidP="008E5AF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$1,749 </w:t>
            </w:r>
          </w:p>
        </w:tc>
      </w:tr>
      <w:tr w:rsidR="00315EE9" w14:paraId="7576DB41" w14:textId="78C9C2AE" w:rsidTr="00046BDB">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nil"/>
              <w:bottom w:val="nil"/>
              <w:right w:val="nil"/>
            </w:tcBorders>
            <w:shd w:val="clear" w:color="auto" w:fill="auto"/>
          </w:tcPr>
          <w:p w14:paraId="77732050" w14:textId="77777777" w:rsidR="00315EE9" w:rsidRPr="00046BDB" w:rsidRDefault="00315EE9" w:rsidP="00315EE9">
            <w:pPr>
              <w:jc w:val="center"/>
              <w:rPr>
                <w:sz w:val="16"/>
                <w:szCs w:val="16"/>
              </w:rPr>
            </w:pPr>
          </w:p>
        </w:tc>
        <w:tc>
          <w:tcPr>
            <w:tcW w:w="2337" w:type="dxa"/>
            <w:tcBorders>
              <w:top w:val="single" w:sz="4" w:space="0" w:color="auto"/>
              <w:left w:val="nil"/>
              <w:bottom w:val="nil"/>
              <w:right w:val="nil"/>
            </w:tcBorders>
            <w:shd w:val="clear" w:color="auto" w:fill="auto"/>
          </w:tcPr>
          <w:p w14:paraId="16AB9074" w14:textId="77777777" w:rsidR="00315EE9" w:rsidRPr="00046BDB" w:rsidRDefault="00315EE9" w:rsidP="00315EE9">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38" w:type="dxa"/>
            <w:tcBorders>
              <w:top w:val="single" w:sz="4" w:space="0" w:color="auto"/>
              <w:left w:val="nil"/>
              <w:bottom w:val="nil"/>
              <w:right w:val="nil"/>
            </w:tcBorders>
            <w:shd w:val="clear" w:color="auto" w:fill="auto"/>
          </w:tcPr>
          <w:p w14:paraId="4ED1817D" w14:textId="77777777" w:rsidR="00315EE9" w:rsidRPr="00046BDB" w:rsidRDefault="00315EE9" w:rsidP="00315EE9">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2338" w:type="dxa"/>
            <w:tcBorders>
              <w:top w:val="single" w:sz="4" w:space="0" w:color="auto"/>
              <w:left w:val="nil"/>
              <w:bottom w:val="nil"/>
              <w:right w:val="nil"/>
            </w:tcBorders>
            <w:shd w:val="clear" w:color="auto" w:fill="auto"/>
          </w:tcPr>
          <w:p w14:paraId="6F3E83F8" w14:textId="77777777" w:rsidR="00315EE9" w:rsidRPr="007E3D33" w:rsidRDefault="00315EE9" w:rsidP="00315EE9">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211C132D" w14:textId="68D33374" w:rsidR="00300A9E" w:rsidRPr="00046BDB" w:rsidRDefault="000C3A31" w:rsidP="00046BDB">
      <w:bookmarkStart w:id="22" w:name="_Toc22729815"/>
      <w:r>
        <w:t xml:space="preserve">In order to normalize the difference between statewide patters and the hospital’s CTI episodes, all values are multiplied by the reciprocal of the hospital’s weight (in this case 1/0.91) at which point the </w:t>
      </w:r>
      <w:r>
        <w:lastRenderedPageBreak/>
        <w:t>average of the adjusted costs across all CTI will be equal to the average costs in the most numerous HCC strata.</w:t>
      </w:r>
      <w:r w:rsidR="005E05E9">
        <w:t xml:space="preserve"> After </w:t>
      </w:r>
      <w:r w:rsidR="00473DE4">
        <w:t xml:space="preserve">the costs are risk adjusted, the </w:t>
      </w:r>
      <w:r w:rsidR="00C43B9D">
        <w:t xml:space="preserve">target price for the CTI </w:t>
      </w:r>
      <w:r w:rsidR="001E7363">
        <w:t xml:space="preserve">will </w:t>
      </w:r>
      <w:r w:rsidR="00473DE4">
        <w:t xml:space="preserve">be calculated. </w:t>
      </w:r>
    </w:p>
    <w:p w14:paraId="4432C8DD" w14:textId="6557A878" w:rsidR="008F06AC" w:rsidRDefault="00300A9E" w:rsidP="00C60355">
      <w:pPr>
        <w:pStyle w:val="Heading4"/>
      </w:pPr>
      <w:bookmarkStart w:id="23" w:name="_Toc24993091"/>
      <w:r>
        <w:t>S</w:t>
      </w:r>
      <w:r w:rsidR="00C60355">
        <w:t>tep 3.</w:t>
      </w:r>
      <w:r w:rsidR="00840D0C">
        <w:t>C</w:t>
      </w:r>
      <w:r w:rsidR="00C60355">
        <w:t xml:space="preserve">: </w:t>
      </w:r>
      <w:bookmarkEnd w:id="22"/>
      <w:r w:rsidR="00E4430F">
        <w:t xml:space="preserve">Calculate </w:t>
      </w:r>
      <w:r w:rsidR="00EE09A5">
        <w:t>CTI Target Prices</w:t>
      </w:r>
      <w:bookmarkEnd w:id="23"/>
    </w:p>
    <w:p w14:paraId="1015D20C" w14:textId="0E1C4461" w:rsidR="008F06AC" w:rsidRDefault="00DA2265" w:rsidP="008F06AC">
      <w:r>
        <w:t xml:space="preserve">Each hospital will have a target price </w:t>
      </w:r>
      <w:r w:rsidR="00463B4F">
        <w:t xml:space="preserve">that is equal to the </w:t>
      </w:r>
      <w:r w:rsidR="008E4C36">
        <w:t xml:space="preserve">average CTI episode cost in the baseline period. </w:t>
      </w:r>
      <w:r w:rsidR="00203977">
        <w:t xml:space="preserve">Each APR-DRG &amp; SOI / HCC strata will have a difference target price. </w:t>
      </w:r>
      <w:r w:rsidR="008F06AC">
        <w:t xml:space="preserve">For example, APR-DRG 001 will be separated into the four different severity levels and the target price for each severity level will be established equal to the average update costs for all episodes in the Baseline Period that had the matching APR-DRG and severity level. A similar process will be established for the HCC strata. </w:t>
      </w:r>
      <w:r w:rsidR="006639A1">
        <w:t>I</w:t>
      </w:r>
      <w:r w:rsidR="008F06AC">
        <w:t xml:space="preserve">f the HCC is grouped into three strata that lies within &lt;0.75, 0.75-1.25, and 1.25+, then the target price for HCC scores between 0.75-1.25 would be equal to the average price for all those baseline CTI episodes that have an HCC score that lies within the indicated range. </w:t>
      </w:r>
    </w:p>
    <w:p w14:paraId="5448694D" w14:textId="76D25C2B" w:rsidR="006639A1" w:rsidRPr="00046BDB" w:rsidRDefault="006639A1" w:rsidP="008F06AC">
      <w:pPr>
        <w:rPr>
          <w:i/>
        </w:rPr>
      </w:pPr>
      <w:r w:rsidRPr="00046BDB">
        <w:rPr>
          <w:b/>
          <w:i/>
        </w:rPr>
        <w:t xml:space="preserve">Example 7. </w:t>
      </w:r>
      <w:r w:rsidRPr="00046BDB">
        <w:rPr>
          <w:i/>
        </w:rPr>
        <w:t>Calculation of Target Prices.</w:t>
      </w:r>
    </w:p>
    <w:tbl>
      <w:tblPr>
        <w:tblStyle w:val="GridTable4-Accent5"/>
        <w:tblW w:w="0" w:type="auto"/>
        <w:tblLook w:val="04A0" w:firstRow="1" w:lastRow="0" w:firstColumn="1" w:lastColumn="0" w:noHBand="0" w:noVBand="1"/>
      </w:tblPr>
      <w:tblGrid>
        <w:gridCol w:w="2337"/>
        <w:gridCol w:w="2337"/>
        <w:gridCol w:w="2338"/>
        <w:gridCol w:w="2338"/>
      </w:tblGrid>
      <w:tr w:rsidR="009F155A" w14:paraId="7AEB2FE3" w14:textId="77777777" w:rsidTr="00663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tcBorders>
          </w:tcPr>
          <w:p w14:paraId="490FECD9" w14:textId="77777777" w:rsidR="009F155A" w:rsidRDefault="009F155A" w:rsidP="006639A1">
            <w:pPr>
              <w:jc w:val="center"/>
            </w:pPr>
            <w:r>
              <w:t>Episode</w:t>
            </w:r>
          </w:p>
        </w:tc>
        <w:tc>
          <w:tcPr>
            <w:tcW w:w="2337" w:type="dxa"/>
            <w:tcBorders>
              <w:top w:val="single" w:sz="4" w:space="0" w:color="auto"/>
            </w:tcBorders>
          </w:tcPr>
          <w:p w14:paraId="02FE2384" w14:textId="77777777" w:rsidR="009F155A" w:rsidRDefault="009F155A" w:rsidP="006639A1">
            <w:pPr>
              <w:jc w:val="center"/>
              <w:cnfStyle w:val="100000000000" w:firstRow="1" w:lastRow="0" w:firstColumn="0" w:lastColumn="0" w:oddVBand="0" w:evenVBand="0" w:oddHBand="0" w:evenHBand="0" w:firstRowFirstColumn="0" w:firstRowLastColumn="0" w:lastRowFirstColumn="0" w:lastRowLastColumn="0"/>
            </w:pPr>
            <w:r>
              <w:t>HCC</w:t>
            </w:r>
          </w:p>
        </w:tc>
        <w:tc>
          <w:tcPr>
            <w:tcW w:w="2338" w:type="dxa"/>
            <w:tcBorders>
              <w:top w:val="single" w:sz="4" w:space="0" w:color="auto"/>
            </w:tcBorders>
          </w:tcPr>
          <w:p w14:paraId="6AA53AE5" w14:textId="41ABF813" w:rsidR="009F155A" w:rsidRDefault="00E12EE5" w:rsidP="006639A1">
            <w:pPr>
              <w:jc w:val="center"/>
              <w:cnfStyle w:val="100000000000" w:firstRow="1" w:lastRow="0" w:firstColumn="0" w:lastColumn="0" w:oddVBand="0" w:evenVBand="0" w:oddHBand="0" w:evenHBand="0" w:firstRowFirstColumn="0" w:firstRowLastColumn="0" w:lastRowFirstColumn="0" w:lastRowLastColumn="0"/>
            </w:pPr>
            <w:r>
              <w:t>Normalized</w:t>
            </w:r>
            <w:r w:rsidR="009F155A">
              <w:t xml:space="preserve"> Costs</w:t>
            </w:r>
          </w:p>
        </w:tc>
        <w:tc>
          <w:tcPr>
            <w:tcW w:w="2338" w:type="dxa"/>
            <w:tcBorders>
              <w:top w:val="single" w:sz="4" w:space="0" w:color="auto"/>
              <w:right w:val="single" w:sz="4" w:space="0" w:color="auto"/>
            </w:tcBorders>
          </w:tcPr>
          <w:p w14:paraId="5FD14905" w14:textId="77777777" w:rsidR="009F155A" w:rsidRDefault="009F155A" w:rsidP="006639A1">
            <w:pPr>
              <w:jc w:val="center"/>
              <w:cnfStyle w:val="100000000000" w:firstRow="1" w:lastRow="0" w:firstColumn="0" w:lastColumn="0" w:oddVBand="0" w:evenVBand="0" w:oddHBand="0" w:evenHBand="0" w:firstRowFirstColumn="0" w:firstRowLastColumn="0" w:lastRowFirstColumn="0" w:lastRowLastColumn="0"/>
            </w:pPr>
            <w:r>
              <w:t>Target Price</w:t>
            </w:r>
          </w:p>
        </w:tc>
      </w:tr>
      <w:tr w:rsidR="00E12EE5" w14:paraId="179E2A2E" w14:textId="77777777" w:rsidTr="0040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2B9906F6" w14:textId="77777777" w:rsidR="00E12EE5" w:rsidRPr="00603A0F" w:rsidRDefault="00E12EE5" w:rsidP="00E12EE5">
            <w:pPr>
              <w:jc w:val="center"/>
              <w:rPr>
                <w:b w:val="0"/>
                <w:bCs w:val="0"/>
              </w:rPr>
            </w:pPr>
            <w:r w:rsidRPr="00CC61BB">
              <w:t>E001</w:t>
            </w:r>
          </w:p>
        </w:tc>
        <w:tc>
          <w:tcPr>
            <w:tcW w:w="2337" w:type="dxa"/>
          </w:tcPr>
          <w:p w14:paraId="28ACC9A2" w14:textId="3E532F2D"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sidRPr="005A668B">
              <w:t>&lt;0.75</w:t>
            </w:r>
          </w:p>
        </w:tc>
        <w:tc>
          <w:tcPr>
            <w:tcW w:w="2338" w:type="dxa"/>
            <w:vAlign w:val="bottom"/>
          </w:tcPr>
          <w:p w14:paraId="07C02385" w14:textId="65861283"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$730 </w:t>
            </w:r>
          </w:p>
        </w:tc>
        <w:tc>
          <w:tcPr>
            <w:tcW w:w="2338" w:type="dxa"/>
            <w:vMerge w:val="restart"/>
            <w:tcBorders>
              <w:right w:val="single" w:sz="4" w:space="0" w:color="auto"/>
            </w:tcBorders>
            <w:shd w:val="clear" w:color="auto" w:fill="auto"/>
            <w:vAlign w:val="center"/>
          </w:tcPr>
          <w:p w14:paraId="711F6CB8" w14:textId="77777777" w:rsidR="00E12EE5" w:rsidRDefault="00E12EE5" w:rsidP="00406F38">
            <w:pPr>
              <w:jc w:val="center"/>
              <w:cnfStyle w:val="000000100000" w:firstRow="0" w:lastRow="0" w:firstColumn="0" w:lastColumn="0" w:oddVBand="0" w:evenVBand="0" w:oddHBand="1" w:evenHBand="0" w:firstRowFirstColumn="0" w:firstRowLastColumn="0" w:lastRowFirstColumn="0" w:lastRowLastColumn="0"/>
            </w:pPr>
            <w:r>
              <w:t>Average =</w:t>
            </w:r>
          </w:p>
          <w:p w14:paraId="5D9AD304" w14:textId="16401092" w:rsidR="00E12EE5" w:rsidRDefault="00406F38" w:rsidP="00406F38">
            <w:pPr>
              <w:jc w:val="center"/>
              <w:cnfStyle w:val="000000100000" w:firstRow="0" w:lastRow="0" w:firstColumn="0" w:lastColumn="0" w:oddVBand="0" w:evenVBand="0" w:oddHBand="1" w:evenHBand="0" w:firstRowFirstColumn="0" w:firstRowLastColumn="0" w:lastRowFirstColumn="0" w:lastRowLastColumn="0"/>
            </w:pPr>
            <w:r>
              <w:t>$925</w:t>
            </w:r>
          </w:p>
        </w:tc>
      </w:tr>
      <w:tr w:rsidR="00E12EE5" w14:paraId="34B2D412" w14:textId="77777777" w:rsidTr="00406F38">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29C4E581" w14:textId="77777777" w:rsidR="00E12EE5" w:rsidRPr="00603A0F" w:rsidRDefault="00E12EE5" w:rsidP="00E12EE5">
            <w:pPr>
              <w:jc w:val="center"/>
              <w:rPr>
                <w:b w:val="0"/>
                <w:bCs w:val="0"/>
              </w:rPr>
            </w:pPr>
            <w:r w:rsidRPr="00CC61BB">
              <w:t>E002</w:t>
            </w:r>
          </w:p>
        </w:tc>
        <w:tc>
          <w:tcPr>
            <w:tcW w:w="2337" w:type="dxa"/>
          </w:tcPr>
          <w:p w14:paraId="01A54196" w14:textId="4357E706"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sidRPr="005A668B">
              <w:t>&lt;0.75</w:t>
            </w:r>
          </w:p>
        </w:tc>
        <w:tc>
          <w:tcPr>
            <w:tcW w:w="2338" w:type="dxa"/>
            <w:vAlign w:val="bottom"/>
          </w:tcPr>
          <w:p w14:paraId="3BD1C20D" w14:textId="68F65068"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$833 </w:t>
            </w:r>
          </w:p>
        </w:tc>
        <w:tc>
          <w:tcPr>
            <w:tcW w:w="2338" w:type="dxa"/>
            <w:vMerge/>
            <w:tcBorders>
              <w:right w:val="single" w:sz="4" w:space="0" w:color="auto"/>
            </w:tcBorders>
            <w:shd w:val="clear" w:color="auto" w:fill="auto"/>
            <w:vAlign w:val="center"/>
          </w:tcPr>
          <w:p w14:paraId="790E4D27" w14:textId="77777777" w:rsidR="00E12EE5" w:rsidRDefault="00E12EE5" w:rsidP="00406F38">
            <w:pPr>
              <w:jc w:val="center"/>
              <w:cnfStyle w:val="000000000000" w:firstRow="0" w:lastRow="0" w:firstColumn="0" w:lastColumn="0" w:oddVBand="0" w:evenVBand="0" w:oddHBand="0" w:evenHBand="0" w:firstRowFirstColumn="0" w:firstRowLastColumn="0" w:lastRowFirstColumn="0" w:lastRowLastColumn="0"/>
            </w:pPr>
          </w:p>
        </w:tc>
      </w:tr>
      <w:tr w:rsidR="00E12EE5" w14:paraId="1B3DCDF5" w14:textId="77777777" w:rsidTr="0040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4B7E769A" w14:textId="77777777" w:rsidR="00E12EE5" w:rsidRPr="00603A0F" w:rsidRDefault="00E12EE5" w:rsidP="00E12EE5">
            <w:pPr>
              <w:jc w:val="center"/>
              <w:rPr>
                <w:b w:val="0"/>
                <w:bCs w:val="0"/>
              </w:rPr>
            </w:pPr>
            <w:r w:rsidRPr="00CC61BB">
              <w:t>E003</w:t>
            </w:r>
          </w:p>
        </w:tc>
        <w:tc>
          <w:tcPr>
            <w:tcW w:w="2337" w:type="dxa"/>
          </w:tcPr>
          <w:p w14:paraId="4D98D766" w14:textId="18832BD6"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sidRPr="005A668B">
              <w:t>&lt;0.75</w:t>
            </w:r>
          </w:p>
        </w:tc>
        <w:tc>
          <w:tcPr>
            <w:tcW w:w="2338" w:type="dxa"/>
            <w:vAlign w:val="bottom"/>
          </w:tcPr>
          <w:p w14:paraId="7B8C3BA4" w14:textId="2064BD0E"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$1,211 </w:t>
            </w:r>
          </w:p>
        </w:tc>
        <w:tc>
          <w:tcPr>
            <w:tcW w:w="2338" w:type="dxa"/>
            <w:vMerge/>
            <w:tcBorders>
              <w:right w:val="single" w:sz="4" w:space="0" w:color="auto"/>
            </w:tcBorders>
            <w:shd w:val="clear" w:color="auto" w:fill="auto"/>
            <w:vAlign w:val="center"/>
          </w:tcPr>
          <w:p w14:paraId="4DD90FBE" w14:textId="77777777" w:rsidR="00E12EE5" w:rsidRDefault="00E12EE5" w:rsidP="00406F38">
            <w:pPr>
              <w:jc w:val="center"/>
              <w:cnfStyle w:val="000000100000" w:firstRow="0" w:lastRow="0" w:firstColumn="0" w:lastColumn="0" w:oddVBand="0" w:evenVBand="0" w:oddHBand="1" w:evenHBand="0" w:firstRowFirstColumn="0" w:firstRowLastColumn="0" w:lastRowFirstColumn="0" w:lastRowLastColumn="0"/>
            </w:pPr>
          </w:p>
        </w:tc>
      </w:tr>
      <w:tr w:rsidR="00E12EE5" w14:paraId="5A33DB61" w14:textId="77777777" w:rsidTr="00406F38">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2D12F2FE" w14:textId="77777777" w:rsidR="00E12EE5" w:rsidRPr="00603A0F" w:rsidRDefault="00E12EE5" w:rsidP="00E12EE5">
            <w:pPr>
              <w:jc w:val="center"/>
              <w:rPr>
                <w:b w:val="0"/>
                <w:bCs w:val="0"/>
              </w:rPr>
            </w:pPr>
            <w:r w:rsidRPr="00CC61BB">
              <w:t>E004</w:t>
            </w:r>
          </w:p>
        </w:tc>
        <w:tc>
          <w:tcPr>
            <w:tcW w:w="2337" w:type="dxa"/>
          </w:tcPr>
          <w:p w14:paraId="4B00BC96" w14:textId="4B04C1FF"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sidRPr="00C0677C">
              <w:t>0.75-1.25</w:t>
            </w:r>
          </w:p>
        </w:tc>
        <w:tc>
          <w:tcPr>
            <w:tcW w:w="2338" w:type="dxa"/>
            <w:vAlign w:val="bottom"/>
          </w:tcPr>
          <w:p w14:paraId="764F96D0" w14:textId="767F838C"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$1,891 </w:t>
            </w:r>
          </w:p>
        </w:tc>
        <w:tc>
          <w:tcPr>
            <w:tcW w:w="2338" w:type="dxa"/>
            <w:vMerge w:val="restart"/>
            <w:tcBorders>
              <w:right w:val="single" w:sz="4" w:space="0" w:color="auto"/>
            </w:tcBorders>
            <w:shd w:val="clear" w:color="auto" w:fill="D9E2F3"/>
            <w:vAlign w:val="center"/>
          </w:tcPr>
          <w:p w14:paraId="66599EF9" w14:textId="77777777" w:rsidR="00E12EE5" w:rsidRDefault="00E12EE5" w:rsidP="00406F38">
            <w:pPr>
              <w:jc w:val="center"/>
              <w:cnfStyle w:val="000000000000" w:firstRow="0" w:lastRow="0" w:firstColumn="0" w:lastColumn="0" w:oddVBand="0" w:evenVBand="0" w:oddHBand="0" w:evenHBand="0" w:firstRowFirstColumn="0" w:firstRowLastColumn="0" w:lastRowFirstColumn="0" w:lastRowLastColumn="0"/>
            </w:pPr>
            <w:r>
              <w:t>Average =</w:t>
            </w:r>
          </w:p>
          <w:p w14:paraId="1734A893" w14:textId="31877612" w:rsidR="00E12EE5" w:rsidRDefault="00AE00E9" w:rsidP="00406F38">
            <w:pPr>
              <w:jc w:val="center"/>
              <w:cnfStyle w:val="000000000000" w:firstRow="0" w:lastRow="0" w:firstColumn="0" w:lastColumn="0" w:oddVBand="0" w:evenVBand="0" w:oddHBand="0" w:evenHBand="0" w:firstRowFirstColumn="0" w:firstRowLastColumn="0" w:lastRowFirstColumn="0" w:lastRowLastColumn="0"/>
            </w:pPr>
            <w:r>
              <w:t>$1903</w:t>
            </w:r>
          </w:p>
        </w:tc>
      </w:tr>
      <w:tr w:rsidR="00E12EE5" w14:paraId="72F211DC" w14:textId="77777777" w:rsidTr="0040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1273F920" w14:textId="77777777" w:rsidR="00E12EE5" w:rsidRPr="00603A0F" w:rsidRDefault="00E12EE5" w:rsidP="00E12EE5">
            <w:pPr>
              <w:jc w:val="center"/>
              <w:rPr>
                <w:b w:val="0"/>
                <w:bCs w:val="0"/>
              </w:rPr>
            </w:pPr>
            <w:r w:rsidRPr="00CC61BB">
              <w:t>E005</w:t>
            </w:r>
          </w:p>
        </w:tc>
        <w:tc>
          <w:tcPr>
            <w:tcW w:w="2337" w:type="dxa"/>
          </w:tcPr>
          <w:p w14:paraId="0628EEC9" w14:textId="7B275D43"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sidRPr="00C0677C">
              <w:t>0.75-1.25</w:t>
            </w:r>
          </w:p>
        </w:tc>
        <w:tc>
          <w:tcPr>
            <w:tcW w:w="2338" w:type="dxa"/>
            <w:vAlign w:val="bottom"/>
          </w:tcPr>
          <w:p w14:paraId="6B5D444C" w14:textId="69EEDF0B"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$1,430 </w:t>
            </w:r>
          </w:p>
        </w:tc>
        <w:tc>
          <w:tcPr>
            <w:tcW w:w="2338" w:type="dxa"/>
            <w:vMerge/>
            <w:tcBorders>
              <w:right w:val="single" w:sz="4" w:space="0" w:color="auto"/>
            </w:tcBorders>
            <w:shd w:val="clear" w:color="auto" w:fill="D9E2F3"/>
            <w:vAlign w:val="center"/>
          </w:tcPr>
          <w:p w14:paraId="7412090C" w14:textId="77777777" w:rsidR="00E12EE5" w:rsidRDefault="00E12EE5" w:rsidP="00406F38">
            <w:pPr>
              <w:jc w:val="center"/>
              <w:cnfStyle w:val="000000100000" w:firstRow="0" w:lastRow="0" w:firstColumn="0" w:lastColumn="0" w:oddVBand="0" w:evenVBand="0" w:oddHBand="1" w:evenHBand="0" w:firstRowFirstColumn="0" w:firstRowLastColumn="0" w:lastRowFirstColumn="0" w:lastRowLastColumn="0"/>
            </w:pPr>
          </w:p>
        </w:tc>
      </w:tr>
      <w:tr w:rsidR="00E12EE5" w14:paraId="37C7EA42" w14:textId="77777777" w:rsidTr="00406F38">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4BA4128B" w14:textId="77777777" w:rsidR="00E12EE5" w:rsidRPr="00603A0F" w:rsidRDefault="00E12EE5" w:rsidP="00E12EE5">
            <w:pPr>
              <w:jc w:val="center"/>
              <w:rPr>
                <w:b w:val="0"/>
                <w:bCs w:val="0"/>
              </w:rPr>
            </w:pPr>
            <w:r w:rsidRPr="00CC61BB">
              <w:t>E006</w:t>
            </w:r>
          </w:p>
        </w:tc>
        <w:tc>
          <w:tcPr>
            <w:tcW w:w="2337" w:type="dxa"/>
          </w:tcPr>
          <w:p w14:paraId="70682E71" w14:textId="02371120"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sidRPr="00C0677C">
              <w:t>0.75-1.25</w:t>
            </w:r>
          </w:p>
        </w:tc>
        <w:tc>
          <w:tcPr>
            <w:tcW w:w="2338" w:type="dxa"/>
            <w:vAlign w:val="bottom"/>
          </w:tcPr>
          <w:p w14:paraId="67CA9DFC" w14:textId="5B627DD5"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$2,040 </w:t>
            </w:r>
          </w:p>
        </w:tc>
        <w:tc>
          <w:tcPr>
            <w:tcW w:w="2338" w:type="dxa"/>
            <w:vMerge/>
            <w:tcBorders>
              <w:right w:val="single" w:sz="4" w:space="0" w:color="auto"/>
            </w:tcBorders>
            <w:shd w:val="clear" w:color="auto" w:fill="D9E2F3"/>
            <w:vAlign w:val="center"/>
          </w:tcPr>
          <w:p w14:paraId="631BACFA" w14:textId="77777777" w:rsidR="00E12EE5" w:rsidRDefault="00E12EE5" w:rsidP="00406F38">
            <w:pPr>
              <w:jc w:val="center"/>
              <w:cnfStyle w:val="000000000000" w:firstRow="0" w:lastRow="0" w:firstColumn="0" w:lastColumn="0" w:oddVBand="0" w:evenVBand="0" w:oddHBand="0" w:evenHBand="0" w:firstRowFirstColumn="0" w:firstRowLastColumn="0" w:lastRowFirstColumn="0" w:lastRowLastColumn="0"/>
            </w:pPr>
          </w:p>
        </w:tc>
      </w:tr>
      <w:tr w:rsidR="00E12EE5" w14:paraId="7547C581" w14:textId="77777777" w:rsidTr="00406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0B72ADFC" w14:textId="77777777" w:rsidR="00E12EE5" w:rsidRPr="00603A0F" w:rsidRDefault="00E12EE5" w:rsidP="00E12EE5">
            <w:pPr>
              <w:jc w:val="center"/>
            </w:pPr>
            <w:r w:rsidRPr="00603A0F">
              <w:rPr>
                <w:bCs w:val="0"/>
              </w:rPr>
              <w:t>E007</w:t>
            </w:r>
          </w:p>
        </w:tc>
        <w:tc>
          <w:tcPr>
            <w:tcW w:w="2337" w:type="dxa"/>
          </w:tcPr>
          <w:p w14:paraId="49896560" w14:textId="1F50F921"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sidRPr="00C0677C">
              <w:t>0.75-1.25</w:t>
            </w:r>
          </w:p>
        </w:tc>
        <w:tc>
          <w:tcPr>
            <w:tcW w:w="2338" w:type="dxa"/>
            <w:vAlign w:val="bottom"/>
          </w:tcPr>
          <w:p w14:paraId="370302FF" w14:textId="593F8280"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$2,252 </w:t>
            </w:r>
          </w:p>
        </w:tc>
        <w:tc>
          <w:tcPr>
            <w:tcW w:w="2338" w:type="dxa"/>
            <w:vMerge/>
            <w:tcBorders>
              <w:right w:val="single" w:sz="4" w:space="0" w:color="auto"/>
            </w:tcBorders>
            <w:shd w:val="clear" w:color="auto" w:fill="D9E2F3"/>
            <w:vAlign w:val="center"/>
          </w:tcPr>
          <w:p w14:paraId="0996B26D" w14:textId="77777777" w:rsidR="00E12EE5" w:rsidRDefault="00E12EE5" w:rsidP="00406F38">
            <w:pPr>
              <w:jc w:val="center"/>
              <w:cnfStyle w:val="000000100000" w:firstRow="0" w:lastRow="0" w:firstColumn="0" w:lastColumn="0" w:oddVBand="0" w:evenVBand="0" w:oddHBand="1" w:evenHBand="0" w:firstRowFirstColumn="0" w:firstRowLastColumn="0" w:lastRowFirstColumn="0" w:lastRowLastColumn="0"/>
            </w:pPr>
          </w:p>
        </w:tc>
      </w:tr>
      <w:tr w:rsidR="00E12EE5" w14:paraId="54229B19" w14:textId="77777777" w:rsidTr="00406F38">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5D70D1C2" w14:textId="77777777" w:rsidR="00E12EE5" w:rsidRPr="00603A0F" w:rsidRDefault="00E12EE5" w:rsidP="00E12EE5">
            <w:pPr>
              <w:jc w:val="center"/>
              <w:rPr>
                <w:bCs w:val="0"/>
              </w:rPr>
            </w:pPr>
            <w:r w:rsidRPr="00603A0F">
              <w:rPr>
                <w:bCs w:val="0"/>
              </w:rPr>
              <w:t>E008</w:t>
            </w:r>
          </w:p>
        </w:tc>
        <w:tc>
          <w:tcPr>
            <w:tcW w:w="2337" w:type="dxa"/>
          </w:tcPr>
          <w:p w14:paraId="4C2BEEE5" w14:textId="34685929"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sidRPr="003C492C">
              <w:t>&gt;1.25</w:t>
            </w:r>
          </w:p>
        </w:tc>
        <w:tc>
          <w:tcPr>
            <w:tcW w:w="2338" w:type="dxa"/>
            <w:vAlign w:val="bottom"/>
          </w:tcPr>
          <w:p w14:paraId="4C78A4DA" w14:textId="2CA0FFD0"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$2,408 </w:t>
            </w:r>
          </w:p>
        </w:tc>
        <w:tc>
          <w:tcPr>
            <w:tcW w:w="2338" w:type="dxa"/>
            <w:vMerge w:val="restart"/>
            <w:tcBorders>
              <w:right w:val="single" w:sz="4" w:space="0" w:color="auto"/>
            </w:tcBorders>
            <w:vAlign w:val="center"/>
          </w:tcPr>
          <w:p w14:paraId="4B591AFB" w14:textId="77777777" w:rsidR="00E12EE5" w:rsidRDefault="00E12EE5" w:rsidP="00406F38">
            <w:pPr>
              <w:jc w:val="center"/>
              <w:cnfStyle w:val="000000000000" w:firstRow="0" w:lastRow="0" w:firstColumn="0" w:lastColumn="0" w:oddVBand="0" w:evenVBand="0" w:oddHBand="0" w:evenHBand="0" w:firstRowFirstColumn="0" w:firstRowLastColumn="0" w:lastRowFirstColumn="0" w:lastRowLastColumn="0"/>
            </w:pPr>
            <w:r>
              <w:t>Average =</w:t>
            </w:r>
          </w:p>
          <w:p w14:paraId="346CFC94" w14:textId="2C2E51FE" w:rsidR="00E12EE5" w:rsidRDefault="00AE00E9" w:rsidP="00406F38">
            <w:pPr>
              <w:jc w:val="center"/>
              <w:cnfStyle w:val="000000000000" w:firstRow="0" w:lastRow="0" w:firstColumn="0" w:lastColumn="0" w:oddVBand="0" w:evenVBand="0" w:oddHBand="0" w:evenHBand="0" w:firstRowFirstColumn="0" w:firstRowLastColumn="0" w:lastRowFirstColumn="0" w:lastRowLastColumn="0"/>
            </w:pPr>
            <w:r>
              <w:t>$2483</w:t>
            </w:r>
          </w:p>
        </w:tc>
      </w:tr>
      <w:tr w:rsidR="00E12EE5" w14:paraId="1C109226"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tcBorders>
          </w:tcPr>
          <w:p w14:paraId="4EA4E60C" w14:textId="77777777" w:rsidR="00E12EE5" w:rsidRPr="00603A0F" w:rsidRDefault="00E12EE5" w:rsidP="00E12EE5">
            <w:pPr>
              <w:jc w:val="center"/>
              <w:rPr>
                <w:bCs w:val="0"/>
              </w:rPr>
            </w:pPr>
            <w:r w:rsidRPr="00603A0F">
              <w:rPr>
                <w:bCs w:val="0"/>
              </w:rPr>
              <w:t>E009</w:t>
            </w:r>
          </w:p>
        </w:tc>
        <w:tc>
          <w:tcPr>
            <w:tcW w:w="2337" w:type="dxa"/>
          </w:tcPr>
          <w:p w14:paraId="271A3DA4" w14:textId="5A912305"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sidRPr="003C492C">
              <w:t>&gt;1.25</w:t>
            </w:r>
          </w:p>
        </w:tc>
        <w:tc>
          <w:tcPr>
            <w:tcW w:w="2338" w:type="dxa"/>
            <w:vAlign w:val="bottom"/>
          </w:tcPr>
          <w:p w14:paraId="34BB89E8" w14:textId="25A980F6"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 xml:space="preserve">$3,292 </w:t>
            </w:r>
          </w:p>
        </w:tc>
        <w:tc>
          <w:tcPr>
            <w:tcW w:w="2338" w:type="dxa"/>
            <w:vMerge/>
            <w:tcBorders>
              <w:right w:val="single" w:sz="4" w:space="0" w:color="auto"/>
            </w:tcBorders>
          </w:tcPr>
          <w:p w14:paraId="19A64E25" w14:textId="77777777" w:rsidR="00E12EE5" w:rsidRDefault="00E12EE5" w:rsidP="00E12EE5">
            <w:pPr>
              <w:jc w:val="center"/>
              <w:cnfStyle w:val="000000100000" w:firstRow="0" w:lastRow="0" w:firstColumn="0" w:lastColumn="0" w:oddVBand="0" w:evenVBand="0" w:oddHBand="1" w:evenHBand="0" w:firstRowFirstColumn="0" w:firstRowLastColumn="0" w:lastRowFirstColumn="0" w:lastRowLastColumn="0"/>
            </w:pPr>
          </w:p>
        </w:tc>
      </w:tr>
      <w:tr w:rsidR="00E12EE5" w14:paraId="7204BB06" w14:textId="77777777" w:rsidTr="00046BDB">
        <w:tc>
          <w:tcPr>
            <w:cnfStyle w:val="001000000000" w:firstRow="0" w:lastRow="0" w:firstColumn="1" w:lastColumn="0" w:oddVBand="0" w:evenVBand="0" w:oddHBand="0" w:evenHBand="0" w:firstRowFirstColumn="0" w:firstRowLastColumn="0" w:lastRowFirstColumn="0" w:lastRowLastColumn="0"/>
            <w:tcW w:w="2337" w:type="dxa"/>
            <w:tcBorders>
              <w:left w:val="single" w:sz="4" w:space="0" w:color="auto"/>
              <w:bottom w:val="single" w:sz="4" w:space="0" w:color="auto"/>
            </w:tcBorders>
          </w:tcPr>
          <w:p w14:paraId="42C371D4" w14:textId="77777777" w:rsidR="00E12EE5" w:rsidRPr="00603A0F" w:rsidRDefault="00E12EE5" w:rsidP="00E12EE5">
            <w:pPr>
              <w:jc w:val="center"/>
              <w:rPr>
                <w:bCs w:val="0"/>
              </w:rPr>
            </w:pPr>
            <w:r w:rsidRPr="00603A0F">
              <w:rPr>
                <w:bCs w:val="0"/>
              </w:rPr>
              <w:t>E010</w:t>
            </w:r>
          </w:p>
        </w:tc>
        <w:tc>
          <w:tcPr>
            <w:tcW w:w="2337" w:type="dxa"/>
            <w:tcBorders>
              <w:bottom w:val="single" w:sz="4" w:space="0" w:color="auto"/>
            </w:tcBorders>
          </w:tcPr>
          <w:p w14:paraId="5EF2AA6E" w14:textId="54BBD19D"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sidRPr="003C492C">
              <w:t>&gt;1.25</w:t>
            </w:r>
          </w:p>
        </w:tc>
        <w:tc>
          <w:tcPr>
            <w:tcW w:w="2338" w:type="dxa"/>
            <w:tcBorders>
              <w:bottom w:val="single" w:sz="4" w:space="0" w:color="auto"/>
            </w:tcBorders>
            <w:vAlign w:val="bottom"/>
          </w:tcPr>
          <w:p w14:paraId="1E8124B1" w14:textId="3CB5CC62"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 xml:space="preserve">$1,749 </w:t>
            </w:r>
          </w:p>
        </w:tc>
        <w:tc>
          <w:tcPr>
            <w:tcW w:w="2338" w:type="dxa"/>
            <w:vMerge/>
            <w:tcBorders>
              <w:bottom w:val="single" w:sz="4" w:space="0" w:color="auto"/>
              <w:right w:val="single" w:sz="4" w:space="0" w:color="auto"/>
            </w:tcBorders>
          </w:tcPr>
          <w:p w14:paraId="5B694EE6" w14:textId="77777777" w:rsidR="00E12EE5" w:rsidRDefault="00E12EE5" w:rsidP="00E12EE5">
            <w:pPr>
              <w:jc w:val="center"/>
              <w:cnfStyle w:val="000000000000" w:firstRow="0" w:lastRow="0" w:firstColumn="0" w:lastColumn="0" w:oddVBand="0" w:evenVBand="0" w:oddHBand="0" w:evenHBand="0" w:firstRowFirstColumn="0" w:firstRowLastColumn="0" w:lastRowFirstColumn="0" w:lastRowLastColumn="0"/>
            </w:pPr>
          </w:p>
        </w:tc>
      </w:tr>
      <w:tr w:rsidR="009F155A" w14:paraId="5AE792FF" w14:textId="77777777" w:rsidTr="00663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nil"/>
              <w:bottom w:val="nil"/>
              <w:right w:val="nil"/>
            </w:tcBorders>
            <w:shd w:val="clear" w:color="auto" w:fill="auto"/>
          </w:tcPr>
          <w:p w14:paraId="3A87BD7B" w14:textId="77777777" w:rsidR="009F155A" w:rsidRPr="00603A0F" w:rsidRDefault="009F155A" w:rsidP="006639A1">
            <w:pPr>
              <w:jc w:val="center"/>
              <w:rPr>
                <w:sz w:val="16"/>
                <w:szCs w:val="16"/>
              </w:rPr>
            </w:pPr>
          </w:p>
        </w:tc>
        <w:tc>
          <w:tcPr>
            <w:tcW w:w="2337" w:type="dxa"/>
            <w:tcBorders>
              <w:top w:val="single" w:sz="4" w:space="0" w:color="auto"/>
              <w:left w:val="nil"/>
              <w:bottom w:val="nil"/>
              <w:right w:val="nil"/>
            </w:tcBorders>
            <w:shd w:val="clear" w:color="auto" w:fill="auto"/>
          </w:tcPr>
          <w:p w14:paraId="047CEB88" w14:textId="77777777" w:rsidR="009F155A" w:rsidRPr="00603A0F" w:rsidRDefault="009F155A" w:rsidP="006639A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38" w:type="dxa"/>
            <w:tcBorders>
              <w:top w:val="single" w:sz="4" w:space="0" w:color="auto"/>
              <w:left w:val="nil"/>
              <w:bottom w:val="nil"/>
              <w:right w:val="nil"/>
            </w:tcBorders>
            <w:shd w:val="clear" w:color="auto" w:fill="auto"/>
          </w:tcPr>
          <w:p w14:paraId="47647DB3" w14:textId="77777777" w:rsidR="009F155A" w:rsidRPr="00603A0F" w:rsidRDefault="009F155A" w:rsidP="006639A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2338" w:type="dxa"/>
            <w:tcBorders>
              <w:top w:val="single" w:sz="4" w:space="0" w:color="auto"/>
              <w:left w:val="nil"/>
              <w:bottom w:val="nil"/>
              <w:right w:val="nil"/>
            </w:tcBorders>
            <w:shd w:val="clear" w:color="auto" w:fill="auto"/>
          </w:tcPr>
          <w:p w14:paraId="753705D4" w14:textId="77777777" w:rsidR="009F155A" w:rsidRPr="00603A0F" w:rsidRDefault="009F155A" w:rsidP="006639A1">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02FEF10E" w14:textId="316E8175" w:rsidR="00027C08" w:rsidRPr="00046BDB" w:rsidRDefault="001C2F2D" w:rsidP="00046BDB">
      <w:pPr>
        <w:rPr>
          <w:rFonts w:cstheme="minorHAnsi"/>
        </w:rPr>
      </w:pPr>
      <w:r w:rsidRPr="00046BDB">
        <w:rPr>
          <w:rFonts w:cstheme="minorHAnsi"/>
        </w:rPr>
        <w:t xml:space="preserve">Hospitals will receive a single preliminary target price </w:t>
      </w:r>
      <w:r w:rsidR="003D385F" w:rsidRPr="00046BDB">
        <w:rPr>
          <w:rFonts w:cstheme="minorHAnsi"/>
        </w:rPr>
        <w:t xml:space="preserve">for their CTI, which is equal to the weighted average of the target prices for each APR-DRG &amp; SOI / HCC strata. </w:t>
      </w:r>
      <w:r w:rsidR="00C74565" w:rsidRPr="00046BDB">
        <w:rPr>
          <w:rFonts w:cstheme="minorHAnsi"/>
        </w:rPr>
        <w:t xml:space="preserve">However, hospitals should be aware that the weights will be updated using the performance period utilization in each APR-DRG &amp; SOI / HCC strata. </w:t>
      </w:r>
      <w:r w:rsidR="006860E8" w:rsidRPr="00046BDB">
        <w:rPr>
          <w:rFonts w:cstheme="minorHAnsi"/>
        </w:rPr>
        <w:t xml:space="preserve">This process is necessary to adjust for changes in case mix that occur between the </w:t>
      </w:r>
      <w:r w:rsidR="00AE3CF9" w:rsidRPr="00046BDB">
        <w:rPr>
          <w:rFonts w:cstheme="minorHAnsi"/>
        </w:rPr>
        <w:t xml:space="preserve">baseline period and the performance period. </w:t>
      </w:r>
      <w:r w:rsidR="00D64BD9" w:rsidRPr="00046BDB">
        <w:rPr>
          <w:rFonts w:cstheme="minorHAnsi"/>
        </w:rPr>
        <w:t xml:space="preserve">In this example, the preliminary target price is based on 3 cases in the 1st strata, 4 </w:t>
      </w:r>
      <w:r w:rsidR="004803A0" w:rsidRPr="00046BDB">
        <w:rPr>
          <w:rFonts w:cstheme="minorHAnsi"/>
        </w:rPr>
        <w:t xml:space="preserve">cases </w:t>
      </w:r>
      <w:r w:rsidR="00D64BD9" w:rsidRPr="00046BDB">
        <w:rPr>
          <w:rFonts w:cstheme="minorHAnsi"/>
        </w:rPr>
        <w:t>in the 2nd strata, and 3</w:t>
      </w:r>
      <w:r w:rsidR="004803A0" w:rsidRPr="00046BDB">
        <w:rPr>
          <w:rFonts w:cstheme="minorHAnsi"/>
        </w:rPr>
        <w:t xml:space="preserve"> cases</w:t>
      </w:r>
      <w:r w:rsidR="00D64BD9" w:rsidRPr="00046BDB">
        <w:rPr>
          <w:rFonts w:cstheme="minorHAnsi"/>
        </w:rPr>
        <w:t xml:space="preserve"> in the </w:t>
      </w:r>
      <w:r w:rsidR="00085417" w:rsidRPr="00046BDB">
        <w:rPr>
          <w:rFonts w:cstheme="minorHAnsi"/>
        </w:rPr>
        <w:t xml:space="preserve">3rd </w:t>
      </w:r>
      <w:r w:rsidR="00D64BD9" w:rsidRPr="00046BDB">
        <w:rPr>
          <w:rFonts w:cstheme="minorHAnsi"/>
        </w:rPr>
        <w:t xml:space="preserve">strata. </w:t>
      </w:r>
    </w:p>
    <w:p w14:paraId="3EDF1719" w14:textId="0972482F" w:rsidR="006639A1" w:rsidRPr="00046BDB" w:rsidRDefault="00085417" w:rsidP="00046BDB">
      <w:pPr>
        <w:rPr>
          <w:rFonts w:cstheme="minorHAnsi"/>
        </w:rPr>
      </w:pPr>
      <w:r w:rsidRPr="00046BDB">
        <w:rPr>
          <w:rFonts w:cstheme="minorHAnsi"/>
        </w:rPr>
        <w:t xml:space="preserve">If the distribution of cases changes in the performance period (such as gaining two cases in the 1st strata and losing two cases in the 3rd strata) </w:t>
      </w:r>
      <w:r w:rsidR="00C93FBC" w:rsidRPr="00046BDB">
        <w:rPr>
          <w:rFonts w:cstheme="minorHAnsi"/>
        </w:rPr>
        <w:t xml:space="preserve">then the final target price </w:t>
      </w:r>
      <w:r w:rsidR="001C0A00" w:rsidRPr="00046BDB">
        <w:rPr>
          <w:rFonts w:cstheme="minorHAnsi"/>
        </w:rPr>
        <w:t xml:space="preserve">will be different than the preliminary target price. </w:t>
      </w:r>
      <w:r w:rsidR="00E8324B" w:rsidRPr="00046BDB">
        <w:rPr>
          <w:rFonts w:cstheme="minorHAnsi"/>
        </w:rPr>
        <w:t xml:space="preserve">Hospitals should be aware that the final target will always be based on </w:t>
      </w:r>
      <w:r w:rsidR="00E604C3" w:rsidRPr="00046BDB">
        <w:rPr>
          <w:rFonts w:cstheme="minorHAnsi"/>
        </w:rPr>
        <w:t xml:space="preserve">baseline period target prices </w:t>
      </w:r>
      <w:r w:rsidR="00295C81" w:rsidRPr="00046BDB">
        <w:rPr>
          <w:rFonts w:cstheme="minorHAnsi"/>
        </w:rPr>
        <w:t xml:space="preserve">for each APR-DRG &amp; SOI / HCC strata and weights equal to the </w:t>
      </w:r>
      <w:r w:rsidR="00FD165C" w:rsidRPr="00046BDB">
        <w:rPr>
          <w:rFonts w:cstheme="minorHAnsi"/>
        </w:rPr>
        <w:t xml:space="preserve">number of cases in each strata during the performance year. </w:t>
      </w:r>
    </w:p>
    <w:p w14:paraId="3D72CA44" w14:textId="48EB8755" w:rsidR="00CA4F88" w:rsidRDefault="006639A1" w:rsidP="00EF1607">
      <w:pPr>
        <w:pStyle w:val="Heading3"/>
      </w:pPr>
      <w:bookmarkStart w:id="24" w:name="_Toc24993092"/>
      <w:r>
        <w:t>St</w:t>
      </w:r>
      <w:r w:rsidR="00BC732F">
        <w:t>ep 4</w:t>
      </w:r>
      <w:r w:rsidR="00CA4F88">
        <w:t xml:space="preserve">: </w:t>
      </w:r>
      <w:r w:rsidR="00542E91">
        <w:t xml:space="preserve">Calculation of the </w:t>
      </w:r>
      <w:r w:rsidR="00CA4F88" w:rsidRPr="00CA4F88">
        <w:t>Reconciliation Payment</w:t>
      </w:r>
      <w:bookmarkEnd w:id="24"/>
    </w:p>
    <w:p w14:paraId="5224D06F" w14:textId="7E33F9C3" w:rsidR="00FA19AE" w:rsidRDefault="002E4CE3" w:rsidP="002E4CE3">
      <w:r>
        <w:t xml:space="preserve">After the </w:t>
      </w:r>
      <w:r w:rsidR="008C21DC">
        <w:t>target price</w:t>
      </w:r>
      <w:r>
        <w:t xml:space="preserve"> is established, the </w:t>
      </w:r>
      <w:r w:rsidR="00513745">
        <w:t xml:space="preserve">savings that the hospital achieves </w:t>
      </w:r>
      <w:r w:rsidR="00562048">
        <w:t xml:space="preserve">will </w:t>
      </w:r>
      <w:r w:rsidR="00836296">
        <w:t xml:space="preserve">be calculated by comparing </w:t>
      </w:r>
      <w:r w:rsidR="00623BB5">
        <w:t xml:space="preserve">the CTI episode costs in the </w:t>
      </w:r>
      <w:r w:rsidR="00AB617A">
        <w:t>Performance Period</w:t>
      </w:r>
      <w:r w:rsidR="00623BB5">
        <w:t xml:space="preserve"> to the </w:t>
      </w:r>
      <w:r w:rsidR="00885076">
        <w:t>target price</w:t>
      </w:r>
      <w:r w:rsidR="005E2433">
        <w:t xml:space="preserve">. </w:t>
      </w:r>
      <w:r w:rsidR="00224561">
        <w:t xml:space="preserve">The costs associated with the CTI episodes in the </w:t>
      </w:r>
      <w:r w:rsidR="00AB617A">
        <w:t>Performance Period</w:t>
      </w:r>
      <w:r w:rsidR="00224561">
        <w:t xml:space="preserve"> will be calculated using the same Step</w:t>
      </w:r>
      <w:r w:rsidR="00AB617A">
        <w:t>s</w:t>
      </w:r>
      <w:r w:rsidR="00224561">
        <w:t xml:space="preserve"> 1 </w:t>
      </w:r>
      <w:r w:rsidR="00AB617A">
        <w:t>and</w:t>
      </w:r>
      <w:r w:rsidR="00224561">
        <w:t xml:space="preserve"> 2 that were described above, replacing the </w:t>
      </w:r>
      <w:r w:rsidR="00AB617A">
        <w:t>Baseline Period</w:t>
      </w:r>
      <w:r w:rsidR="00224561">
        <w:t xml:space="preserve"> with the </w:t>
      </w:r>
      <w:r w:rsidR="00AB617A">
        <w:t>Performance Period</w:t>
      </w:r>
      <w:r w:rsidR="00224561">
        <w:t xml:space="preserve">. </w:t>
      </w:r>
    </w:p>
    <w:p w14:paraId="4E0EDDE0" w14:textId="3A95FFAC" w:rsidR="003F0F51" w:rsidRDefault="008B5931" w:rsidP="008D68B4">
      <w:r>
        <w:t xml:space="preserve">Additionally, </w:t>
      </w:r>
      <w:r w:rsidR="005E652F">
        <w:t xml:space="preserve">regulated hospital costs are standardized </w:t>
      </w:r>
      <w:r w:rsidR="007C32D6">
        <w:t xml:space="preserve">using the </w:t>
      </w:r>
      <w:r w:rsidR="00AB617A">
        <w:t>Performance Period</w:t>
      </w:r>
      <w:r w:rsidR="007C32D6">
        <w:t xml:space="preserve"> rate order and </w:t>
      </w:r>
      <w:r w:rsidR="00DE2B00">
        <w:t xml:space="preserve">risk adjustment is applied to the </w:t>
      </w:r>
      <w:r w:rsidR="00AB617A">
        <w:t>Performance Period</w:t>
      </w:r>
      <w:r w:rsidR="00DE2B00">
        <w:t xml:space="preserve"> episodes. </w:t>
      </w:r>
      <w:r w:rsidR="00CC7CCC">
        <w:t xml:space="preserve">These steps are described </w:t>
      </w:r>
      <w:r w:rsidR="00303A13">
        <w:t>below</w:t>
      </w:r>
      <w:r w:rsidR="00AB617A">
        <w:t xml:space="preserve"> in 4.A and </w:t>
      </w:r>
      <w:r w:rsidR="00AB617A">
        <w:lastRenderedPageBreak/>
        <w:t>4.B. respectively</w:t>
      </w:r>
      <w:r w:rsidR="00303A13">
        <w:t>.</w:t>
      </w:r>
      <w:r w:rsidR="00FA19AE">
        <w:t xml:space="preserve"> </w:t>
      </w:r>
      <w:r w:rsidR="00303A13">
        <w:t>Lastly, the hospital</w:t>
      </w:r>
      <w:r w:rsidR="00A27658">
        <w:t xml:space="preserve">’s CTI savings are calculated by comparing CTI episode costs to the </w:t>
      </w:r>
      <w:r w:rsidR="00AB617A">
        <w:t>Target Price</w:t>
      </w:r>
      <w:r w:rsidR="00220728">
        <w:t xml:space="preserve"> and then multiplying by the number of episodes. </w:t>
      </w:r>
      <w:r w:rsidR="00FA19AE">
        <w:t xml:space="preserve">This is described in Step 4.C. </w:t>
      </w:r>
    </w:p>
    <w:p w14:paraId="7E6159E7" w14:textId="29C231F3" w:rsidR="009742CB" w:rsidRDefault="00FA19AE">
      <w:r>
        <w:t xml:space="preserve">The CTI savings will be calculated using the CCLF </w:t>
      </w:r>
      <w:r w:rsidR="00555DB7">
        <w:t xml:space="preserve">data, which will be updated on a monthly basis. </w:t>
      </w:r>
      <w:r w:rsidR="003F0F51">
        <w:t>The HSCRC will identify the CTI Beneficiaries who met the triggering criteria following each monthly refres</w:t>
      </w:r>
      <w:r w:rsidR="006D1010">
        <w:t>h.</w:t>
      </w:r>
      <w:r w:rsidR="003F0F51">
        <w:t xml:space="preserve"> The list of </w:t>
      </w:r>
      <w:r w:rsidR="00AB617A">
        <w:t>CTI Beneficiaries</w:t>
      </w:r>
      <w:r w:rsidR="003F0F51">
        <w:t xml:space="preserve"> will then be provided to the hospital monthly</w:t>
      </w:r>
      <w:r w:rsidR="006D1010">
        <w:t xml:space="preserve"> and hospitals will have a variety of data tools to </w:t>
      </w:r>
      <w:r w:rsidR="00933466">
        <w:t>anal</w:t>
      </w:r>
      <w:r w:rsidR="005874EB">
        <w:t xml:space="preserve">yze the costs </w:t>
      </w:r>
      <w:r w:rsidR="00F85D7D">
        <w:t xml:space="preserve">and utilization patterns </w:t>
      </w:r>
      <w:r w:rsidR="005874EB">
        <w:t>of those beneficiaries.</w:t>
      </w:r>
      <w:r w:rsidR="00F85D7D">
        <w:t xml:space="preserve"> These tools will be described in the FAQ document.</w:t>
      </w:r>
      <w:r w:rsidR="00AB617A">
        <w:rPr>
          <w:rStyle w:val="FootnoteReference"/>
        </w:rPr>
        <w:footnoteReference w:id="9"/>
      </w:r>
      <w:r w:rsidR="00F85D7D">
        <w:t xml:space="preserve"> </w:t>
      </w:r>
    </w:p>
    <w:p w14:paraId="38D73CC9" w14:textId="1A030D5F" w:rsidR="003F0F51" w:rsidRDefault="00F85D7D">
      <w:r>
        <w:t xml:space="preserve">The initial data on the hospitals performance in the CTI will become available </w:t>
      </w:r>
      <w:r w:rsidR="00082FA4">
        <w:t xml:space="preserve">90 days after the end </w:t>
      </w:r>
      <w:r w:rsidR="00AE574B">
        <w:t xml:space="preserve">of </w:t>
      </w:r>
      <w:r w:rsidR="004A77D5">
        <w:t xml:space="preserve">the </w:t>
      </w:r>
      <w:r w:rsidR="00AE574B">
        <w:t xml:space="preserve">episode. </w:t>
      </w:r>
      <w:r w:rsidR="00971C75">
        <w:t>The hospital will receive real</w:t>
      </w:r>
      <w:r w:rsidR="000E67BF">
        <w:t xml:space="preserve"> time data </w:t>
      </w:r>
      <w:r w:rsidR="00784AC7">
        <w:t>on their performance in the CTI</w:t>
      </w:r>
      <w:r w:rsidR="00A46446">
        <w:t xml:space="preserve"> </w:t>
      </w:r>
      <w:r w:rsidR="001C5D34">
        <w:t xml:space="preserve">but </w:t>
      </w:r>
      <w:r w:rsidR="009742CB">
        <w:t xml:space="preserve">the hospital’s savings will be finalized only after the </w:t>
      </w:r>
      <w:r w:rsidR="00AB617A">
        <w:t>Performance Period</w:t>
      </w:r>
      <w:r w:rsidR="009742CB">
        <w:t xml:space="preserve"> is completed and hospitalizations should be aware that </w:t>
      </w:r>
      <w:r w:rsidR="006F5AED">
        <w:t xml:space="preserve">initial </w:t>
      </w:r>
      <w:r w:rsidR="00DC5C3A">
        <w:t xml:space="preserve">performance may not reflect </w:t>
      </w:r>
      <w:r w:rsidR="00BE3393">
        <w:t xml:space="preserve">their final </w:t>
      </w:r>
      <w:r w:rsidR="004E174E">
        <w:t xml:space="preserve">performance </w:t>
      </w:r>
      <w:r w:rsidR="003F14E1">
        <w:t xml:space="preserve">after more episodes have completed. </w:t>
      </w:r>
    </w:p>
    <w:p w14:paraId="6246890C" w14:textId="0224C40A" w:rsidR="00542E91" w:rsidRPr="00542E91" w:rsidRDefault="00542E91" w:rsidP="00542E91">
      <w:pPr>
        <w:pStyle w:val="Heading4"/>
      </w:pPr>
      <w:bookmarkStart w:id="25" w:name="_Toc24993093"/>
      <w:r w:rsidRPr="00542E91">
        <w:t xml:space="preserve">Step 4.A: </w:t>
      </w:r>
      <w:r w:rsidR="00224561">
        <w:t xml:space="preserve">Standardize </w:t>
      </w:r>
      <w:r w:rsidR="00AB617A">
        <w:t xml:space="preserve">Regulated </w:t>
      </w:r>
      <w:r w:rsidR="00224561">
        <w:t>Hospital Costs</w:t>
      </w:r>
      <w:bookmarkEnd w:id="25"/>
    </w:p>
    <w:p w14:paraId="47046A4D" w14:textId="095A39F1" w:rsidR="00542E91" w:rsidRDefault="00AB617A" w:rsidP="00046BDB">
      <w:pPr>
        <w:tabs>
          <w:tab w:val="right" w:pos="9360"/>
        </w:tabs>
      </w:pPr>
      <w:r>
        <w:t>R</w:t>
      </w:r>
      <w:r w:rsidR="00FC2D18">
        <w:t xml:space="preserve">egulated hospital costs </w:t>
      </w:r>
      <w:r w:rsidR="00B76ECE">
        <w:t xml:space="preserve">included in </w:t>
      </w:r>
      <w:r w:rsidR="00B125CF">
        <w:t xml:space="preserve">the CTI episodes will </w:t>
      </w:r>
      <w:r w:rsidR="00765991">
        <w:t xml:space="preserve">be repriced using the hospital’s most recent rate order. </w:t>
      </w:r>
      <w:r w:rsidR="004E4C8E">
        <w:t>This calculation is identi</w:t>
      </w:r>
      <w:r w:rsidR="0029537F">
        <w:t xml:space="preserve">cal </w:t>
      </w:r>
      <w:r w:rsidR="00A969AA">
        <w:t xml:space="preserve">to the calculation made in </w:t>
      </w:r>
      <w:r w:rsidR="00360F70">
        <w:t xml:space="preserve">Step 3.B, with the exception that the </w:t>
      </w:r>
      <w:r>
        <w:t>Performance Period</w:t>
      </w:r>
      <w:r w:rsidR="00360F70">
        <w:t xml:space="preserve"> rate center utilization will be used instead of the </w:t>
      </w:r>
      <w:r>
        <w:t>Baseline Period</w:t>
      </w:r>
      <w:r w:rsidR="005D4531">
        <w:t xml:space="preserve"> rate center utilization</w:t>
      </w:r>
      <w:r w:rsidR="005E438F">
        <w:t xml:space="preserve">. </w:t>
      </w:r>
      <w:r w:rsidR="00FB62A4">
        <w:tab/>
      </w:r>
    </w:p>
    <w:p w14:paraId="07A2B610" w14:textId="082F436E" w:rsidR="00224561" w:rsidRDefault="00542E91" w:rsidP="00542E91">
      <w:pPr>
        <w:pStyle w:val="Heading4"/>
      </w:pPr>
      <w:bookmarkStart w:id="26" w:name="_Toc24993094"/>
      <w:r w:rsidRPr="00542E91">
        <w:t xml:space="preserve">Step 4.B: </w:t>
      </w:r>
      <w:r w:rsidR="00224561" w:rsidRPr="00542E91">
        <w:t>Risk-Adjust Performance Period Episodes</w:t>
      </w:r>
      <w:bookmarkEnd w:id="26"/>
    </w:p>
    <w:p w14:paraId="22415031" w14:textId="4D7F7E52" w:rsidR="0016604A" w:rsidRDefault="008F2000" w:rsidP="00542E91">
      <w:r>
        <w:t xml:space="preserve">The </w:t>
      </w:r>
      <w:r w:rsidR="00EB6AE3">
        <w:t>r</w:t>
      </w:r>
      <w:r>
        <w:t xml:space="preserve">isk-adjustment process from Step 3 will be repeated for the </w:t>
      </w:r>
      <w:r w:rsidR="00AB617A">
        <w:t>Performance Period</w:t>
      </w:r>
      <w:r>
        <w:t xml:space="preserve"> episodes. Additionally, </w:t>
      </w:r>
      <w:r w:rsidR="00404DB6">
        <w:t xml:space="preserve">a final target price will be calculated using the </w:t>
      </w:r>
      <w:r>
        <w:t xml:space="preserve">count of each APR-DRG &amp; SOI / HCC strata </w:t>
      </w:r>
      <w:r w:rsidR="00AE6D8A">
        <w:t xml:space="preserve">in </w:t>
      </w:r>
      <w:r>
        <w:t xml:space="preserve">the </w:t>
      </w:r>
      <w:r w:rsidR="00AB617A">
        <w:t>Performance Period</w:t>
      </w:r>
      <w:r>
        <w:t xml:space="preserve">. This step is necessary to adjust for a change in the case-mix between the </w:t>
      </w:r>
      <w:r w:rsidR="00AB617A">
        <w:t>Baseline Period</w:t>
      </w:r>
      <w:r>
        <w:t xml:space="preserve"> the </w:t>
      </w:r>
      <w:r w:rsidR="00AB617A">
        <w:t>Performance Period</w:t>
      </w:r>
      <w:r>
        <w:t xml:space="preserve">. However, hospitals should be aware that this will change the hospital’s </w:t>
      </w:r>
      <w:r w:rsidR="00AB617A">
        <w:t>Target Price</w:t>
      </w:r>
      <w:r>
        <w:t xml:space="preserve">.  </w:t>
      </w:r>
    </w:p>
    <w:p w14:paraId="51731AEA" w14:textId="0B7DA251" w:rsidR="00542E91" w:rsidRPr="00542E91" w:rsidRDefault="00542E91" w:rsidP="00542E91">
      <w:pPr>
        <w:pStyle w:val="Heading4"/>
      </w:pPr>
      <w:bookmarkStart w:id="27" w:name="_Toc24993095"/>
      <w:r w:rsidRPr="00542E91">
        <w:t xml:space="preserve">Step 4.C: </w:t>
      </w:r>
      <w:r w:rsidR="00224561" w:rsidRPr="00542E91">
        <w:t>Calculate the Per Episode Savings Amount</w:t>
      </w:r>
      <w:bookmarkEnd w:id="27"/>
      <w:r w:rsidR="00224561" w:rsidRPr="00542E91">
        <w:t xml:space="preserve"> </w:t>
      </w:r>
    </w:p>
    <w:p w14:paraId="01887A46" w14:textId="5D209065" w:rsidR="00DB59B4" w:rsidRDefault="005E438F" w:rsidP="00542E91">
      <w:r>
        <w:t xml:space="preserve">The hospital’s CTI savings will be </w:t>
      </w:r>
      <w:r w:rsidR="0016604A">
        <w:t>calculated by comparing the average, risk</w:t>
      </w:r>
      <w:r w:rsidR="001836C2">
        <w:t xml:space="preserve">-adjusted, costs of all episodes in the </w:t>
      </w:r>
      <w:r w:rsidR="00AB617A">
        <w:t>Performance Period</w:t>
      </w:r>
      <w:r w:rsidR="001836C2">
        <w:t xml:space="preserve"> to the </w:t>
      </w:r>
      <w:r w:rsidR="00595E15">
        <w:t>target price</w:t>
      </w:r>
      <w:r w:rsidR="001836C2">
        <w:t xml:space="preserve">. </w:t>
      </w:r>
      <w:r w:rsidR="00DB59B4">
        <w:t>The total savings are calculated through a two-step process:</w:t>
      </w:r>
    </w:p>
    <w:p w14:paraId="11D21EC3" w14:textId="21724E1F" w:rsidR="00DB59B4" w:rsidRDefault="00DB59B4" w:rsidP="00DB59B4">
      <w:pPr>
        <w:pStyle w:val="ListParagraph"/>
        <w:numPr>
          <w:ilvl w:val="0"/>
          <w:numId w:val="53"/>
        </w:numPr>
      </w:pPr>
      <w:r w:rsidRPr="00046BDB">
        <w:t xml:space="preserve">Calculate </w:t>
      </w:r>
      <w:r>
        <w:t xml:space="preserve">the difference between the average </w:t>
      </w:r>
      <w:r w:rsidR="00B13537">
        <w:t xml:space="preserve">risk-adjusted episode costs </w:t>
      </w:r>
      <w:r w:rsidR="00335811">
        <w:t xml:space="preserve">in the </w:t>
      </w:r>
      <w:r w:rsidR="00AB617A">
        <w:t>Performance Period</w:t>
      </w:r>
      <w:r w:rsidR="00335811">
        <w:t xml:space="preserve"> and the </w:t>
      </w:r>
      <w:r w:rsidR="00470B38">
        <w:t>target price</w:t>
      </w:r>
      <w:r w:rsidR="00404FEB">
        <w:t xml:space="preserve">; </w:t>
      </w:r>
    </w:p>
    <w:p w14:paraId="3A686E87" w14:textId="392BB3E9" w:rsidR="00404FEB" w:rsidRPr="00DB59B4" w:rsidRDefault="00404FEB" w:rsidP="00046BDB">
      <w:pPr>
        <w:pStyle w:val="ListParagraph"/>
        <w:numPr>
          <w:ilvl w:val="0"/>
          <w:numId w:val="53"/>
        </w:numPr>
      </w:pPr>
      <w:r>
        <w:t xml:space="preserve">Multiple the per episode savings (as determined above) by the number of CTI episodes that were initiated during the </w:t>
      </w:r>
      <w:r w:rsidR="00AB617A">
        <w:t>Performance Period</w:t>
      </w:r>
      <w:r>
        <w:t xml:space="preserve">. </w:t>
      </w:r>
    </w:p>
    <w:p w14:paraId="68054ABF" w14:textId="670177CE" w:rsidR="00EF1607" w:rsidRDefault="00404FEB" w:rsidP="00046BDB">
      <w:r>
        <w:t xml:space="preserve">An example showing the calculation of </w:t>
      </w:r>
      <w:r w:rsidR="00360956">
        <w:t xml:space="preserve">a CTI’s reconciliation payments is shown below: </w:t>
      </w:r>
    </w:p>
    <w:p w14:paraId="2E1175D4" w14:textId="77777777" w:rsidR="00EF1607" w:rsidRPr="001B67D7" w:rsidRDefault="00EF1607" w:rsidP="00EF1607">
      <w:pPr>
        <w:spacing w:after="0"/>
        <w:rPr>
          <w:b/>
        </w:rPr>
      </w:pPr>
      <w:r w:rsidRPr="001B67D7">
        <w:rPr>
          <w:b/>
        </w:rPr>
        <w:t>Scenario:</w:t>
      </w:r>
    </w:p>
    <w:p w14:paraId="6EE203D4" w14:textId="77777777" w:rsidR="00EF1607" w:rsidRDefault="00EF1607" w:rsidP="00EF1607">
      <w:pPr>
        <w:spacing w:after="0"/>
        <w:ind w:left="720"/>
      </w:pPr>
      <w:r>
        <w:t>Intervention Start Date: 1/1/2019</w:t>
      </w:r>
    </w:p>
    <w:p w14:paraId="6FB9D699" w14:textId="77777777" w:rsidR="00EF1607" w:rsidRDefault="00EF1607" w:rsidP="00EF1607">
      <w:pPr>
        <w:spacing w:after="0"/>
        <w:ind w:left="720"/>
      </w:pPr>
      <w:r>
        <w:t>Base Period: CY2018</w:t>
      </w:r>
    </w:p>
    <w:p w14:paraId="476A8BB7" w14:textId="77777777" w:rsidR="00EF1607" w:rsidRDefault="00EF1607" w:rsidP="00EF1607">
      <w:pPr>
        <w:spacing w:after="0"/>
        <w:ind w:left="720"/>
      </w:pPr>
      <w:r>
        <w:t>Performance Period: 6 Months Ended 6/30/19</w:t>
      </w:r>
    </w:p>
    <w:p w14:paraId="5D7EC71E" w14:textId="77777777" w:rsidR="00EF1607" w:rsidRDefault="00EF1607" w:rsidP="00EF1607">
      <w:pPr>
        <w:spacing w:after="0"/>
        <w:ind w:left="720"/>
      </w:pPr>
      <w:r>
        <w:lastRenderedPageBreak/>
        <w:t>Episode Length: 180 Days</w:t>
      </w:r>
    </w:p>
    <w:p w14:paraId="63A9A95B" w14:textId="77777777" w:rsidR="00EF1607" w:rsidRDefault="00EF1607" w:rsidP="00EF1607">
      <w:pPr>
        <w:spacing w:after="0"/>
        <w:ind w:left="720"/>
      </w:pPr>
      <w:r>
        <w:t>Episode Start: Trigger Date + 1</w:t>
      </w:r>
    </w:p>
    <w:p w14:paraId="7ED2F1A1" w14:textId="77777777" w:rsidR="00EF1607" w:rsidRDefault="00EF1607" w:rsidP="00EF1607">
      <w:pPr>
        <w:spacing w:after="0"/>
        <w:ind w:left="720"/>
      </w:pPr>
      <w:r>
        <w:t>Payment Start Date: 7/1/2020</w:t>
      </w:r>
    </w:p>
    <w:p w14:paraId="7D8CAB11" w14:textId="77777777" w:rsidR="00EF1607" w:rsidRDefault="00EF1607" w:rsidP="00EF1607">
      <w:pPr>
        <w:spacing w:after="0"/>
        <w:ind w:left="720"/>
      </w:pPr>
      <w:r>
        <w:t>Inflation (Base to Performance): 1.50%</w:t>
      </w:r>
    </w:p>
    <w:p w14:paraId="188B9580" w14:textId="77777777" w:rsidR="00EF1607" w:rsidRDefault="00EF1607" w:rsidP="00EF1607">
      <w:pPr>
        <w:spacing w:after="0"/>
        <w:ind w:left="720"/>
      </w:pPr>
    </w:p>
    <w:p w14:paraId="3DF31FC0" w14:textId="77777777" w:rsidR="00EF1607" w:rsidRPr="001B67D7" w:rsidRDefault="00EF1607" w:rsidP="00EF1607">
      <w:pPr>
        <w:spacing w:after="0"/>
        <w:rPr>
          <w:b/>
        </w:rPr>
      </w:pPr>
      <w:r w:rsidRPr="001B67D7">
        <w:rPr>
          <w:b/>
        </w:rPr>
        <w:t>Beneficiaries Meeting Cohort Trigger Events:</w:t>
      </w:r>
    </w:p>
    <w:tbl>
      <w:tblPr>
        <w:tblStyle w:val="GridTable4-Accent5"/>
        <w:tblW w:w="0" w:type="auto"/>
        <w:tblLook w:val="04A0" w:firstRow="1" w:lastRow="0" w:firstColumn="1" w:lastColumn="0" w:noHBand="0" w:noVBand="1"/>
      </w:tblPr>
      <w:tblGrid>
        <w:gridCol w:w="535"/>
        <w:gridCol w:w="1620"/>
        <w:gridCol w:w="1440"/>
        <w:gridCol w:w="2070"/>
        <w:gridCol w:w="1800"/>
        <w:gridCol w:w="1885"/>
      </w:tblGrid>
      <w:tr w:rsidR="00EF1607" w:rsidRPr="00594CBF" w14:paraId="48A54604" w14:textId="77777777" w:rsidTr="00046BDB">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35" w:type="dxa"/>
            <w:hideMark/>
          </w:tcPr>
          <w:p w14:paraId="3315D0D5" w14:textId="77777777" w:rsidR="00EF1607" w:rsidRPr="001B67D7" w:rsidRDefault="00EF1607" w:rsidP="008E1278">
            <w:pPr>
              <w:rPr>
                <w:b w:val="0"/>
              </w:rPr>
            </w:pPr>
            <w:r w:rsidRPr="001B67D7">
              <w:rPr>
                <w:b w:val="0"/>
              </w:rPr>
              <w:t>ID</w:t>
            </w:r>
          </w:p>
        </w:tc>
        <w:tc>
          <w:tcPr>
            <w:tcW w:w="1620" w:type="dxa"/>
            <w:hideMark/>
          </w:tcPr>
          <w:p w14:paraId="66F94B2D" w14:textId="77777777" w:rsidR="00EF1607" w:rsidRPr="001B67D7" w:rsidRDefault="00EF1607" w:rsidP="008E1278">
            <w:pPr>
              <w:cnfStyle w:val="100000000000" w:firstRow="1" w:lastRow="0" w:firstColumn="0" w:lastColumn="0" w:oddVBand="0" w:evenVBand="0" w:oddHBand="0" w:evenHBand="0" w:firstRowFirstColumn="0" w:firstRowLastColumn="0" w:lastRowFirstColumn="0" w:lastRowLastColumn="0"/>
              <w:rPr>
                <w:b w:val="0"/>
              </w:rPr>
            </w:pPr>
            <w:r w:rsidRPr="001B67D7">
              <w:rPr>
                <w:b w:val="0"/>
              </w:rPr>
              <w:t>Date Meeting Trigger Criteria</w:t>
            </w:r>
          </w:p>
        </w:tc>
        <w:tc>
          <w:tcPr>
            <w:tcW w:w="1440" w:type="dxa"/>
            <w:hideMark/>
          </w:tcPr>
          <w:p w14:paraId="04C5E859" w14:textId="77777777" w:rsidR="00EF1607" w:rsidRPr="001B67D7" w:rsidRDefault="00EF1607" w:rsidP="008E1278">
            <w:pPr>
              <w:cnfStyle w:val="100000000000" w:firstRow="1" w:lastRow="0" w:firstColumn="0" w:lastColumn="0" w:oddVBand="0" w:evenVBand="0" w:oddHBand="0" w:evenHBand="0" w:firstRowFirstColumn="0" w:firstRowLastColumn="0" w:lastRowFirstColumn="0" w:lastRowLastColumn="0"/>
              <w:rPr>
                <w:b w:val="0"/>
              </w:rPr>
            </w:pPr>
            <w:r w:rsidRPr="001B67D7">
              <w:rPr>
                <w:b w:val="0"/>
              </w:rPr>
              <w:t>Group</w:t>
            </w:r>
          </w:p>
        </w:tc>
        <w:tc>
          <w:tcPr>
            <w:tcW w:w="2070" w:type="dxa"/>
            <w:hideMark/>
          </w:tcPr>
          <w:p w14:paraId="376F607F" w14:textId="77777777" w:rsidR="00EF1607" w:rsidRPr="001B67D7" w:rsidRDefault="00EF1607" w:rsidP="008E1278">
            <w:pPr>
              <w:cnfStyle w:val="100000000000" w:firstRow="1" w:lastRow="0" w:firstColumn="0" w:lastColumn="0" w:oddVBand="0" w:evenVBand="0" w:oddHBand="0" w:evenHBand="0" w:firstRowFirstColumn="0" w:firstRowLastColumn="0" w:lastRowFirstColumn="0" w:lastRowLastColumn="0"/>
              <w:rPr>
                <w:b w:val="0"/>
              </w:rPr>
            </w:pPr>
            <w:r w:rsidRPr="001B67D7">
              <w:rPr>
                <w:b w:val="0"/>
              </w:rPr>
              <w:t>Episode Window</w:t>
            </w:r>
          </w:p>
        </w:tc>
        <w:tc>
          <w:tcPr>
            <w:tcW w:w="1800" w:type="dxa"/>
            <w:hideMark/>
          </w:tcPr>
          <w:p w14:paraId="46D5AA86" w14:textId="77777777" w:rsidR="00EF1607" w:rsidRPr="001B67D7" w:rsidRDefault="00EF1607" w:rsidP="008E1278">
            <w:pPr>
              <w:cnfStyle w:val="100000000000" w:firstRow="1" w:lastRow="0" w:firstColumn="0" w:lastColumn="0" w:oddVBand="0" w:evenVBand="0" w:oddHBand="0" w:evenHBand="0" w:firstRowFirstColumn="0" w:firstRowLastColumn="0" w:lastRowFirstColumn="0" w:lastRowLastColumn="0"/>
              <w:rPr>
                <w:b w:val="0"/>
              </w:rPr>
            </w:pPr>
            <w:r w:rsidRPr="001B67D7">
              <w:rPr>
                <w:b w:val="0"/>
              </w:rPr>
              <w:t>Total Cost During Episode Window</w:t>
            </w:r>
          </w:p>
        </w:tc>
        <w:tc>
          <w:tcPr>
            <w:tcW w:w="1885" w:type="dxa"/>
            <w:hideMark/>
          </w:tcPr>
          <w:p w14:paraId="0DFBADF9" w14:textId="77777777" w:rsidR="00EF1607" w:rsidRDefault="00EF1607" w:rsidP="008E1278">
            <w:pPr>
              <w:cnfStyle w:val="100000000000" w:firstRow="1" w:lastRow="0" w:firstColumn="0" w:lastColumn="0" w:oddVBand="0" w:evenVBand="0" w:oddHBand="0" w:evenHBand="0" w:firstRowFirstColumn="0" w:firstRowLastColumn="0" w:lastRowFirstColumn="0" w:lastRowLastColumn="0"/>
              <w:rPr>
                <w:b w:val="0"/>
              </w:rPr>
            </w:pPr>
            <w:r w:rsidRPr="001B67D7">
              <w:rPr>
                <w:b w:val="0"/>
              </w:rPr>
              <w:t>Cost PBPM</w:t>
            </w:r>
            <w:r>
              <w:rPr>
                <w:b w:val="0"/>
              </w:rPr>
              <w:t xml:space="preserve"> </w:t>
            </w:r>
          </w:p>
          <w:p w14:paraId="0B4DF464" w14:textId="77777777" w:rsidR="00EF1607" w:rsidRPr="001B67D7" w:rsidRDefault="00EF1607" w:rsidP="008E1278">
            <w:pPr>
              <w:cnfStyle w:val="100000000000" w:firstRow="1" w:lastRow="0" w:firstColumn="0" w:lastColumn="0" w:oddVBand="0" w:evenVBand="0" w:oddHBand="0" w:evenHBand="0" w:firstRowFirstColumn="0" w:firstRowLastColumn="0" w:lastRowFirstColumn="0" w:lastRowLastColumn="0"/>
              <w:rPr>
                <w:b w:val="0"/>
              </w:rPr>
            </w:pPr>
            <w:r>
              <w:rPr>
                <w:b w:val="0"/>
              </w:rPr>
              <w:t>(Total Cost/# of Perform. Period Beneficiaries)</w:t>
            </w:r>
          </w:p>
        </w:tc>
      </w:tr>
      <w:tr w:rsidR="00EF1607" w:rsidRPr="00594CBF" w14:paraId="46185574"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77BEF4F" w14:textId="77777777" w:rsidR="00EF1607" w:rsidRPr="00594CBF" w:rsidRDefault="00EF1607" w:rsidP="008E1278">
            <w:r w:rsidRPr="00594CBF">
              <w:t>A</w:t>
            </w:r>
          </w:p>
        </w:tc>
        <w:tc>
          <w:tcPr>
            <w:tcW w:w="1620" w:type="dxa"/>
            <w:noWrap/>
            <w:hideMark/>
          </w:tcPr>
          <w:p w14:paraId="389853BC"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12/31/2017</w:t>
            </w:r>
          </w:p>
        </w:tc>
        <w:tc>
          <w:tcPr>
            <w:tcW w:w="1440" w:type="dxa"/>
            <w:noWrap/>
            <w:hideMark/>
          </w:tcPr>
          <w:p w14:paraId="46D12951"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Excluded</w:t>
            </w:r>
          </w:p>
        </w:tc>
        <w:tc>
          <w:tcPr>
            <w:tcW w:w="2070" w:type="dxa"/>
            <w:noWrap/>
            <w:hideMark/>
          </w:tcPr>
          <w:p w14:paraId="612ACFFB"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N/A</w:t>
            </w:r>
          </w:p>
        </w:tc>
        <w:tc>
          <w:tcPr>
            <w:tcW w:w="1800" w:type="dxa"/>
            <w:noWrap/>
            <w:hideMark/>
          </w:tcPr>
          <w:p w14:paraId="4279BBEE"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p>
        </w:tc>
        <w:tc>
          <w:tcPr>
            <w:tcW w:w="1885" w:type="dxa"/>
            <w:noWrap/>
            <w:hideMark/>
          </w:tcPr>
          <w:p w14:paraId="532B7AF1"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p>
        </w:tc>
      </w:tr>
      <w:tr w:rsidR="00EF1607" w:rsidRPr="00594CBF" w14:paraId="036FCF3C"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E931E2E" w14:textId="77777777" w:rsidR="00EF1607" w:rsidRPr="00594CBF" w:rsidRDefault="00EF1607" w:rsidP="008E1278">
            <w:r w:rsidRPr="00594CBF">
              <w:t>B</w:t>
            </w:r>
          </w:p>
        </w:tc>
        <w:tc>
          <w:tcPr>
            <w:tcW w:w="1620" w:type="dxa"/>
            <w:noWrap/>
            <w:hideMark/>
          </w:tcPr>
          <w:p w14:paraId="5CF998C9"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1/1/2018</w:t>
            </w:r>
          </w:p>
        </w:tc>
        <w:tc>
          <w:tcPr>
            <w:tcW w:w="1440" w:type="dxa"/>
            <w:noWrap/>
            <w:hideMark/>
          </w:tcPr>
          <w:p w14:paraId="6E673B32"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Base</w:t>
            </w:r>
          </w:p>
        </w:tc>
        <w:tc>
          <w:tcPr>
            <w:tcW w:w="2070" w:type="dxa"/>
            <w:noWrap/>
            <w:hideMark/>
          </w:tcPr>
          <w:p w14:paraId="0956E7C0"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01/02/18 - 07/01/18</w:t>
            </w:r>
          </w:p>
        </w:tc>
        <w:tc>
          <w:tcPr>
            <w:tcW w:w="1800" w:type="dxa"/>
            <w:noWrap/>
            <w:hideMark/>
          </w:tcPr>
          <w:p w14:paraId="66056A85"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$4,949</w:t>
            </w:r>
          </w:p>
        </w:tc>
        <w:tc>
          <w:tcPr>
            <w:tcW w:w="1885" w:type="dxa"/>
            <w:noWrap/>
            <w:hideMark/>
          </w:tcPr>
          <w:p w14:paraId="78D44BE0"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$825</w:t>
            </w:r>
          </w:p>
        </w:tc>
      </w:tr>
      <w:tr w:rsidR="00EF1607" w:rsidRPr="00594CBF" w14:paraId="55748D16"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36DD1D6" w14:textId="77777777" w:rsidR="00EF1607" w:rsidRPr="00594CBF" w:rsidRDefault="00EF1607" w:rsidP="008E1278">
            <w:r w:rsidRPr="00594CBF">
              <w:t>C</w:t>
            </w:r>
          </w:p>
        </w:tc>
        <w:tc>
          <w:tcPr>
            <w:tcW w:w="1620" w:type="dxa"/>
            <w:noWrap/>
            <w:hideMark/>
          </w:tcPr>
          <w:p w14:paraId="571802EA"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5/31/2018</w:t>
            </w:r>
          </w:p>
        </w:tc>
        <w:tc>
          <w:tcPr>
            <w:tcW w:w="1440" w:type="dxa"/>
            <w:noWrap/>
            <w:hideMark/>
          </w:tcPr>
          <w:p w14:paraId="4F34B4BB"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Base</w:t>
            </w:r>
          </w:p>
        </w:tc>
        <w:tc>
          <w:tcPr>
            <w:tcW w:w="2070" w:type="dxa"/>
            <w:noWrap/>
            <w:hideMark/>
          </w:tcPr>
          <w:p w14:paraId="34064F16"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06/01/18 - 11/28/18</w:t>
            </w:r>
          </w:p>
        </w:tc>
        <w:tc>
          <w:tcPr>
            <w:tcW w:w="1800" w:type="dxa"/>
            <w:noWrap/>
            <w:hideMark/>
          </w:tcPr>
          <w:p w14:paraId="7114E112"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$4,945</w:t>
            </w:r>
          </w:p>
        </w:tc>
        <w:tc>
          <w:tcPr>
            <w:tcW w:w="1885" w:type="dxa"/>
            <w:noWrap/>
            <w:hideMark/>
          </w:tcPr>
          <w:p w14:paraId="490B66D3"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$824</w:t>
            </w:r>
          </w:p>
        </w:tc>
      </w:tr>
      <w:tr w:rsidR="00EF1607" w:rsidRPr="00594CBF" w14:paraId="13074038"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73555610" w14:textId="77777777" w:rsidR="00EF1607" w:rsidRPr="00594CBF" w:rsidRDefault="00EF1607" w:rsidP="008E1278">
            <w:r w:rsidRPr="00594CBF">
              <w:t>D</w:t>
            </w:r>
          </w:p>
        </w:tc>
        <w:tc>
          <w:tcPr>
            <w:tcW w:w="1620" w:type="dxa"/>
            <w:noWrap/>
            <w:hideMark/>
          </w:tcPr>
          <w:p w14:paraId="2BD3922F"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6/5/2018</w:t>
            </w:r>
          </w:p>
        </w:tc>
        <w:tc>
          <w:tcPr>
            <w:tcW w:w="1440" w:type="dxa"/>
            <w:noWrap/>
            <w:hideMark/>
          </w:tcPr>
          <w:p w14:paraId="6E9BDDFA"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Base</w:t>
            </w:r>
          </w:p>
        </w:tc>
        <w:tc>
          <w:tcPr>
            <w:tcW w:w="2070" w:type="dxa"/>
            <w:noWrap/>
            <w:hideMark/>
          </w:tcPr>
          <w:p w14:paraId="6C9FB5E8"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06/06/18 - 12/03/18</w:t>
            </w:r>
          </w:p>
        </w:tc>
        <w:tc>
          <w:tcPr>
            <w:tcW w:w="1800" w:type="dxa"/>
            <w:noWrap/>
            <w:hideMark/>
          </w:tcPr>
          <w:p w14:paraId="4612694F"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$4,861</w:t>
            </w:r>
          </w:p>
        </w:tc>
        <w:tc>
          <w:tcPr>
            <w:tcW w:w="1885" w:type="dxa"/>
            <w:noWrap/>
            <w:hideMark/>
          </w:tcPr>
          <w:p w14:paraId="4B5EE86B"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$810</w:t>
            </w:r>
          </w:p>
        </w:tc>
      </w:tr>
      <w:tr w:rsidR="00EF1607" w:rsidRPr="00594CBF" w14:paraId="4747B544"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183754AD" w14:textId="77777777" w:rsidR="00EF1607" w:rsidRPr="00594CBF" w:rsidRDefault="00EF1607" w:rsidP="008E1278">
            <w:r w:rsidRPr="00594CBF">
              <w:t>E</w:t>
            </w:r>
          </w:p>
        </w:tc>
        <w:tc>
          <w:tcPr>
            <w:tcW w:w="1620" w:type="dxa"/>
            <w:noWrap/>
            <w:hideMark/>
          </w:tcPr>
          <w:p w14:paraId="1DB82A65"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7/4/2018</w:t>
            </w:r>
          </w:p>
        </w:tc>
        <w:tc>
          <w:tcPr>
            <w:tcW w:w="1440" w:type="dxa"/>
            <w:noWrap/>
            <w:hideMark/>
          </w:tcPr>
          <w:p w14:paraId="3D3F2B59"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Base</w:t>
            </w:r>
          </w:p>
        </w:tc>
        <w:tc>
          <w:tcPr>
            <w:tcW w:w="2070" w:type="dxa"/>
            <w:noWrap/>
            <w:hideMark/>
          </w:tcPr>
          <w:p w14:paraId="3B6EDA30"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07/05/18 - 01/01/19</w:t>
            </w:r>
          </w:p>
        </w:tc>
        <w:tc>
          <w:tcPr>
            <w:tcW w:w="1800" w:type="dxa"/>
            <w:noWrap/>
            <w:hideMark/>
          </w:tcPr>
          <w:p w14:paraId="26B529A6"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$4,840</w:t>
            </w:r>
          </w:p>
        </w:tc>
        <w:tc>
          <w:tcPr>
            <w:tcW w:w="1885" w:type="dxa"/>
            <w:noWrap/>
            <w:hideMark/>
          </w:tcPr>
          <w:p w14:paraId="0F0B805A"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$807</w:t>
            </w:r>
          </w:p>
        </w:tc>
      </w:tr>
      <w:tr w:rsidR="00EF1607" w:rsidRPr="00594CBF" w14:paraId="645923C9"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501D0DD" w14:textId="77777777" w:rsidR="00EF1607" w:rsidRPr="00594CBF" w:rsidRDefault="00EF1607" w:rsidP="008E1278">
            <w:r w:rsidRPr="00594CBF">
              <w:t>F</w:t>
            </w:r>
          </w:p>
        </w:tc>
        <w:tc>
          <w:tcPr>
            <w:tcW w:w="1620" w:type="dxa"/>
            <w:noWrap/>
            <w:hideMark/>
          </w:tcPr>
          <w:p w14:paraId="51B67BFC"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12/30/2018</w:t>
            </w:r>
          </w:p>
        </w:tc>
        <w:tc>
          <w:tcPr>
            <w:tcW w:w="1440" w:type="dxa"/>
            <w:noWrap/>
            <w:hideMark/>
          </w:tcPr>
          <w:p w14:paraId="60BF5A3F"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Base</w:t>
            </w:r>
          </w:p>
        </w:tc>
        <w:tc>
          <w:tcPr>
            <w:tcW w:w="2070" w:type="dxa"/>
            <w:noWrap/>
            <w:hideMark/>
          </w:tcPr>
          <w:p w14:paraId="27F60BB7"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12/31/18 - 06/29/19</w:t>
            </w:r>
          </w:p>
        </w:tc>
        <w:tc>
          <w:tcPr>
            <w:tcW w:w="1800" w:type="dxa"/>
            <w:noWrap/>
            <w:hideMark/>
          </w:tcPr>
          <w:p w14:paraId="252C2361"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$4,780</w:t>
            </w:r>
          </w:p>
        </w:tc>
        <w:tc>
          <w:tcPr>
            <w:tcW w:w="1885" w:type="dxa"/>
            <w:noWrap/>
            <w:hideMark/>
          </w:tcPr>
          <w:p w14:paraId="2956070C"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$797</w:t>
            </w:r>
          </w:p>
        </w:tc>
      </w:tr>
      <w:tr w:rsidR="00EF1607" w:rsidRPr="00594CBF" w14:paraId="63FA0A5A"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4ABEBA59" w14:textId="77777777" w:rsidR="00EF1607" w:rsidRPr="00594CBF" w:rsidRDefault="00EF1607" w:rsidP="008E1278">
            <w:r w:rsidRPr="00594CBF">
              <w:t>G</w:t>
            </w:r>
          </w:p>
        </w:tc>
        <w:tc>
          <w:tcPr>
            <w:tcW w:w="1620" w:type="dxa"/>
            <w:noWrap/>
            <w:hideMark/>
          </w:tcPr>
          <w:p w14:paraId="11FFCA7E"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1/1/2019</w:t>
            </w:r>
          </w:p>
        </w:tc>
        <w:tc>
          <w:tcPr>
            <w:tcW w:w="1440" w:type="dxa"/>
            <w:noWrap/>
            <w:hideMark/>
          </w:tcPr>
          <w:p w14:paraId="1D07F54E"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Performance</w:t>
            </w:r>
          </w:p>
        </w:tc>
        <w:tc>
          <w:tcPr>
            <w:tcW w:w="2070" w:type="dxa"/>
            <w:noWrap/>
            <w:hideMark/>
          </w:tcPr>
          <w:p w14:paraId="555A6749"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01/02/19 - 07/01/19</w:t>
            </w:r>
          </w:p>
        </w:tc>
        <w:tc>
          <w:tcPr>
            <w:tcW w:w="1800" w:type="dxa"/>
            <w:noWrap/>
            <w:hideMark/>
          </w:tcPr>
          <w:p w14:paraId="08392CF8"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$4,397</w:t>
            </w:r>
          </w:p>
        </w:tc>
        <w:tc>
          <w:tcPr>
            <w:tcW w:w="1885" w:type="dxa"/>
            <w:noWrap/>
            <w:hideMark/>
          </w:tcPr>
          <w:p w14:paraId="147EEA95"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$733</w:t>
            </w:r>
          </w:p>
        </w:tc>
      </w:tr>
      <w:tr w:rsidR="00EF1607" w:rsidRPr="00594CBF" w14:paraId="3A6597A6"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A6C0FB1" w14:textId="77777777" w:rsidR="00EF1607" w:rsidRPr="00594CBF" w:rsidRDefault="00EF1607" w:rsidP="008E1278">
            <w:r w:rsidRPr="00594CBF">
              <w:t>H</w:t>
            </w:r>
          </w:p>
        </w:tc>
        <w:tc>
          <w:tcPr>
            <w:tcW w:w="1620" w:type="dxa"/>
            <w:noWrap/>
            <w:hideMark/>
          </w:tcPr>
          <w:p w14:paraId="6EA2A97A"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3/5/2019</w:t>
            </w:r>
          </w:p>
        </w:tc>
        <w:tc>
          <w:tcPr>
            <w:tcW w:w="1440" w:type="dxa"/>
            <w:noWrap/>
            <w:hideMark/>
          </w:tcPr>
          <w:p w14:paraId="714CA5A7"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Performance</w:t>
            </w:r>
          </w:p>
        </w:tc>
        <w:tc>
          <w:tcPr>
            <w:tcW w:w="2070" w:type="dxa"/>
            <w:noWrap/>
            <w:hideMark/>
          </w:tcPr>
          <w:p w14:paraId="247BED15"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03/06/19 - 09/02/19</w:t>
            </w:r>
          </w:p>
        </w:tc>
        <w:tc>
          <w:tcPr>
            <w:tcW w:w="1800" w:type="dxa"/>
            <w:noWrap/>
            <w:hideMark/>
          </w:tcPr>
          <w:p w14:paraId="41430A62"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$4,336</w:t>
            </w:r>
          </w:p>
        </w:tc>
        <w:tc>
          <w:tcPr>
            <w:tcW w:w="1885" w:type="dxa"/>
            <w:noWrap/>
            <w:hideMark/>
          </w:tcPr>
          <w:p w14:paraId="43F21D94"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$723</w:t>
            </w:r>
          </w:p>
        </w:tc>
      </w:tr>
      <w:tr w:rsidR="00EF1607" w:rsidRPr="00594CBF" w14:paraId="1A6CDECA"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6778FD2" w14:textId="77777777" w:rsidR="00EF1607" w:rsidRPr="00594CBF" w:rsidRDefault="00EF1607" w:rsidP="008E1278">
            <w:r w:rsidRPr="00594CBF">
              <w:t>I</w:t>
            </w:r>
          </w:p>
        </w:tc>
        <w:tc>
          <w:tcPr>
            <w:tcW w:w="1620" w:type="dxa"/>
            <w:noWrap/>
            <w:hideMark/>
          </w:tcPr>
          <w:p w14:paraId="13D5674C"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3/7/2019</w:t>
            </w:r>
          </w:p>
        </w:tc>
        <w:tc>
          <w:tcPr>
            <w:tcW w:w="1440" w:type="dxa"/>
            <w:noWrap/>
            <w:hideMark/>
          </w:tcPr>
          <w:p w14:paraId="7CE899AF"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Performance</w:t>
            </w:r>
          </w:p>
        </w:tc>
        <w:tc>
          <w:tcPr>
            <w:tcW w:w="2070" w:type="dxa"/>
            <w:noWrap/>
            <w:hideMark/>
          </w:tcPr>
          <w:p w14:paraId="025CCEEE"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03/08/19 - 09/04/19</w:t>
            </w:r>
          </w:p>
        </w:tc>
        <w:tc>
          <w:tcPr>
            <w:tcW w:w="1800" w:type="dxa"/>
            <w:noWrap/>
            <w:hideMark/>
          </w:tcPr>
          <w:p w14:paraId="3D7B39C8"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$4,296</w:t>
            </w:r>
          </w:p>
        </w:tc>
        <w:tc>
          <w:tcPr>
            <w:tcW w:w="1885" w:type="dxa"/>
            <w:noWrap/>
            <w:hideMark/>
          </w:tcPr>
          <w:p w14:paraId="3B6485C6"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$716</w:t>
            </w:r>
          </w:p>
        </w:tc>
      </w:tr>
      <w:tr w:rsidR="00EF1607" w:rsidRPr="00594CBF" w14:paraId="6A34BD35"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5DABA766" w14:textId="77777777" w:rsidR="00EF1607" w:rsidRPr="00594CBF" w:rsidRDefault="00EF1607" w:rsidP="008E1278">
            <w:r w:rsidRPr="00594CBF">
              <w:t>J</w:t>
            </w:r>
          </w:p>
        </w:tc>
        <w:tc>
          <w:tcPr>
            <w:tcW w:w="1620" w:type="dxa"/>
            <w:noWrap/>
            <w:hideMark/>
          </w:tcPr>
          <w:p w14:paraId="1D41E0DA"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4/18/2019</w:t>
            </w:r>
          </w:p>
        </w:tc>
        <w:tc>
          <w:tcPr>
            <w:tcW w:w="1440" w:type="dxa"/>
            <w:noWrap/>
            <w:hideMark/>
          </w:tcPr>
          <w:p w14:paraId="035BDB26"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Performance</w:t>
            </w:r>
          </w:p>
        </w:tc>
        <w:tc>
          <w:tcPr>
            <w:tcW w:w="2070" w:type="dxa"/>
            <w:noWrap/>
            <w:hideMark/>
          </w:tcPr>
          <w:p w14:paraId="75F2ED02"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04/19/19 - 10/16/19</w:t>
            </w:r>
          </w:p>
        </w:tc>
        <w:tc>
          <w:tcPr>
            <w:tcW w:w="1800" w:type="dxa"/>
            <w:noWrap/>
            <w:hideMark/>
          </w:tcPr>
          <w:p w14:paraId="037B6C60"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$4,425</w:t>
            </w:r>
          </w:p>
        </w:tc>
        <w:tc>
          <w:tcPr>
            <w:tcW w:w="1885" w:type="dxa"/>
            <w:noWrap/>
            <w:hideMark/>
          </w:tcPr>
          <w:p w14:paraId="30F96216"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$738</w:t>
            </w:r>
          </w:p>
        </w:tc>
      </w:tr>
      <w:tr w:rsidR="00EF1607" w:rsidRPr="00594CBF" w14:paraId="1BD200B9"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044B8495" w14:textId="77777777" w:rsidR="00EF1607" w:rsidRPr="00594CBF" w:rsidRDefault="00EF1607" w:rsidP="008E1278">
            <w:r w:rsidRPr="00594CBF">
              <w:t>K</w:t>
            </w:r>
          </w:p>
        </w:tc>
        <w:tc>
          <w:tcPr>
            <w:tcW w:w="1620" w:type="dxa"/>
            <w:noWrap/>
            <w:hideMark/>
          </w:tcPr>
          <w:p w14:paraId="6029F1F0"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5/15/2019</w:t>
            </w:r>
          </w:p>
        </w:tc>
        <w:tc>
          <w:tcPr>
            <w:tcW w:w="1440" w:type="dxa"/>
            <w:noWrap/>
            <w:hideMark/>
          </w:tcPr>
          <w:p w14:paraId="44336BAA"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Performance</w:t>
            </w:r>
          </w:p>
        </w:tc>
        <w:tc>
          <w:tcPr>
            <w:tcW w:w="2070" w:type="dxa"/>
            <w:noWrap/>
            <w:hideMark/>
          </w:tcPr>
          <w:p w14:paraId="03B62CAE"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05/16/19 - 11/12/19</w:t>
            </w:r>
          </w:p>
        </w:tc>
        <w:tc>
          <w:tcPr>
            <w:tcW w:w="1800" w:type="dxa"/>
            <w:noWrap/>
            <w:hideMark/>
          </w:tcPr>
          <w:p w14:paraId="7EDCD378"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$4,357</w:t>
            </w:r>
          </w:p>
        </w:tc>
        <w:tc>
          <w:tcPr>
            <w:tcW w:w="1885" w:type="dxa"/>
            <w:noWrap/>
            <w:hideMark/>
          </w:tcPr>
          <w:p w14:paraId="78A98EA3"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$726</w:t>
            </w:r>
          </w:p>
        </w:tc>
      </w:tr>
      <w:tr w:rsidR="00EF1607" w:rsidRPr="00594CBF" w14:paraId="3698E91B"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62727646" w14:textId="77777777" w:rsidR="00EF1607" w:rsidRPr="00594CBF" w:rsidRDefault="00EF1607" w:rsidP="008E1278">
            <w:r w:rsidRPr="00594CBF">
              <w:t>H</w:t>
            </w:r>
          </w:p>
        </w:tc>
        <w:tc>
          <w:tcPr>
            <w:tcW w:w="1620" w:type="dxa"/>
            <w:noWrap/>
            <w:hideMark/>
          </w:tcPr>
          <w:p w14:paraId="5C3036B1"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5/17/2019</w:t>
            </w:r>
          </w:p>
        </w:tc>
        <w:tc>
          <w:tcPr>
            <w:tcW w:w="1440" w:type="dxa"/>
            <w:noWrap/>
            <w:hideMark/>
          </w:tcPr>
          <w:p w14:paraId="40AF0748"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Excluded</w:t>
            </w:r>
          </w:p>
        </w:tc>
        <w:tc>
          <w:tcPr>
            <w:tcW w:w="2070" w:type="dxa"/>
            <w:noWrap/>
            <w:hideMark/>
          </w:tcPr>
          <w:p w14:paraId="15B72CFA"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N/A</w:t>
            </w:r>
          </w:p>
        </w:tc>
        <w:tc>
          <w:tcPr>
            <w:tcW w:w="1800" w:type="dxa"/>
            <w:noWrap/>
            <w:hideMark/>
          </w:tcPr>
          <w:p w14:paraId="2F4521CD"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p>
        </w:tc>
        <w:tc>
          <w:tcPr>
            <w:tcW w:w="1885" w:type="dxa"/>
            <w:noWrap/>
            <w:hideMark/>
          </w:tcPr>
          <w:p w14:paraId="0A2E8B0B"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p>
        </w:tc>
      </w:tr>
      <w:tr w:rsidR="00EF1607" w:rsidRPr="00594CBF" w14:paraId="345F3B43" w14:textId="77777777" w:rsidTr="00046B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23338EEC" w14:textId="77777777" w:rsidR="00EF1607" w:rsidRPr="00594CBF" w:rsidRDefault="00EF1607" w:rsidP="008E1278">
            <w:r w:rsidRPr="00594CBF">
              <w:t>E</w:t>
            </w:r>
          </w:p>
        </w:tc>
        <w:tc>
          <w:tcPr>
            <w:tcW w:w="1620" w:type="dxa"/>
            <w:noWrap/>
            <w:hideMark/>
          </w:tcPr>
          <w:p w14:paraId="0BFEAC9C"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6/30/2019</w:t>
            </w:r>
          </w:p>
        </w:tc>
        <w:tc>
          <w:tcPr>
            <w:tcW w:w="1440" w:type="dxa"/>
            <w:noWrap/>
            <w:hideMark/>
          </w:tcPr>
          <w:p w14:paraId="44308AFA"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Performance</w:t>
            </w:r>
          </w:p>
        </w:tc>
        <w:tc>
          <w:tcPr>
            <w:tcW w:w="2070" w:type="dxa"/>
            <w:noWrap/>
            <w:hideMark/>
          </w:tcPr>
          <w:p w14:paraId="15507C67"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07/01/19 - 12/28/19</w:t>
            </w:r>
          </w:p>
        </w:tc>
        <w:tc>
          <w:tcPr>
            <w:tcW w:w="1800" w:type="dxa"/>
            <w:noWrap/>
            <w:hideMark/>
          </w:tcPr>
          <w:p w14:paraId="4BC13E41"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$4,467</w:t>
            </w:r>
          </w:p>
        </w:tc>
        <w:tc>
          <w:tcPr>
            <w:tcW w:w="1885" w:type="dxa"/>
            <w:noWrap/>
            <w:hideMark/>
          </w:tcPr>
          <w:p w14:paraId="4F7E1E5A" w14:textId="77777777" w:rsidR="00EF1607" w:rsidRPr="00594CBF" w:rsidRDefault="00EF1607" w:rsidP="008E1278">
            <w:pPr>
              <w:cnfStyle w:val="000000100000" w:firstRow="0" w:lastRow="0" w:firstColumn="0" w:lastColumn="0" w:oddVBand="0" w:evenVBand="0" w:oddHBand="1" w:evenHBand="0" w:firstRowFirstColumn="0" w:firstRowLastColumn="0" w:lastRowFirstColumn="0" w:lastRowLastColumn="0"/>
            </w:pPr>
            <w:r w:rsidRPr="00594CBF">
              <w:t>$745</w:t>
            </w:r>
          </w:p>
        </w:tc>
      </w:tr>
      <w:tr w:rsidR="00EF1607" w:rsidRPr="00594CBF" w14:paraId="42E6CFD2" w14:textId="77777777" w:rsidTr="00046BDB">
        <w:trPr>
          <w:trHeight w:val="300"/>
        </w:trPr>
        <w:tc>
          <w:tcPr>
            <w:cnfStyle w:val="001000000000" w:firstRow="0" w:lastRow="0" w:firstColumn="1" w:lastColumn="0" w:oddVBand="0" w:evenVBand="0" w:oddHBand="0" w:evenHBand="0" w:firstRowFirstColumn="0" w:firstRowLastColumn="0" w:lastRowFirstColumn="0" w:lastRowLastColumn="0"/>
            <w:tcW w:w="535" w:type="dxa"/>
            <w:noWrap/>
            <w:hideMark/>
          </w:tcPr>
          <w:p w14:paraId="447147A4" w14:textId="77777777" w:rsidR="00EF1607" w:rsidRPr="00594CBF" w:rsidRDefault="00EF1607" w:rsidP="008E1278">
            <w:r w:rsidRPr="00594CBF">
              <w:t>M</w:t>
            </w:r>
          </w:p>
        </w:tc>
        <w:tc>
          <w:tcPr>
            <w:tcW w:w="1620" w:type="dxa"/>
            <w:noWrap/>
            <w:hideMark/>
          </w:tcPr>
          <w:p w14:paraId="48D6314C"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7/1/2019</w:t>
            </w:r>
          </w:p>
        </w:tc>
        <w:tc>
          <w:tcPr>
            <w:tcW w:w="1440" w:type="dxa"/>
            <w:noWrap/>
            <w:hideMark/>
          </w:tcPr>
          <w:p w14:paraId="5C2E1ED4"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Next Performance Period</w:t>
            </w:r>
          </w:p>
        </w:tc>
        <w:tc>
          <w:tcPr>
            <w:tcW w:w="2070" w:type="dxa"/>
            <w:noWrap/>
            <w:hideMark/>
          </w:tcPr>
          <w:p w14:paraId="70618C45"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07/02/19 - 12/29/19</w:t>
            </w:r>
          </w:p>
        </w:tc>
        <w:tc>
          <w:tcPr>
            <w:tcW w:w="1800" w:type="dxa"/>
            <w:noWrap/>
            <w:hideMark/>
          </w:tcPr>
          <w:p w14:paraId="694F2A6D"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$4,470</w:t>
            </w:r>
          </w:p>
        </w:tc>
        <w:tc>
          <w:tcPr>
            <w:tcW w:w="1885" w:type="dxa"/>
            <w:noWrap/>
            <w:hideMark/>
          </w:tcPr>
          <w:p w14:paraId="1D1B7F13" w14:textId="77777777" w:rsidR="00EF1607" w:rsidRPr="00594CBF" w:rsidRDefault="00EF1607" w:rsidP="008E1278">
            <w:pPr>
              <w:cnfStyle w:val="000000000000" w:firstRow="0" w:lastRow="0" w:firstColumn="0" w:lastColumn="0" w:oddVBand="0" w:evenVBand="0" w:oddHBand="0" w:evenHBand="0" w:firstRowFirstColumn="0" w:firstRowLastColumn="0" w:lastRowFirstColumn="0" w:lastRowLastColumn="0"/>
            </w:pPr>
            <w:r w:rsidRPr="00594CBF">
              <w:t>$745</w:t>
            </w:r>
          </w:p>
        </w:tc>
      </w:tr>
    </w:tbl>
    <w:p w14:paraId="2BBF95EA" w14:textId="77777777" w:rsidR="00EF1607" w:rsidRDefault="00EF1607" w:rsidP="00EF1607">
      <w:pPr>
        <w:spacing w:after="0"/>
      </w:pPr>
    </w:p>
    <w:p w14:paraId="6FE6F7B0" w14:textId="77777777" w:rsidR="00EF1607" w:rsidRPr="001B67D7" w:rsidRDefault="00EF1607" w:rsidP="00EF1607">
      <w:pPr>
        <w:spacing w:after="0"/>
        <w:rPr>
          <w:b/>
        </w:rPr>
      </w:pPr>
      <w:r w:rsidRPr="001B67D7">
        <w:rPr>
          <w:b/>
        </w:rPr>
        <w:t>Savings Calculation</w:t>
      </w:r>
    </w:p>
    <w:tbl>
      <w:tblPr>
        <w:tblStyle w:val="GridTable4-Accent5"/>
        <w:tblW w:w="0" w:type="auto"/>
        <w:tblLook w:val="04A0" w:firstRow="1" w:lastRow="0" w:firstColumn="1" w:lastColumn="0" w:noHBand="0" w:noVBand="1"/>
      </w:tblPr>
      <w:tblGrid>
        <w:gridCol w:w="3116"/>
        <w:gridCol w:w="1379"/>
        <w:gridCol w:w="4855"/>
      </w:tblGrid>
      <w:tr w:rsidR="00EF1607" w14:paraId="289D657E" w14:textId="77777777" w:rsidTr="0004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AB9184C" w14:textId="77777777" w:rsidR="00EF1607" w:rsidRDefault="00EF1607" w:rsidP="008E1278">
            <w:pPr>
              <w:rPr>
                <w:b w:val="0"/>
              </w:rPr>
            </w:pPr>
          </w:p>
        </w:tc>
        <w:tc>
          <w:tcPr>
            <w:tcW w:w="1379" w:type="dxa"/>
          </w:tcPr>
          <w:p w14:paraId="79E5CABC" w14:textId="77777777" w:rsidR="00EF1607" w:rsidRDefault="00EF1607" w:rsidP="008E1278">
            <w:pPr>
              <w:cnfStyle w:val="100000000000" w:firstRow="1" w:lastRow="0" w:firstColumn="0" w:lastColumn="0" w:oddVBand="0" w:evenVBand="0" w:oddHBand="0" w:evenHBand="0" w:firstRowFirstColumn="0" w:firstRowLastColumn="0" w:lastRowFirstColumn="0" w:lastRowLastColumn="0"/>
              <w:rPr>
                <w:b w:val="0"/>
              </w:rPr>
            </w:pPr>
            <w:r>
              <w:rPr>
                <w:b w:val="0"/>
              </w:rPr>
              <w:t>PBPM</w:t>
            </w:r>
          </w:p>
        </w:tc>
        <w:tc>
          <w:tcPr>
            <w:tcW w:w="4855" w:type="dxa"/>
          </w:tcPr>
          <w:p w14:paraId="7F9F9829" w14:textId="77777777" w:rsidR="00EF1607" w:rsidRDefault="00EF1607" w:rsidP="008E1278">
            <w:pPr>
              <w:cnfStyle w:val="100000000000" w:firstRow="1" w:lastRow="0" w:firstColumn="0" w:lastColumn="0" w:oddVBand="0" w:evenVBand="0" w:oddHBand="0" w:evenHBand="0" w:firstRowFirstColumn="0" w:firstRowLastColumn="0" w:lastRowFirstColumn="0" w:lastRowLastColumn="0"/>
              <w:rPr>
                <w:b w:val="0"/>
              </w:rPr>
            </w:pPr>
            <w:r>
              <w:rPr>
                <w:b w:val="0"/>
              </w:rPr>
              <w:t>Notes</w:t>
            </w:r>
          </w:p>
        </w:tc>
      </w:tr>
      <w:tr w:rsidR="00EF1607" w14:paraId="18964E21"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394B4B58" w14:textId="77777777" w:rsidR="00EF1607" w:rsidRPr="003A4D03" w:rsidRDefault="00EF1607" w:rsidP="008E1278">
            <w:pPr>
              <w:jc w:val="center"/>
              <w:rPr>
                <w:b w:val="0"/>
              </w:rPr>
            </w:pPr>
            <w:r w:rsidRPr="001B67D7">
              <w:rPr>
                <w:b w:val="0"/>
              </w:rPr>
              <w:t xml:space="preserve">Baseline </w:t>
            </w:r>
            <w:r>
              <w:rPr>
                <w:b w:val="0"/>
              </w:rPr>
              <w:t>Period</w:t>
            </w:r>
            <w:r w:rsidRPr="001B67D7">
              <w:rPr>
                <w:b w:val="0"/>
              </w:rPr>
              <w:t xml:space="preserve"> Costs</w:t>
            </w:r>
            <w:r>
              <w:rPr>
                <w:b w:val="0"/>
              </w:rPr>
              <w:t xml:space="preserve"> </w:t>
            </w:r>
            <w:r w:rsidRPr="001B67D7">
              <w:rPr>
                <w:b w:val="0"/>
              </w:rPr>
              <w:t>(5 beneficiaries)</w:t>
            </w:r>
          </w:p>
        </w:tc>
      </w:tr>
      <w:tr w:rsidR="00EF1607" w14:paraId="6A4CC3E4" w14:textId="77777777" w:rsidTr="00046BDB">
        <w:tc>
          <w:tcPr>
            <w:cnfStyle w:val="001000000000" w:firstRow="0" w:lastRow="0" w:firstColumn="1" w:lastColumn="0" w:oddVBand="0" w:evenVBand="0" w:oddHBand="0" w:evenHBand="0" w:firstRowFirstColumn="0" w:firstRowLastColumn="0" w:lastRowFirstColumn="0" w:lastRowLastColumn="0"/>
            <w:tcW w:w="3116" w:type="dxa"/>
          </w:tcPr>
          <w:p w14:paraId="594015B0" w14:textId="77777777" w:rsidR="00EF1607" w:rsidRDefault="00EF1607" w:rsidP="008E1278">
            <w:pPr>
              <w:rPr>
                <w:b w:val="0"/>
              </w:rPr>
            </w:pPr>
            <w:r>
              <w:rPr>
                <w:b w:val="0"/>
              </w:rPr>
              <w:t>Base</w:t>
            </w:r>
          </w:p>
        </w:tc>
        <w:tc>
          <w:tcPr>
            <w:tcW w:w="1379" w:type="dxa"/>
          </w:tcPr>
          <w:p w14:paraId="0A8CE8A4" w14:textId="77777777" w:rsidR="00EF1607" w:rsidRPr="001B67D7" w:rsidRDefault="00EF1607" w:rsidP="008E1278">
            <w:pPr>
              <w:cnfStyle w:val="000000000000" w:firstRow="0" w:lastRow="0" w:firstColumn="0" w:lastColumn="0" w:oddVBand="0" w:evenVBand="0" w:oddHBand="0" w:evenHBand="0" w:firstRowFirstColumn="0" w:firstRowLastColumn="0" w:lastRowFirstColumn="0" w:lastRowLastColumn="0"/>
            </w:pPr>
            <w:r w:rsidRPr="001B67D7">
              <w:t>$812</w:t>
            </w:r>
          </w:p>
        </w:tc>
        <w:tc>
          <w:tcPr>
            <w:tcW w:w="4855" w:type="dxa"/>
          </w:tcPr>
          <w:p w14:paraId="5AC59E0A" w14:textId="77777777" w:rsidR="00EF1607" w:rsidRPr="001B67D7" w:rsidRDefault="00EF1607" w:rsidP="008E1278">
            <w:pPr>
              <w:cnfStyle w:val="000000000000" w:firstRow="0" w:lastRow="0" w:firstColumn="0" w:lastColumn="0" w:oddVBand="0" w:evenVBand="0" w:oddHBand="0" w:evenHBand="0" w:firstRowFirstColumn="0" w:firstRowLastColumn="0" w:lastRowFirstColumn="0" w:lastRowLastColumn="0"/>
            </w:pPr>
            <w:r>
              <w:t>Adds together PBPM costs for B, C, D, E, &amp; F ($4,062) then divides by number of base period beneficiaries (5)</w:t>
            </w:r>
          </w:p>
        </w:tc>
      </w:tr>
      <w:tr w:rsidR="00EF1607" w14:paraId="54B7F241"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03EF00" w14:textId="77777777" w:rsidR="00EF1607" w:rsidRDefault="00EF1607" w:rsidP="008E1278">
            <w:pPr>
              <w:rPr>
                <w:b w:val="0"/>
              </w:rPr>
            </w:pPr>
            <w:r>
              <w:rPr>
                <w:b w:val="0"/>
              </w:rPr>
              <w:t>Inflation Rate</w:t>
            </w:r>
          </w:p>
        </w:tc>
        <w:tc>
          <w:tcPr>
            <w:tcW w:w="1379" w:type="dxa"/>
          </w:tcPr>
          <w:p w14:paraId="17F49F6E" w14:textId="77777777" w:rsidR="00EF1607" w:rsidRPr="001B67D7" w:rsidRDefault="00EF1607" w:rsidP="008E1278">
            <w:pPr>
              <w:cnfStyle w:val="000000100000" w:firstRow="0" w:lastRow="0" w:firstColumn="0" w:lastColumn="0" w:oddVBand="0" w:evenVBand="0" w:oddHBand="1" w:evenHBand="0" w:firstRowFirstColumn="0" w:firstRowLastColumn="0" w:lastRowFirstColumn="0" w:lastRowLastColumn="0"/>
            </w:pPr>
            <w:r>
              <w:t>1.50%</w:t>
            </w:r>
          </w:p>
        </w:tc>
        <w:tc>
          <w:tcPr>
            <w:tcW w:w="4855" w:type="dxa"/>
          </w:tcPr>
          <w:p w14:paraId="1E94FCEE" w14:textId="77777777" w:rsidR="00EF1607" w:rsidRPr="001B67D7" w:rsidRDefault="00EF1607" w:rsidP="008E1278">
            <w:pPr>
              <w:cnfStyle w:val="000000100000" w:firstRow="0" w:lastRow="0" w:firstColumn="0" w:lastColumn="0" w:oddVBand="0" w:evenVBand="0" w:oddHBand="1" w:evenHBand="0" w:firstRowFirstColumn="0" w:firstRowLastColumn="0" w:lastRowFirstColumn="0" w:lastRowLastColumn="0"/>
            </w:pPr>
          </w:p>
        </w:tc>
      </w:tr>
      <w:tr w:rsidR="00EF1607" w14:paraId="5F573D98" w14:textId="77777777" w:rsidTr="00046BDB">
        <w:tc>
          <w:tcPr>
            <w:cnfStyle w:val="001000000000" w:firstRow="0" w:lastRow="0" w:firstColumn="1" w:lastColumn="0" w:oddVBand="0" w:evenVBand="0" w:oddHBand="0" w:evenHBand="0" w:firstRowFirstColumn="0" w:firstRowLastColumn="0" w:lastRowFirstColumn="0" w:lastRowLastColumn="0"/>
            <w:tcW w:w="3116" w:type="dxa"/>
          </w:tcPr>
          <w:p w14:paraId="2FD57F81" w14:textId="3E5E19D0" w:rsidR="00EF1607" w:rsidRDefault="00EF1607" w:rsidP="00046BDB">
            <w:pPr>
              <w:rPr>
                <w:b w:val="0"/>
              </w:rPr>
            </w:pPr>
            <w:r>
              <w:rPr>
                <w:b w:val="0"/>
              </w:rPr>
              <w:t xml:space="preserve">Target </w:t>
            </w:r>
            <w:r w:rsidR="00FC1A79">
              <w:rPr>
                <w:b w:val="0"/>
              </w:rPr>
              <w:t>Price</w:t>
            </w:r>
          </w:p>
        </w:tc>
        <w:tc>
          <w:tcPr>
            <w:tcW w:w="1379" w:type="dxa"/>
          </w:tcPr>
          <w:p w14:paraId="2C89542D" w14:textId="77777777" w:rsidR="00EF1607" w:rsidRPr="001B67D7" w:rsidRDefault="00EF1607" w:rsidP="008E1278">
            <w:pPr>
              <w:cnfStyle w:val="000000000000" w:firstRow="0" w:lastRow="0" w:firstColumn="0" w:lastColumn="0" w:oddVBand="0" w:evenVBand="0" w:oddHBand="0" w:evenHBand="0" w:firstRowFirstColumn="0" w:firstRowLastColumn="0" w:lastRowFirstColumn="0" w:lastRowLastColumn="0"/>
            </w:pPr>
            <w:r>
              <w:t>$825</w:t>
            </w:r>
          </w:p>
        </w:tc>
        <w:tc>
          <w:tcPr>
            <w:tcW w:w="4855" w:type="dxa"/>
          </w:tcPr>
          <w:p w14:paraId="2B6F13CC" w14:textId="77777777" w:rsidR="00EF1607" w:rsidRPr="001B67D7" w:rsidRDefault="00EF1607" w:rsidP="008E1278">
            <w:pPr>
              <w:cnfStyle w:val="000000000000" w:firstRow="0" w:lastRow="0" w:firstColumn="0" w:lastColumn="0" w:oddVBand="0" w:evenVBand="0" w:oddHBand="0" w:evenHBand="0" w:firstRowFirstColumn="0" w:firstRowLastColumn="0" w:lastRowFirstColumn="0" w:lastRowLastColumn="0"/>
            </w:pPr>
            <w:r>
              <w:t>Multiples the base by 1 plus the inflation rate</w:t>
            </w:r>
          </w:p>
        </w:tc>
      </w:tr>
      <w:tr w:rsidR="00EF1607" w14:paraId="078B31D5"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30E2CACF" w14:textId="77777777" w:rsidR="00EF1607" w:rsidRDefault="00EF1607" w:rsidP="008E1278">
            <w:pPr>
              <w:jc w:val="center"/>
            </w:pPr>
            <w:r>
              <w:rPr>
                <w:b w:val="0"/>
              </w:rPr>
              <w:t>Performance</w:t>
            </w:r>
            <w:r w:rsidRPr="00790FE6">
              <w:rPr>
                <w:b w:val="0"/>
              </w:rPr>
              <w:t xml:space="preserve"> </w:t>
            </w:r>
            <w:r>
              <w:rPr>
                <w:b w:val="0"/>
              </w:rPr>
              <w:t>Period</w:t>
            </w:r>
            <w:r w:rsidRPr="00790FE6">
              <w:rPr>
                <w:b w:val="0"/>
              </w:rPr>
              <w:t xml:space="preserve"> Costs (</w:t>
            </w:r>
            <w:r>
              <w:rPr>
                <w:b w:val="0"/>
              </w:rPr>
              <w:t>6</w:t>
            </w:r>
            <w:r w:rsidRPr="00790FE6">
              <w:rPr>
                <w:b w:val="0"/>
              </w:rPr>
              <w:t xml:space="preserve"> beneficiaries)</w:t>
            </w:r>
          </w:p>
        </w:tc>
      </w:tr>
      <w:tr w:rsidR="00EF1607" w14:paraId="24E4BCF6" w14:textId="77777777" w:rsidTr="00046BDB">
        <w:tc>
          <w:tcPr>
            <w:cnfStyle w:val="001000000000" w:firstRow="0" w:lastRow="0" w:firstColumn="1" w:lastColumn="0" w:oddVBand="0" w:evenVBand="0" w:oddHBand="0" w:evenHBand="0" w:firstRowFirstColumn="0" w:firstRowLastColumn="0" w:lastRowFirstColumn="0" w:lastRowLastColumn="0"/>
            <w:tcW w:w="3116" w:type="dxa"/>
          </w:tcPr>
          <w:p w14:paraId="02036890" w14:textId="77777777" w:rsidR="00EF1607" w:rsidRDefault="00EF1607" w:rsidP="008E1278">
            <w:pPr>
              <w:rPr>
                <w:b w:val="0"/>
              </w:rPr>
            </w:pPr>
            <w:r>
              <w:rPr>
                <w:b w:val="0"/>
              </w:rPr>
              <w:t>Performance Costs</w:t>
            </w:r>
          </w:p>
        </w:tc>
        <w:tc>
          <w:tcPr>
            <w:tcW w:w="1379" w:type="dxa"/>
          </w:tcPr>
          <w:p w14:paraId="57CF07EB" w14:textId="77777777" w:rsidR="00EF1607" w:rsidRDefault="00EF1607" w:rsidP="008E1278">
            <w:pPr>
              <w:cnfStyle w:val="000000000000" w:firstRow="0" w:lastRow="0" w:firstColumn="0" w:lastColumn="0" w:oddVBand="0" w:evenVBand="0" w:oddHBand="0" w:evenHBand="0" w:firstRowFirstColumn="0" w:firstRowLastColumn="0" w:lastRowFirstColumn="0" w:lastRowLastColumn="0"/>
            </w:pPr>
            <w:r>
              <w:t>$730</w:t>
            </w:r>
          </w:p>
        </w:tc>
        <w:tc>
          <w:tcPr>
            <w:tcW w:w="4855" w:type="dxa"/>
          </w:tcPr>
          <w:p w14:paraId="3C6FB7A3" w14:textId="3B1123B1" w:rsidR="00EF1607" w:rsidRDefault="00EF1607" w:rsidP="008E1278">
            <w:pPr>
              <w:cnfStyle w:val="000000000000" w:firstRow="0" w:lastRow="0" w:firstColumn="0" w:lastColumn="0" w:oddVBand="0" w:evenVBand="0" w:oddHBand="0" w:evenHBand="0" w:firstRowFirstColumn="0" w:firstRowLastColumn="0" w:lastRowFirstColumn="0" w:lastRowLastColumn="0"/>
            </w:pPr>
            <w:r>
              <w:t xml:space="preserve">Adds together PBPM costs for G, H, I, J, K, &amp; E ($4,380) then divides by number of </w:t>
            </w:r>
            <w:r w:rsidR="00AB617A">
              <w:t>Performance Period</w:t>
            </w:r>
            <w:r>
              <w:t xml:space="preserve"> beneficiaries (6)</w:t>
            </w:r>
          </w:p>
        </w:tc>
      </w:tr>
      <w:tr w:rsidR="00EF1607" w14:paraId="74731F4C"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631ED8D" w14:textId="77777777" w:rsidR="00EF1607" w:rsidRPr="001B67D7" w:rsidRDefault="00EF1607" w:rsidP="008E1278">
            <w:pPr>
              <w:jc w:val="center"/>
              <w:rPr>
                <w:b w:val="0"/>
              </w:rPr>
            </w:pPr>
            <w:r>
              <w:rPr>
                <w:b w:val="0"/>
              </w:rPr>
              <w:t>Reconciliation Calculation</w:t>
            </w:r>
          </w:p>
        </w:tc>
      </w:tr>
      <w:tr w:rsidR="00EF1607" w14:paraId="5D2DEB13" w14:textId="77777777" w:rsidTr="00046BDB">
        <w:tc>
          <w:tcPr>
            <w:cnfStyle w:val="001000000000" w:firstRow="0" w:lastRow="0" w:firstColumn="1" w:lastColumn="0" w:oddVBand="0" w:evenVBand="0" w:oddHBand="0" w:evenHBand="0" w:firstRowFirstColumn="0" w:firstRowLastColumn="0" w:lastRowFirstColumn="0" w:lastRowLastColumn="0"/>
            <w:tcW w:w="3116" w:type="dxa"/>
          </w:tcPr>
          <w:p w14:paraId="7F84A828" w14:textId="77777777" w:rsidR="00EF1607" w:rsidRPr="005301BC" w:rsidRDefault="00EF1607" w:rsidP="008E1278">
            <w:pPr>
              <w:rPr>
                <w:b w:val="0"/>
              </w:rPr>
            </w:pPr>
            <w:r w:rsidRPr="001B67D7">
              <w:rPr>
                <w:b w:val="0"/>
              </w:rPr>
              <w:t>Savings PBPY</w:t>
            </w:r>
          </w:p>
        </w:tc>
        <w:tc>
          <w:tcPr>
            <w:tcW w:w="1379" w:type="dxa"/>
          </w:tcPr>
          <w:p w14:paraId="1F3408FC" w14:textId="77777777" w:rsidR="00EF1607" w:rsidRDefault="00EF1607" w:rsidP="008E1278">
            <w:pPr>
              <w:cnfStyle w:val="000000000000" w:firstRow="0" w:lastRow="0" w:firstColumn="0" w:lastColumn="0" w:oddVBand="0" w:evenVBand="0" w:oddHBand="0" w:evenHBand="0" w:firstRowFirstColumn="0" w:firstRowLastColumn="0" w:lastRowFirstColumn="0" w:lastRowLastColumn="0"/>
            </w:pPr>
            <w:r w:rsidRPr="006454F3">
              <w:t>$95</w:t>
            </w:r>
          </w:p>
        </w:tc>
        <w:tc>
          <w:tcPr>
            <w:tcW w:w="4855" w:type="dxa"/>
          </w:tcPr>
          <w:p w14:paraId="2A49682A" w14:textId="1B93230E" w:rsidR="00EF1607" w:rsidRDefault="00EF1607" w:rsidP="00046BDB">
            <w:pPr>
              <w:cnfStyle w:val="000000000000" w:firstRow="0" w:lastRow="0" w:firstColumn="0" w:lastColumn="0" w:oddVBand="0" w:evenVBand="0" w:oddHBand="0" w:evenHBand="0" w:firstRowFirstColumn="0" w:firstRowLastColumn="0" w:lastRowFirstColumn="0" w:lastRowLastColumn="0"/>
            </w:pPr>
            <w:r>
              <w:t xml:space="preserve">Subtracts Performance Costs from Target </w:t>
            </w:r>
            <w:r w:rsidR="00AB26F0">
              <w:t>Price</w:t>
            </w:r>
          </w:p>
        </w:tc>
      </w:tr>
      <w:tr w:rsidR="00EF1607" w14:paraId="01E13826" w14:textId="77777777" w:rsidTr="0004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5A00D3F" w14:textId="77777777" w:rsidR="00EF1607" w:rsidRPr="005301BC" w:rsidRDefault="00EF1607" w:rsidP="008E1278">
            <w:pPr>
              <w:rPr>
                <w:b w:val="0"/>
              </w:rPr>
            </w:pPr>
            <w:r w:rsidRPr="001B67D7">
              <w:rPr>
                <w:b w:val="0"/>
              </w:rPr>
              <w:t>Savings Total</w:t>
            </w:r>
          </w:p>
        </w:tc>
        <w:tc>
          <w:tcPr>
            <w:tcW w:w="1379" w:type="dxa"/>
          </w:tcPr>
          <w:p w14:paraId="2828FF75" w14:textId="77777777" w:rsidR="00EF1607" w:rsidRDefault="00EF1607" w:rsidP="008E1278">
            <w:pPr>
              <w:cnfStyle w:val="000000100000" w:firstRow="0" w:lastRow="0" w:firstColumn="0" w:lastColumn="0" w:oddVBand="0" w:evenVBand="0" w:oddHBand="1" w:evenHBand="0" w:firstRowFirstColumn="0" w:firstRowLastColumn="0" w:lastRowFirstColumn="0" w:lastRowLastColumn="0"/>
            </w:pPr>
            <w:r w:rsidRPr="006454F3">
              <w:t>$568</w:t>
            </w:r>
          </w:p>
        </w:tc>
        <w:tc>
          <w:tcPr>
            <w:tcW w:w="4855" w:type="dxa"/>
          </w:tcPr>
          <w:p w14:paraId="47DCEF9D" w14:textId="76B49D2F" w:rsidR="00EF1607" w:rsidRDefault="00EF1607" w:rsidP="008E1278">
            <w:pPr>
              <w:cnfStyle w:val="000000100000" w:firstRow="0" w:lastRow="0" w:firstColumn="0" w:lastColumn="0" w:oddVBand="0" w:evenVBand="0" w:oddHBand="1" w:evenHBand="0" w:firstRowFirstColumn="0" w:firstRowLastColumn="0" w:lastRowFirstColumn="0" w:lastRowLastColumn="0"/>
            </w:pPr>
            <w:r>
              <w:t xml:space="preserve">Multiplies Savings PBPY by </w:t>
            </w:r>
            <w:r w:rsidR="00AB617A">
              <w:t>Performance Period</w:t>
            </w:r>
            <w:r>
              <w:t xml:space="preserve"> beneficiaries (6)</w:t>
            </w:r>
          </w:p>
        </w:tc>
      </w:tr>
      <w:tr w:rsidR="00EF1607" w14:paraId="2E5134E7" w14:textId="77777777" w:rsidTr="00046BDB">
        <w:tc>
          <w:tcPr>
            <w:cnfStyle w:val="001000000000" w:firstRow="0" w:lastRow="0" w:firstColumn="1" w:lastColumn="0" w:oddVBand="0" w:evenVBand="0" w:oddHBand="0" w:evenHBand="0" w:firstRowFirstColumn="0" w:firstRowLastColumn="0" w:lastRowFirstColumn="0" w:lastRowLastColumn="0"/>
            <w:tcW w:w="3116" w:type="dxa"/>
          </w:tcPr>
          <w:p w14:paraId="3833C2AD" w14:textId="77777777" w:rsidR="00EF1607" w:rsidRPr="005301BC" w:rsidRDefault="00EF1607" w:rsidP="008E1278">
            <w:pPr>
              <w:rPr>
                <w:b w:val="0"/>
              </w:rPr>
            </w:pPr>
            <w:r w:rsidRPr="001B67D7">
              <w:rPr>
                <w:b w:val="0"/>
              </w:rPr>
              <w:t>Savings %</w:t>
            </w:r>
          </w:p>
        </w:tc>
        <w:tc>
          <w:tcPr>
            <w:tcW w:w="1379" w:type="dxa"/>
          </w:tcPr>
          <w:p w14:paraId="34C03B85" w14:textId="77777777" w:rsidR="00EF1607" w:rsidRDefault="00EF1607" w:rsidP="008E1278">
            <w:pPr>
              <w:cnfStyle w:val="000000000000" w:firstRow="0" w:lastRow="0" w:firstColumn="0" w:lastColumn="0" w:oddVBand="0" w:evenVBand="0" w:oddHBand="0" w:evenHBand="0" w:firstRowFirstColumn="0" w:firstRowLastColumn="0" w:lastRowFirstColumn="0" w:lastRowLastColumn="0"/>
            </w:pPr>
            <w:r w:rsidRPr="006454F3">
              <w:t>11.5%</w:t>
            </w:r>
          </w:p>
        </w:tc>
        <w:tc>
          <w:tcPr>
            <w:tcW w:w="4855" w:type="dxa"/>
          </w:tcPr>
          <w:p w14:paraId="4DB83189" w14:textId="09FF10C2" w:rsidR="00EF1607" w:rsidRDefault="00EF1607" w:rsidP="00046BDB">
            <w:pPr>
              <w:cnfStyle w:val="000000000000" w:firstRow="0" w:lastRow="0" w:firstColumn="0" w:lastColumn="0" w:oddVBand="0" w:evenVBand="0" w:oddHBand="0" w:evenHBand="0" w:firstRowFirstColumn="0" w:firstRowLastColumn="0" w:lastRowFirstColumn="0" w:lastRowLastColumn="0"/>
            </w:pPr>
            <w:r>
              <w:t xml:space="preserve">Divides Savings PBPY by the Target </w:t>
            </w:r>
            <w:r w:rsidR="006E5B84">
              <w:t>Price</w:t>
            </w:r>
          </w:p>
        </w:tc>
      </w:tr>
    </w:tbl>
    <w:p w14:paraId="05B00B45" w14:textId="52ABEFB1" w:rsidR="005C1A07" w:rsidRPr="00B205D2" w:rsidRDefault="005C1A07" w:rsidP="008D68B4">
      <w:pPr>
        <w:spacing w:after="0"/>
      </w:pPr>
    </w:p>
    <w:sectPr w:rsidR="005C1A07" w:rsidRPr="00B205D2">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8143F8" w16cid:durableId="21766866"/>
  <w16cid:commentId w16cid:paraId="3C455143" w16cid:durableId="21766867"/>
  <w16cid:commentId w16cid:paraId="04BBC245" w16cid:durableId="21766868"/>
  <w16cid:commentId w16cid:paraId="2137686F" w16cid:durableId="21766869"/>
  <w16cid:commentId w16cid:paraId="76918DE0" w16cid:durableId="2176686A"/>
  <w16cid:commentId w16cid:paraId="573701A0" w16cid:durableId="217687A2"/>
  <w16cid:commentId w16cid:paraId="0C01CA40" w16cid:durableId="21766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F3A0C" w14:textId="77777777" w:rsidR="000D0AFA" w:rsidRDefault="000D0AFA" w:rsidP="00C876F9">
      <w:pPr>
        <w:spacing w:after="0" w:line="240" w:lineRule="auto"/>
      </w:pPr>
      <w:r>
        <w:separator/>
      </w:r>
    </w:p>
  </w:endnote>
  <w:endnote w:type="continuationSeparator" w:id="0">
    <w:p w14:paraId="0FFA0485" w14:textId="77777777" w:rsidR="000D0AFA" w:rsidRDefault="000D0AFA" w:rsidP="00C8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39631"/>
      <w:docPartObj>
        <w:docPartGallery w:val="Page Numbers (Bottom of Page)"/>
        <w:docPartUnique/>
      </w:docPartObj>
    </w:sdtPr>
    <w:sdtEndPr>
      <w:rPr>
        <w:noProof/>
      </w:rPr>
    </w:sdtEndPr>
    <w:sdtContent>
      <w:p w14:paraId="26FEAEE1" w14:textId="59B5B94F" w:rsidR="00D22894" w:rsidRDefault="00D22894">
        <w:pPr>
          <w:pStyle w:val="Footer"/>
          <w:jc w:val="center"/>
        </w:pPr>
        <w:r>
          <w:fldChar w:fldCharType="begin"/>
        </w:r>
        <w:r>
          <w:instrText xml:space="preserve"> PAGE   \* MERGEFORMAT </w:instrText>
        </w:r>
        <w:r>
          <w:fldChar w:fldCharType="separate"/>
        </w:r>
        <w:r w:rsidR="0059441E">
          <w:rPr>
            <w:noProof/>
          </w:rPr>
          <w:t>1</w:t>
        </w:r>
        <w:r>
          <w:rPr>
            <w:noProof/>
          </w:rPr>
          <w:fldChar w:fldCharType="end"/>
        </w:r>
      </w:p>
    </w:sdtContent>
  </w:sdt>
  <w:p w14:paraId="22B23649" w14:textId="77777777" w:rsidR="00D22894" w:rsidRDefault="00D22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22F45" w14:textId="77777777" w:rsidR="000D0AFA" w:rsidRDefault="000D0AFA" w:rsidP="00C876F9">
      <w:pPr>
        <w:spacing w:after="0" w:line="240" w:lineRule="auto"/>
      </w:pPr>
      <w:r>
        <w:separator/>
      </w:r>
    </w:p>
  </w:footnote>
  <w:footnote w:type="continuationSeparator" w:id="0">
    <w:p w14:paraId="0BAAFA68" w14:textId="77777777" w:rsidR="000D0AFA" w:rsidRDefault="000D0AFA" w:rsidP="00C876F9">
      <w:pPr>
        <w:spacing w:after="0" w:line="240" w:lineRule="auto"/>
      </w:pPr>
      <w:r>
        <w:continuationSeparator/>
      </w:r>
    </w:p>
  </w:footnote>
  <w:footnote w:id="1">
    <w:p w14:paraId="7E97A726" w14:textId="074857B9" w:rsidR="00D22894" w:rsidRDefault="00D22894">
      <w:pPr>
        <w:pStyle w:val="FootnoteText"/>
      </w:pPr>
      <w:r>
        <w:rPr>
          <w:rStyle w:val="FootnoteReference"/>
        </w:rPr>
        <w:footnoteRef/>
      </w:r>
      <w:r>
        <w:t xml:space="preserve"> </w:t>
      </w:r>
      <w:hyperlink r:id="rId1" w:history="1">
        <w:r>
          <w:rPr>
            <w:rStyle w:val="Hyperlink"/>
          </w:rPr>
          <w:t>https://hscrc.maryland.gov/Documents/October%202019%20Public%20Post-Meeting%20Materials.pdf</w:t>
        </w:r>
      </w:hyperlink>
    </w:p>
  </w:footnote>
  <w:footnote w:id="2">
    <w:p w14:paraId="2A3980AB" w14:textId="1F08A9BB" w:rsidR="00D22894" w:rsidRDefault="00D22894">
      <w:pPr>
        <w:pStyle w:val="FootnoteText"/>
      </w:pPr>
      <w:r>
        <w:rPr>
          <w:rStyle w:val="FootnoteReference"/>
        </w:rPr>
        <w:footnoteRef/>
      </w:r>
      <w:r>
        <w:t xml:space="preserve"> Ibid. </w:t>
      </w:r>
    </w:p>
  </w:footnote>
  <w:footnote w:id="3">
    <w:p w14:paraId="7CAF4673" w14:textId="4BE6B749" w:rsidR="00D22894" w:rsidRDefault="00D22894">
      <w:pPr>
        <w:pStyle w:val="FootnoteText"/>
      </w:pPr>
      <w:r>
        <w:rPr>
          <w:rStyle w:val="FootnoteReference"/>
        </w:rPr>
        <w:footnoteRef/>
      </w:r>
      <w:r>
        <w:t xml:space="preserve"> Ibid. </w:t>
      </w:r>
    </w:p>
  </w:footnote>
  <w:footnote w:id="4">
    <w:p w14:paraId="205F70E3" w14:textId="19329F8C" w:rsidR="00D22894" w:rsidRDefault="00D22894">
      <w:pPr>
        <w:pStyle w:val="FootnoteText"/>
      </w:pPr>
      <w:r>
        <w:rPr>
          <w:rStyle w:val="FootnoteReference"/>
        </w:rPr>
        <w:footnoteRef/>
      </w:r>
      <w:r>
        <w:t xml:space="preserve"> HSCRC Care Transformation Steering Committee website: </w:t>
      </w:r>
      <w:hyperlink r:id="rId2" w:history="1">
        <w:r w:rsidRPr="00F42084">
          <w:rPr>
            <w:rStyle w:val="Hyperlink"/>
          </w:rPr>
          <w:t>https://www.google.com/url?q=https://hscrc.maryland.gov/Pages/Care-Transformation-Steering-Committee.aspx&amp;sa=D&amp;source=hangouts&amp;ust=1573842900993000&amp;usg=AFQjCNFdcrfaENXSy2OKK3zVW7UGKXp2Tw</w:t>
        </w:r>
      </w:hyperlink>
      <w:r>
        <w:t xml:space="preserve"> </w:t>
      </w:r>
    </w:p>
  </w:footnote>
  <w:footnote w:id="5">
    <w:p w14:paraId="1159F47C" w14:textId="07558E46" w:rsidR="00D22894" w:rsidRDefault="00D22894">
      <w:pPr>
        <w:pStyle w:val="FootnoteText"/>
      </w:pPr>
      <w:r>
        <w:rPr>
          <w:rStyle w:val="FootnoteReference"/>
        </w:rPr>
        <w:footnoteRef/>
      </w:r>
      <w:r>
        <w:t xml:space="preserve"> Ibid.</w:t>
      </w:r>
    </w:p>
  </w:footnote>
  <w:footnote w:id="6">
    <w:p w14:paraId="3A59AD2C" w14:textId="462AC3CA" w:rsidR="000B0ADE" w:rsidRDefault="000B0ADE">
      <w:pPr>
        <w:pStyle w:val="FootnoteText"/>
      </w:pPr>
      <w:r>
        <w:rPr>
          <w:rStyle w:val="FootnoteReference"/>
        </w:rPr>
        <w:footnoteRef/>
      </w:r>
      <w:r>
        <w:t xml:space="preserve"> Only hospital rate centers for which there are consistent volume units are included; primaril</w:t>
      </w:r>
      <w:r w:rsidR="00272C1B">
        <w:t xml:space="preserve">y this excludes the labs and drugs rate centers. </w:t>
      </w:r>
    </w:p>
  </w:footnote>
  <w:footnote w:id="7">
    <w:p w14:paraId="60D60737" w14:textId="77777777" w:rsidR="00D22894" w:rsidRDefault="00D22894" w:rsidP="004A1635">
      <w:pPr>
        <w:pStyle w:val="FootnoteText"/>
      </w:pPr>
      <w:r>
        <w:rPr>
          <w:rStyle w:val="FootnoteReference"/>
        </w:rPr>
        <w:footnoteRef/>
      </w:r>
      <w:r>
        <w:t xml:space="preserve"> </w:t>
      </w:r>
      <w:r w:rsidRPr="0055336E">
        <w:t>https://www.cms.gov/Medicare/Medicare-Fee-for-Service-Payment/SNFPPS/List-of-SNF-Federal-Regulations.html</w:t>
      </w:r>
    </w:p>
  </w:footnote>
  <w:footnote w:id="8">
    <w:p w14:paraId="4443D5B7" w14:textId="1CBF0F6E" w:rsidR="00D22894" w:rsidRDefault="00D22894">
      <w:pPr>
        <w:pStyle w:val="FootnoteText"/>
      </w:pPr>
      <w:r>
        <w:rPr>
          <w:rStyle w:val="FootnoteReference"/>
        </w:rPr>
        <w:footnoteRef/>
      </w:r>
      <w:r>
        <w:t xml:space="preserve"> </w:t>
      </w:r>
      <w:r w:rsidRPr="00EF5E24">
        <w:t>https://www.cms.gov/Research-Statistics-Data-and-Systems/Statistics-Trends-and-Reports/MedicareProgramRatesStats/MarketBasketData.html</w:t>
      </w:r>
    </w:p>
  </w:footnote>
  <w:footnote w:id="9">
    <w:p w14:paraId="7FAFAAAD" w14:textId="3F825F75" w:rsidR="00D22894" w:rsidRDefault="00D22894">
      <w:pPr>
        <w:pStyle w:val="FootnoteText"/>
      </w:pPr>
      <w:r>
        <w:rPr>
          <w:rStyle w:val="FootnoteReference"/>
        </w:rPr>
        <w:footnoteRef/>
      </w:r>
      <w:r>
        <w:t xml:space="preserve"> HSCRC Care Transformation Steering Committee website: </w:t>
      </w:r>
      <w:hyperlink r:id="rId3" w:history="1">
        <w:r w:rsidRPr="00F42084">
          <w:rPr>
            <w:rStyle w:val="Hyperlink"/>
          </w:rPr>
          <w:t>https://www.google.com/url?q=https://hscrc.maryland.gov/Pages/Care-Transformation-Steering-Committee.aspx&amp;sa=D&amp;source=hangouts&amp;ust=1573842900993000&amp;usg=AFQjCNFdcrfaENXSy2OKK3zVW7UGKXp2Tw</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DF6"/>
    <w:multiLevelType w:val="hybridMultilevel"/>
    <w:tmpl w:val="7228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270C9"/>
    <w:multiLevelType w:val="hybridMultilevel"/>
    <w:tmpl w:val="274E29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F4BBA"/>
    <w:multiLevelType w:val="hybridMultilevel"/>
    <w:tmpl w:val="EBBC3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47F65"/>
    <w:multiLevelType w:val="hybridMultilevel"/>
    <w:tmpl w:val="3142F9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211382"/>
    <w:multiLevelType w:val="hybridMultilevel"/>
    <w:tmpl w:val="25D0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76ED6"/>
    <w:multiLevelType w:val="hybridMultilevel"/>
    <w:tmpl w:val="C706B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63AAA"/>
    <w:multiLevelType w:val="multilevel"/>
    <w:tmpl w:val="C3DC581A"/>
    <w:lvl w:ilvl="0">
      <w:start w:val="1"/>
      <w:numFmt w:val="decimal"/>
      <w:lvlText w:val="%1)"/>
      <w:lvlJc w:val="left"/>
      <w:pPr>
        <w:ind w:left="360" w:hanging="360"/>
      </w:pPr>
      <w:rPr>
        <w:b w:val="0"/>
        <w:i w:val="0"/>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5E534A"/>
    <w:multiLevelType w:val="hybridMultilevel"/>
    <w:tmpl w:val="3D6E2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0797E"/>
    <w:multiLevelType w:val="hybridMultilevel"/>
    <w:tmpl w:val="3754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E226D"/>
    <w:multiLevelType w:val="hybridMultilevel"/>
    <w:tmpl w:val="E9D8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F5D1F"/>
    <w:multiLevelType w:val="hybridMultilevel"/>
    <w:tmpl w:val="4DC2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16ADE"/>
    <w:multiLevelType w:val="hybridMultilevel"/>
    <w:tmpl w:val="3AAC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55FB0"/>
    <w:multiLevelType w:val="hybridMultilevel"/>
    <w:tmpl w:val="7228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87671"/>
    <w:multiLevelType w:val="hybridMultilevel"/>
    <w:tmpl w:val="31722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742916"/>
    <w:multiLevelType w:val="hybridMultilevel"/>
    <w:tmpl w:val="45B45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0603"/>
    <w:multiLevelType w:val="multilevel"/>
    <w:tmpl w:val="F12A8ED0"/>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9310F7"/>
    <w:multiLevelType w:val="multilevel"/>
    <w:tmpl w:val="DA18489E"/>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F33D44"/>
    <w:multiLevelType w:val="multilevel"/>
    <w:tmpl w:val="C3DC581A"/>
    <w:lvl w:ilvl="0">
      <w:start w:val="1"/>
      <w:numFmt w:val="decimal"/>
      <w:lvlText w:val="%1)"/>
      <w:lvlJc w:val="left"/>
      <w:pPr>
        <w:ind w:left="360" w:hanging="360"/>
      </w:pPr>
      <w:rPr>
        <w:b w:val="0"/>
        <w:i w:val="0"/>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E51B9E"/>
    <w:multiLevelType w:val="hybridMultilevel"/>
    <w:tmpl w:val="6818D3AE"/>
    <w:lvl w:ilvl="0" w:tplc="DF52EF42">
      <w:start w:val="1"/>
      <w:numFmt w:val="decimal"/>
      <w:lvlText w:val="%1."/>
      <w:lvlJc w:val="left"/>
      <w:pPr>
        <w:ind w:left="410" w:hanging="360"/>
      </w:pPr>
      <w:rPr>
        <w:rFonts w:hint="default"/>
      </w:rPr>
    </w:lvl>
    <w:lvl w:ilvl="1" w:tplc="CCA46036">
      <w:numFmt w:val="bullet"/>
      <w:lvlText w:val=""/>
      <w:lvlJc w:val="left"/>
      <w:pPr>
        <w:ind w:left="1130" w:hanging="360"/>
      </w:pPr>
      <w:rPr>
        <w:rFonts w:ascii="Wingdings" w:eastAsiaTheme="minorHAnsi" w:hAnsi="Wingdings" w:cstheme="minorBidi" w:hint="default"/>
      </w:r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9" w15:restartNumberingAfterBreak="0">
    <w:nsid w:val="2915450A"/>
    <w:multiLevelType w:val="hybridMultilevel"/>
    <w:tmpl w:val="3AA07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3053F2"/>
    <w:multiLevelType w:val="hybridMultilevel"/>
    <w:tmpl w:val="47B2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74D18"/>
    <w:multiLevelType w:val="multilevel"/>
    <w:tmpl w:val="F12A8ED0"/>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7D6560"/>
    <w:multiLevelType w:val="hybridMultilevel"/>
    <w:tmpl w:val="E29657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37124E"/>
    <w:multiLevelType w:val="hybridMultilevel"/>
    <w:tmpl w:val="EBBC3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83BF9"/>
    <w:multiLevelType w:val="hybridMultilevel"/>
    <w:tmpl w:val="246CB4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84000"/>
    <w:multiLevelType w:val="hybridMultilevel"/>
    <w:tmpl w:val="F8E2A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36E38"/>
    <w:multiLevelType w:val="hybridMultilevel"/>
    <w:tmpl w:val="7228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0D11B1"/>
    <w:multiLevelType w:val="hybridMultilevel"/>
    <w:tmpl w:val="DBAE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A82B45"/>
    <w:multiLevelType w:val="hybridMultilevel"/>
    <w:tmpl w:val="099C17E8"/>
    <w:lvl w:ilvl="0" w:tplc="DEB2E308">
      <w:numFmt w:val="bullet"/>
      <w:lvlText w:val="•"/>
      <w:lvlJc w:val="left"/>
      <w:pPr>
        <w:ind w:left="72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EE292B"/>
    <w:multiLevelType w:val="hybridMultilevel"/>
    <w:tmpl w:val="01C8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E2EC4"/>
    <w:multiLevelType w:val="hybridMultilevel"/>
    <w:tmpl w:val="86C23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1C4463"/>
    <w:multiLevelType w:val="hybridMultilevel"/>
    <w:tmpl w:val="A8E4D9EE"/>
    <w:lvl w:ilvl="0" w:tplc="DEB2E308">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C90F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E00624"/>
    <w:multiLevelType w:val="hybridMultilevel"/>
    <w:tmpl w:val="68F88994"/>
    <w:lvl w:ilvl="0" w:tplc="CCA4603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26427"/>
    <w:multiLevelType w:val="hybridMultilevel"/>
    <w:tmpl w:val="20B4D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3A611E"/>
    <w:multiLevelType w:val="hybridMultilevel"/>
    <w:tmpl w:val="12AA4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8A281F"/>
    <w:multiLevelType w:val="hybridMultilevel"/>
    <w:tmpl w:val="C6CE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90853"/>
    <w:multiLevelType w:val="multilevel"/>
    <w:tmpl w:val="1108BB7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8C77DC"/>
    <w:multiLevelType w:val="hybridMultilevel"/>
    <w:tmpl w:val="6A92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F77A9F"/>
    <w:multiLevelType w:val="multilevel"/>
    <w:tmpl w:val="F12A8ED0"/>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894906"/>
    <w:multiLevelType w:val="hybridMultilevel"/>
    <w:tmpl w:val="5DDA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174C3D"/>
    <w:multiLevelType w:val="hybridMultilevel"/>
    <w:tmpl w:val="149C1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593559"/>
    <w:multiLevelType w:val="hybridMultilevel"/>
    <w:tmpl w:val="A60ED69C"/>
    <w:lvl w:ilvl="0" w:tplc="24B24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5D4214"/>
    <w:multiLevelType w:val="hybridMultilevel"/>
    <w:tmpl w:val="CBA0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75429F"/>
    <w:multiLevelType w:val="multilevel"/>
    <w:tmpl w:val="3CCCDD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7C820D6"/>
    <w:multiLevelType w:val="hybridMultilevel"/>
    <w:tmpl w:val="74FC75D4"/>
    <w:lvl w:ilvl="0" w:tplc="DF52EF42">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6" w15:restartNumberingAfterBreak="0">
    <w:nsid w:val="6A7E40A2"/>
    <w:multiLevelType w:val="hybridMultilevel"/>
    <w:tmpl w:val="93941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AC14D4C"/>
    <w:multiLevelType w:val="hybridMultilevel"/>
    <w:tmpl w:val="304A10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208BC"/>
    <w:multiLevelType w:val="hybridMultilevel"/>
    <w:tmpl w:val="936C15F4"/>
    <w:lvl w:ilvl="0" w:tplc="9C0C188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EA73E7"/>
    <w:multiLevelType w:val="hybridMultilevel"/>
    <w:tmpl w:val="EBBC3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115B24"/>
    <w:multiLevelType w:val="hybridMultilevel"/>
    <w:tmpl w:val="9F7CD7A0"/>
    <w:lvl w:ilvl="0" w:tplc="DF52EF42">
      <w:start w:val="1"/>
      <w:numFmt w:val="decimal"/>
      <w:lvlText w:val="%1."/>
      <w:lvlJc w:val="left"/>
      <w:pPr>
        <w:ind w:left="410" w:hanging="360"/>
      </w:pPr>
      <w:rPr>
        <w:rFonts w:hint="default"/>
      </w:rPr>
    </w:lvl>
    <w:lvl w:ilvl="1" w:tplc="04090001">
      <w:start w:val="1"/>
      <w:numFmt w:val="bullet"/>
      <w:lvlText w:val=""/>
      <w:lvlJc w:val="left"/>
      <w:pPr>
        <w:ind w:left="1130" w:hanging="360"/>
      </w:pPr>
      <w:rPr>
        <w:rFonts w:ascii="Symbol" w:hAnsi="Symbol" w:hint="default"/>
      </w:r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1" w15:restartNumberingAfterBreak="0">
    <w:nsid w:val="775D6F9B"/>
    <w:multiLevelType w:val="multilevel"/>
    <w:tmpl w:val="C3DC581A"/>
    <w:lvl w:ilvl="0">
      <w:start w:val="1"/>
      <w:numFmt w:val="decimal"/>
      <w:lvlText w:val="%1)"/>
      <w:lvlJc w:val="left"/>
      <w:pPr>
        <w:ind w:left="360" w:hanging="360"/>
      </w:pPr>
      <w:rPr>
        <w:b w:val="0"/>
        <w:i w:val="0"/>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BB112B5"/>
    <w:multiLevelType w:val="hybridMultilevel"/>
    <w:tmpl w:val="A992C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7F3807"/>
    <w:multiLevelType w:val="hybridMultilevel"/>
    <w:tmpl w:val="58D4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8653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9"/>
  </w:num>
  <w:num w:numId="3">
    <w:abstractNumId w:val="38"/>
  </w:num>
  <w:num w:numId="4">
    <w:abstractNumId w:val="43"/>
  </w:num>
  <w:num w:numId="5">
    <w:abstractNumId w:val="45"/>
  </w:num>
  <w:num w:numId="6">
    <w:abstractNumId w:val="52"/>
  </w:num>
  <w:num w:numId="7">
    <w:abstractNumId w:val="4"/>
  </w:num>
  <w:num w:numId="8">
    <w:abstractNumId w:val="12"/>
  </w:num>
  <w:num w:numId="9">
    <w:abstractNumId w:val="26"/>
  </w:num>
  <w:num w:numId="10">
    <w:abstractNumId w:val="0"/>
  </w:num>
  <w:num w:numId="11">
    <w:abstractNumId w:val="14"/>
  </w:num>
  <w:num w:numId="12">
    <w:abstractNumId w:val="49"/>
  </w:num>
  <w:num w:numId="13">
    <w:abstractNumId w:val="5"/>
  </w:num>
  <w:num w:numId="14">
    <w:abstractNumId w:val="8"/>
  </w:num>
  <w:num w:numId="15">
    <w:abstractNumId w:val="10"/>
  </w:num>
  <w:num w:numId="16">
    <w:abstractNumId w:val="27"/>
  </w:num>
  <w:num w:numId="17">
    <w:abstractNumId w:val="40"/>
  </w:num>
  <w:num w:numId="18">
    <w:abstractNumId w:val="11"/>
  </w:num>
  <w:num w:numId="19">
    <w:abstractNumId w:val="7"/>
  </w:num>
  <w:num w:numId="20">
    <w:abstractNumId w:val="2"/>
  </w:num>
  <w:num w:numId="21">
    <w:abstractNumId w:val="35"/>
  </w:num>
  <w:num w:numId="22">
    <w:abstractNumId w:val="1"/>
  </w:num>
  <w:num w:numId="23">
    <w:abstractNumId w:val="13"/>
  </w:num>
  <w:num w:numId="24">
    <w:abstractNumId w:val="22"/>
  </w:num>
  <w:num w:numId="25">
    <w:abstractNumId w:val="41"/>
  </w:num>
  <w:num w:numId="26">
    <w:abstractNumId w:val="42"/>
  </w:num>
  <w:num w:numId="27">
    <w:abstractNumId w:val="47"/>
  </w:num>
  <w:num w:numId="28">
    <w:abstractNumId w:val="46"/>
  </w:num>
  <w:num w:numId="29">
    <w:abstractNumId w:val="29"/>
  </w:num>
  <w:num w:numId="30">
    <w:abstractNumId w:val="32"/>
  </w:num>
  <w:num w:numId="31">
    <w:abstractNumId w:val="20"/>
  </w:num>
  <w:num w:numId="32">
    <w:abstractNumId w:val="24"/>
  </w:num>
  <w:num w:numId="33">
    <w:abstractNumId w:val="53"/>
  </w:num>
  <w:num w:numId="34">
    <w:abstractNumId w:val="33"/>
  </w:num>
  <w:num w:numId="35">
    <w:abstractNumId w:val="18"/>
  </w:num>
  <w:num w:numId="36">
    <w:abstractNumId w:val="50"/>
  </w:num>
  <w:num w:numId="37">
    <w:abstractNumId w:val="44"/>
  </w:num>
  <w:num w:numId="38">
    <w:abstractNumId w:val="48"/>
  </w:num>
  <w:num w:numId="39">
    <w:abstractNumId w:val="23"/>
  </w:num>
  <w:num w:numId="40">
    <w:abstractNumId w:val="37"/>
  </w:num>
  <w:num w:numId="41">
    <w:abstractNumId w:val="16"/>
  </w:num>
  <w:num w:numId="42">
    <w:abstractNumId w:val="6"/>
  </w:num>
  <w:num w:numId="43">
    <w:abstractNumId w:val="28"/>
  </w:num>
  <w:num w:numId="44">
    <w:abstractNumId w:val="31"/>
  </w:num>
  <w:num w:numId="45">
    <w:abstractNumId w:val="17"/>
  </w:num>
  <w:num w:numId="46">
    <w:abstractNumId w:val="3"/>
  </w:num>
  <w:num w:numId="47">
    <w:abstractNumId w:val="34"/>
  </w:num>
  <w:num w:numId="48">
    <w:abstractNumId w:val="51"/>
  </w:num>
  <w:num w:numId="49">
    <w:abstractNumId w:val="36"/>
  </w:num>
  <w:num w:numId="50">
    <w:abstractNumId w:val="25"/>
  </w:num>
  <w:num w:numId="51">
    <w:abstractNumId w:val="39"/>
  </w:num>
  <w:num w:numId="52">
    <w:abstractNumId w:val="21"/>
  </w:num>
  <w:num w:numId="53">
    <w:abstractNumId w:val="54"/>
  </w:num>
  <w:num w:numId="54">
    <w:abstractNumId w:val="15"/>
  </w:num>
  <w:num w:numId="55">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0B"/>
    <w:rsid w:val="000010A5"/>
    <w:rsid w:val="000030F7"/>
    <w:rsid w:val="00004C54"/>
    <w:rsid w:val="0000502B"/>
    <w:rsid w:val="00005E1F"/>
    <w:rsid w:val="000064DC"/>
    <w:rsid w:val="00006761"/>
    <w:rsid w:val="00007B4F"/>
    <w:rsid w:val="00010B2F"/>
    <w:rsid w:val="00010F03"/>
    <w:rsid w:val="000123CC"/>
    <w:rsid w:val="00012FFC"/>
    <w:rsid w:val="000212A1"/>
    <w:rsid w:val="00023330"/>
    <w:rsid w:val="00023E1A"/>
    <w:rsid w:val="00023F59"/>
    <w:rsid w:val="000271F0"/>
    <w:rsid w:val="00027BED"/>
    <w:rsid w:val="00027C08"/>
    <w:rsid w:val="00030AC9"/>
    <w:rsid w:val="00032816"/>
    <w:rsid w:val="000370E0"/>
    <w:rsid w:val="0004033D"/>
    <w:rsid w:val="00040747"/>
    <w:rsid w:val="00042B03"/>
    <w:rsid w:val="00044DB4"/>
    <w:rsid w:val="00046928"/>
    <w:rsid w:val="00046BDB"/>
    <w:rsid w:val="00051173"/>
    <w:rsid w:val="00054353"/>
    <w:rsid w:val="0006009D"/>
    <w:rsid w:val="0006402C"/>
    <w:rsid w:val="00067B37"/>
    <w:rsid w:val="00071EA2"/>
    <w:rsid w:val="00072CEB"/>
    <w:rsid w:val="00080145"/>
    <w:rsid w:val="00082816"/>
    <w:rsid w:val="00082DD3"/>
    <w:rsid w:val="00082FA4"/>
    <w:rsid w:val="000837B1"/>
    <w:rsid w:val="00085417"/>
    <w:rsid w:val="000861E6"/>
    <w:rsid w:val="000901D2"/>
    <w:rsid w:val="000917F6"/>
    <w:rsid w:val="00092469"/>
    <w:rsid w:val="000937AE"/>
    <w:rsid w:val="0009610F"/>
    <w:rsid w:val="000978FA"/>
    <w:rsid w:val="000A033E"/>
    <w:rsid w:val="000A6CC6"/>
    <w:rsid w:val="000B0ADE"/>
    <w:rsid w:val="000B0B92"/>
    <w:rsid w:val="000B1226"/>
    <w:rsid w:val="000B205E"/>
    <w:rsid w:val="000B349F"/>
    <w:rsid w:val="000B363D"/>
    <w:rsid w:val="000B716F"/>
    <w:rsid w:val="000B7EB8"/>
    <w:rsid w:val="000C3A31"/>
    <w:rsid w:val="000C65D0"/>
    <w:rsid w:val="000D0AFA"/>
    <w:rsid w:val="000D22FA"/>
    <w:rsid w:val="000D291E"/>
    <w:rsid w:val="000D3BA7"/>
    <w:rsid w:val="000D544C"/>
    <w:rsid w:val="000D6C46"/>
    <w:rsid w:val="000D74A0"/>
    <w:rsid w:val="000E0372"/>
    <w:rsid w:val="000E3DB4"/>
    <w:rsid w:val="000E3E66"/>
    <w:rsid w:val="000E4AB7"/>
    <w:rsid w:val="000E67BF"/>
    <w:rsid w:val="000E6841"/>
    <w:rsid w:val="000E6D51"/>
    <w:rsid w:val="000F1AEB"/>
    <w:rsid w:val="000F1BC9"/>
    <w:rsid w:val="000F20EE"/>
    <w:rsid w:val="000F2120"/>
    <w:rsid w:val="000F746D"/>
    <w:rsid w:val="0010143B"/>
    <w:rsid w:val="00102245"/>
    <w:rsid w:val="00102534"/>
    <w:rsid w:val="001066BC"/>
    <w:rsid w:val="00106E99"/>
    <w:rsid w:val="00110013"/>
    <w:rsid w:val="00110B68"/>
    <w:rsid w:val="001125E4"/>
    <w:rsid w:val="00112BD7"/>
    <w:rsid w:val="001136D4"/>
    <w:rsid w:val="0011447D"/>
    <w:rsid w:val="001173DC"/>
    <w:rsid w:val="00123A59"/>
    <w:rsid w:val="00124463"/>
    <w:rsid w:val="00126A35"/>
    <w:rsid w:val="00126DF3"/>
    <w:rsid w:val="001271F2"/>
    <w:rsid w:val="001276A8"/>
    <w:rsid w:val="0012771C"/>
    <w:rsid w:val="00131EF4"/>
    <w:rsid w:val="00135076"/>
    <w:rsid w:val="001375B7"/>
    <w:rsid w:val="001432A3"/>
    <w:rsid w:val="00143E44"/>
    <w:rsid w:val="00144E8C"/>
    <w:rsid w:val="001506A3"/>
    <w:rsid w:val="00151EEA"/>
    <w:rsid w:val="00155E3E"/>
    <w:rsid w:val="00160C8F"/>
    <w:rsid w:val="001611AA"/>
    <w:rsid w:val="0016313D"/>
    <w:rsid w:val="00163BA6"/>
    <w:rsid w:val="00165927"/>
    <w:rsid w:val="001659B3"/>
    <w:rsid w:val="0016604A"/>
    <w:rsid w:val="00170137"/>
    <w:rsid w:val="0017451D"/>
    <w:rsid w:val="0017529C"/>
    <w:rsid w:val="001836C2"/>
    <w:rsid w:val="00186610"/>
    <w:rsid w:val="0019221C"/>
    <w:rsid w:val="00192449"/>
    <w:rsid w:val="001941C5"/>
    <w:rsid w:val="00194EDA"/>
    <w:rsid w:val="00196A4B"/>
    <w:rsid w:val="00197BD2"/>
    <w:rsid w:val="001A6753"/>
    <w:rsid w:val="001B13E5"/>
    <w:rsid w:val="001B67D7"/>
    <w:rsid w:val="001B6D01"/>
    <w:rsid w:val="001C0A00"/>
    <w:rsid w:val="001C25CE"/>
    <w:rsid w:val="001C2F2D"/>
    <w:rsid w:val="001C41A0"/>
    <w:rsid w:val="001C5CBA"/>
    <w:rsid w:val="001C5D34"/>
    <w:rsid w:val="001C73DB"/>
    <w:rsid w:val="001C7AB9"/>
    <w:rsid w:val="001C7B24"/>
    <w:rsid w:val="001C7EF7"/>
    <w:rsid w:val="001D0257"/>
    <w:rsid w:val="001D0CD0"/>
    <w:rsid w:val="001D1709"/>
    <w:rsid w:val="001D25EC"/>
    <w:rsid w:val="001D3DA6"/>
    <w:rsid w:val="001D4A51"/>
    <w:rsid w:val="001E050C"/>
    <w:rsid w:val="001E156C"/>
    <w:rsid w:val="001E302F"/>
    <w:rsid w:val="001E7363"/>
    <w:rsid w:val="001F1ADE"/>
    <w:rsid w:val="001F3CE7"/>
    <w:rsid w:val="001F43AD"/>
    <w:rsid w:val="001F4CC7"/>
    <w:rsid w:val="002009B0"/>
    <w:rsid w:val="00203977"/>
    <w:rsid w:val="00203E4C"/>
    <w:rsid w:val="00203E53"/>
    <w:rsid w:val="00204F01"/>
    <w:rsid w:val="002104CA"/>
    <w:rsid w:val="00212049"/>
    <w:rsid w:val="00212E9F"/>
    <w:rsid w:val="00212F84"/>
    <w:rsid w:val="00215675"/>
    <w:rsid w:val="0021604F"/>
    <w:rsid w:val="00216095"/>
    <w:rsid w:val="0021668F"/>
    <w:rsid w:val="0022007F"/>
    <w:rsid w:val="00220728"/>
    <w:rsid w:val="002212D7"/>
    <w:rsid w:val="00224561"/>
    <w:rsid w:val="00227F03"/>
    <w:rsid w:val="00231847"/>
    <w:rsid w:val="00232A7D"/>
    <w:rsid w:val="00232CB3"/>
    <w:rsid w:val="00234527"/>
    <w:rsid w:val="00235F53"/>
    <w:rsid w:val="002366D3"/>
    <w:rsid w:val="00236D40"/>
    <w:rsid w:val="00240AFF"/>
    <w:rsid w:val="00243B87"/>
    <w:rsid w:val="00245FAC"/>
    <w:rsid w:val="00250C37"/>
    <w:rsid w:val="00251D75"/>
    <w:rsid w:val="00253AC3"/>
    <w:rsid w:val="00254F13"/>
    <w:rsid w:val="002577CD"/>
    <w:rsid w:val="00263747"/>
    <w:rsid w:val="00263D47"/>
    <w:rsid w:val="00265FEB"/>
    <w:rsid w:val="00267A2B"/>
    <w:rsid w:val="0027056D"/>
    <w:rsid w:val="00272C1B"/>
    <w:rsid w:val="00281F3D"/>
    <w:rsid w:val="00282868"/>
    <w:rsid w:val="00282FD0"/>
    <w:rsid w:val="00284C44"/>
    <w:rsid w:val="002861BD"/>
    <w:rsid w:val="00291BCD"/>
    <w:rsid w:val="00291C40"/>
    <w:rsid w:val="0029537F"/>
    <w:rsid w:val="002953A3"/>
    <w:rsid w:val="00295C81"/>
    <w:rsid w:val="00296DED"/>
    <w:rsid w:val="002B476F"/>
    <w:rsid w:val="002B4D38"/>
    <w:rsid w:val="002B5A4C"/>
    <w:rsid w:val="002B6865"/>
    <w:rsid w:val="002C0ACC"/>
    <w:rsid w:val="002C6E5C"/>
    <w:rsid w:val="002D10EA"/>
    <w:rsid w:val="002D24ED"/>
    <w:rsid w:val="002D3FDD"/>
    <w:rsid w:val="002D486B"/>
    <w:rsid w:val="002D731F"/>
    <w:rsid w:val="002D7E7A"/>
    <w:rsid w:val="002E38A1"/>
    <w:rsid w:val="002E485A"/>
    <w:rsid w:val="002E4BB6"/>
    <w:rsid w:val="002E4CE3"/>
    <w:rsid w:val="002E5EEA"/>
    <w:rsid w:val="002E66A2"/>
    <w:rsid w:val="002E77D9"/>
    <w:rsid w:val="002F0B9D"/>
    <w:rsid w:val="002F396D"/>
    <w:rsid w:val="002F7CCF"/>
    <w:rsid w:val="00300A9E"/>
    <w:rsid w:val="0030179D"/>
    <w:rsid w:val="00302E5D"/>
    <w:rsid w:val="00303A13"/>
    <w:rsid w:val="0030513A"/>
    <w:rsid w:val="00305C9E"/>
    <w:rsid w:val="00306F46"/>
    <w:rsid w:val="003070A5"/>
    <w:rsid w:val="003074F1"/>
    <w:rsid w:val="003100BD"/>
    <w:rsid w:val="00310EEB"/>
    <w:rsid w:val="00312200"/>
    <w:rsid w:val="00314350"/>
    <w:rsid w:val="00314C7D"/>
    <w:rsid w:val="003159DF"/>
    <w:rsid w:val="00315EE9"/>
    <w:rsid w:val="003168B8"/>
    <w:rsid w:val="003216F6"/>
    <w:rsid w:val="00321D23"/>
    <w:rsid w:val="00321FDC"/>
    <w:rsid w:val="0032435A"/>
    <w:rsid w:val="00332CE2"/>
    <w:rsid w:val="00333BB1"/>
    <w:rsid w:val="00335319"/>
    <w:rsid w:val="00335811"/>
    <w:rsid w:val="00335A92"/>
    <w:rsid w:val="00343089"/>
    <w:rsid w:val="00344464"/>
    <w:rsid w:val="00344ADF"/>
    <w:rsid w:val="0034604D"/>
    <w:rsid w:val="003461F9"/>
    <w:rsid w:val="00346F61"/>
    <w:rsid w:val="00347626"/>
    <w:rsid w:val="0035401A"/>
    <w:rsid w:val="003558AD"/>
    <w:rsid w:val="003576C7"/>
    <w:rsid w:val="00360888"/>
    <w:rsid w:val="00360956"/>
    <w:rsid w:val="00360F70"/>
    <w:rsid w:val="00361721"/>
    <w:rsid w:val="00364FCC"/>
    <w:rsid w:val="00366288"/>
    <w:rsid w:val="0037036A"/>
    <w:rsid w:val="0037326D"/>
    <w:rsid w:val="0037363A"/>
    <w:rsid w:val="00373EF0"/>
    <w:rsid w:val="00382A15"/>
    <w:rsid w:val="00385772"/>
    <w:rsid w:val="00386309"/>
    <w:rsid w:val="00387C03"/>
    <w:rsid w:val="00387CC8"/>
    <w:rsid w:val="00392B43"/>
    <w:rsid w:val="00393565"/>
    <w:rsid w:val="00394E6A"/>
    <w:rsid w:val="00396DF5"/>
    <w:rsid w:val="003A0549"/>
    <w:rsid w:val="003A09C0"/>
    <w:rsid w:val="003A46F1"/>
    <w:rsid w:val="003A4D03"/>
    <w:rsid w:val="003B3785"/>
    <w:rsid w:val="003B5557"/>
    <w:rsid w:val="003B714D"/>
    <w:rsid w:val="003C09D8"/>
    <w:rsid w:val="003C70BD"/>
    <w:rsid w:val="003C7D76"/>
    <w:rsid w:val="003D022D"/>
    <w:rsid w:val="003D09CF"/>
    <w:rsid w:val="003D249D"/>
    <w:rsid w:val="003D385F"/>
    <w:rsid w:val="003D4B41"/>
    <w:rsid w:val="003E1A5C"/>
    <w:rsid w:val="003E2436"/>
    <w:rsid w:val="003E3C7C"/>
    <w:rsid w:val="003E5361"/>
    <w:rsid w:val="003E65FF"/>
    <w:rsid w:val="003F0F51"/>
    <w:rsid w:val="003F117D"/>
    <w:rsid w:val="003F14E1"/>
    <w:rsid w:val="003F4395"/>
    <w:rsid w:val="003F67AF"/>
    <w:rsid w:val="003F71D4"/>
    <w:rsid w:val="003F72C2"/>
    <w:rsid w:val="00403BC5"/>
    <w:rsid w:val="00404DB6"/>
    <w:rsid w:val="00404FEB"/>
    <w:rsid w:val="00406F38"/>
    <w:rsid w:val="00407D6E"/>
    <w:rsid w:val="0041035E"/>
    <w:rsid w:val="0041184D"/>
    <w:rsid w:val="00411C0A"/>
    <w:rsid w:val="00415296"/>
    <w:rsid w:val="00416386"/>
    <w:rsid w:val="00420014"/>
    <w:rsid w:val="004203AE"/>
    <w:rsid w:val="00423481"/>
    <w:rsid w:val="00432999"/>
    <w:rsid w:val="004335C2"/>
    <w:rsid w:val="00434B36"/>
    <w:rsid w:val="004369AC"/>
    <w:rsid w:val="004374E6"/>
    <w:rsid w:val="0044472F"/>
    <w:rsid w:val="00444CD2"/>
    <w:rsid w:val="00445001"/>
    <w:rsid w:val="00446722"/>
    <w:rsid w:val="00452291"/>
    <w:rsid w:val="00452B8F"/>
    <w:rsid w:val="00453824"/>
    <w:rsid w:val="00453C1B"/>
    <w:rsid w:val="0045779C"/>
    <w:rsid w:val="00460284"/>
    <w:rsid w:val="00460730"/>
    <w:rsid w:val="00463B4F"/>
    <w:rsid w:val="00464FC5"/>
    <w:rsid w:val="00465E15"/>
    <w:rsid w:val="00470B38"/>
    <w:rsid w:val="004735F4"/>
    <w:rsid w:val="00473DE4"/>
    <w:rsid w:val="00477D84"/>
    <w:rsid w:val="004803A0"/>
    <w:rsid w:val="0048215E"/>
    <w:rsid w:val="0048238E"/>
    <w:rsid w:val="00484C3D"/>
    <w:rsid w:val="00485D4F"/>
    <w:rsid w:val="00485F37"/>
    <w:rsid w:val="0049496A"/>
    <w:rsid w:val="00496D31"/>
    <w:rsid w:val="004A052B"/>
    <w:rsid w:val="004A1635"/>
    <w:rsid w:val="004A1A83"/>
    <w:rsid w:val="004A1D88"/>
    <w:rsid w:val="004A47F3"/>
    <w:rsid w:val="004A4D7E"/>
    <w:rsid w:val="004A6C91"/>
    <w:rsid w:val="004A7655"/>
    <w:rsid w:val="004A77D5"/>
    <w:rsid w:val="004B1F7F"/>
    <w:rsid w:val="004B2A55"/>
    <w:rsid w:val="004B3917"/>
    <w:rsid w:val="004B5933"/>
    <w:rsid w:val="004B5B5D"/>
    <w:rsid w:val="004B72BB"/>
    <w:rsid w:val="004C04C5"/>
    <w:rsid w:val="004C1102"/>
    <w:rsid w:val="004C1CE2"/>
    <w:rsid w:val="004C3B84"/>
    <w:rsid w:val="004C3D71"/>
    <w:rsid w:val="004D4337"/>
    <w:rsid w:val="004D5316"/>
    <w:rsid w:val="004E0741"/>
    <w:rsid w:val="004E16AF"/>
    <w:rsid w:val="004E174E"/>
    <w:rsid w:val="004E18CB"/>
    <w:rsid w:val="004E4C8E"/>
    <w:rsid w:val="004F009E"/>
    <w:rsid w:val="004F063E"/>
    <w:rsid w:val="004F29AC"/>
    <w:rsid w:val="004F3D7C"/>
    <w:rsid w:val="004F5D02"/>
    <w:rsid w:val="005016F1"/>
    <w:rsid w:val="0050211D"/>
    <w:rsid w:val="005044B5"/>
    <w:rsid w:val="00505F9D"/>
    <w:rsid w:val="00506BA1"/>
    <w:rsid w:val="005131B4"/>
    <w:rsid w:val="00513745"/>
    <w:rsid w:val="00516334"/>
    <w:rsid w:val="00516B1F"/>
    <w:rsid w:val="0052045B"/>
    <w:rsid w:val="00523922"/>
    <w:rsid w:val="0052572E"/>
    <w:rsid w:val="00526B73"/>
    <w:rsid w:val="00527594"/>
    <w:rsid w:val="005301BC"/>
    <w:rsid w:val="005333F9"/>
    <w:rsid w:val="00533D8E"/>
    <w:rsid w:val="0053634C"/>
    <w:rsid w:val="00542072"/>
    <w:rsid w:val="00542E91"/>
    <w:rsid w:val="00546E89"/>
    <w:rsid w:val="00546FC3"/>
    <w:rsid w:val="00553262"/>
    <w:rsid w:val="0055336E"/>
    <w:rsid w:val="00555DB7"/>
    <w:rsid w:val="005563FC"/>
    <w:rsid w:val="005614DB"/>
    <w:rsid w:val="00561DD6"/>
    <w:rsid w:val="00562048"/>
    <w:rsid w:val="00565397"/>
    <w:rsid w:val="00567D20"/>
    <w:rsid w:val="00567FC3"/>
    <w:rsid w:val="00570EBB"/>
    <w:rsid w:val="005732AB"/>
    <w:rsid w:val="00576AF7"/>
    <w:rsid w:val="00577398"/>
    <w:rsid w:val="00580162"/>
    <w:rsid w:val="005811F8"/>
    <w:rsid w:val="00581A31"/>
    <w:rsid w:val="00583DC0"/>
    <w:rsid w:val="005874EB"/>
    <w:rsid w:val="00587F64"/>
    <w:rsid w:val="0059017B"/>
    <w:rsid w:val="0059164B"/>
    <w:rsid w:val="005922CD"/>
    <w:rsid w:val="00592FA8"/>
    <w:rsid w:val="0059441E"/>
    <w:rsid w:val="00594CBF"/>
    <w:rsid w:val="00595E15"/>
    <w:rsid w:val="005A1068"/>
    <w:rsid w:val="005A2C38"/>
    <w:rsid w:val="005B0C8E"/>
    <w:rsid w:val="005B22CC"/>
    <w:rsid w:val="005B425D"/>
    <w:rsid w:val="005B55F8"/>
    <w:rsid w:val="005C1A07"/>
    <w:rsid w:val="005C6C0F"/>
    <w:rsid w:val="005C7668"/>
    <w:rsid w:val="005C7EE6"/>
    <w:rsid w:val="005D048C"/>
    <w:rsid w:val="005D4531"/>
    <w:rsid w:val="005E05E9"/>
    <w:rsid w:val="005E1442"/>
    <w:rsid w:val="005E1922"/>
    <w:rsid w:val="005E2433"/>
    <w:rsid w:val="005E438F"/>
    <w:rsid w:val="005E6388"/>
    <w:rsid w:val="005E652F"/>
    <w:rsid w:val="005E6B01"/>
    <w:rsid w:val="005F4127"/>
    <w:rsid w:val="005F4B2A"/>
    <w:rsid w:val="005F510D"/>
    <w:rsid w:val="005F61C9"/>
    <w:rsid w:val="00605472"/>
    <w:rsid w:val="00605592"/>
    <w:rsid w:val="00606267"/>
    <w:rsid w:val="0060666C"/>
    <w:rsid w:val="006074E9"/>
    <w:rsid w:val="00607BA3"/>
    <w:rsid w:val="00607C38"/>
    <w:rsid w:val="0061011D"/>
    <w:rsid w:val="00611840"/>
    <w:rsid w:val="006160DF"/>
    <w:rsid w:val="00616C42"/>
    <w:rsid w:val="00621707"/>
    <w:rsid w:val="00621B6C"/>
    <w:rsid w:val="00623594"/>
    <w:rsid w:val="00623BB5"/>
    <w:rsid w:val="0062575C"/>
    <w:rsid w:val="0063077A"/>
    <w:rsid w:val="00630D73"/>
    <w:rsid w:val="0063198F"/>
    <w:rsid w:val="0063538C"/>
    <w:rsid w:val="00637FE3"/>
    <w:rsid w:val="0064293B"/>
    <w:rsid w:val="00644CF9"/>
    <w:rsid w:val="0064526A"/>
    <w:rsid w:val="00646FC1"/>
    <w:rsid w:val="00653A67"/>
    <w:rsid w:val="00653FE4"/>
    <w:rsid w:val="0065423D"/>
    <w:rsid w:val="006639A1"/>
    <w:rsid w:val="00666039"/>
    <w:rsid w:val="006725E5"/>
    <w:rsid w:val="00685B72"/>
    <w:rsid w:val="00685EAA"/>
    <w:rsid w:val="006860E8"/>
    <w:rsid w:val="00691A87"/>
    <w:rsid w:val="00691B15"/>
    <w:rsid w:val="00692BB2"/>
    <w:rsid w:val="006A329A"/>
    <w:rsid w:val="006A40E2"/>
    <w:rsid w:val="006A423F"/>
    <w:rsid w:val="006A490F"/>
    <w:rsid w:val="006A607E"/>
    <w:rsid w:val="006B01EF"/>
    <w:rsid w:val="006B0C54"/>
    <w:rsid w:val="006B31B4"/>
    <w:rsid w:val="006B6D70"/>
    <w:rsid w:val="006C2490"/>
    <w:rsid w:val="006C2A22"/>
    <w:rsid w:val="006C7390"/>
    <w:rsid w:val="006D0176"/>
    <w:rsid w:val="006D0C1B"/>
    <w:rsid w:val="006D1010"/>
    <w:rsid w:val="006D539A"/>
    <w:rsid w:val="006E26DF"/>
    <w:rsid w:val="006E34A7"/>
    <w:rsid w:val="006E35A6"/>
    <w:rsid w:val="006E3981"/>
    <w:rsid w:val="006E4C0A"/>
    <w:rsid w:val="006E4D20"/>
    <w:rsid w:val="006E4D67"/>
    <w:rsid w:val="006E5B84"/>
    <w:rsid w:val="006E624E"/>
    <w:rsid w:val="006E7F60"/>
    <w:rsid w:val="006F047B"/>
    <w:rsid w:val="006F5AED"/>
    <w:rsid w:val="00701E0D"/>
    <w:rsid w:val="00703837"/>
    <w:rsid w:val="007040B2"/>
    <w:rsid w:val="00706A37"/>
    <w:rsid w:val="00711EAA"/>
    <w:rsid w:val="00712AAB"/>
    <w:rsid w:val="00714AD9"/>
    <w:rsid w:val="007177C3"/>
    <w:rsid w:val="00724AD1"/>
    <w:rsid w:val="00727D2B"/>
    <w:rsid w:val="00733980"/>
    <w:rsid w:val="007358A5"/>
    <w:rsid w:val="00737191"/>
    <w:rsid w:val="007401F9"/>
    <w:rsid w:val="00745118"/>
    <w:rsid w:val="00747316"/>
    <w:rsid w:val="00750877"/>
    <w:rsid w:val="00750E63"/>
    <w:rsid w:val="00752870"/>
    <w:rsid w:val="00752BE6"/>
    <w:rsid w:val="00752F3F"/>
    <w:rsid w:val="00760858"/>
    <w:rsid w:val="00761BB6"/>
    <w:rsid w:val="007644CC"/>
    <w:rsid w:val="00765991"/>
    <w:rsid w:val="00772603"/>
    <w:rsid w:val="00774C23"/>
    <w:rsid w:val="0077520B"/>
    <w:rsid w:val="00776E19"/>
    <w:rsid w:val="00781A2E"/>
    <w:rsid w:val="00784252"/>
    <w:rsid w:val="00784AC7"/>
    <w:rsid w:val="00785805"/>
    <w:rsid w:val="00787DE5"/>
    <w:rsid w:val="00790372"/>
    <w:rsid w:val="00790FD4"/>
    <w:rsid w:val="00790FD6"/>
    <w:rsid w:val="007937F0"/>
    <w:rsid w:val="007939EA"/>
    <w:rsid w:val="007A2FBE"/>
    <w:rsid w:val="007A3403"/>
    <w:rsid w:val="007A5811"/>
    <w:rsid w:val="007A7450"/>
    <w:rsid w:val="007A7D0B"/>
    <w:rsid w:val="007B0DA1"/>
    <w:rsid w:val="007B4511"/>
    <w:rsid w:val="007B5536"/>
    <w:rsid w:val="007B738D"/>
    <w:rsid w:val="007C2A8F"/>
    <w:rsid w:val="007C32D6"/>
    <w:rsid w:val="007C3484"/>
    <w:rsid w:val="007C5D05"/>
    <w:rsid w:val="007D08DD"/>
    <w:rsid w:val="007D6C29"/>
    <w:rsid w:val="007D7C56"/>
    <w:rsid w:val="007E0A31"/>
    <w:rsid w:val="007E0D33"/>
    <w:rsid w:val="007E3D33"/>
    <w:rsid w:val="007E3E53"/>
    <w:rsid w:val="007E43FB"/>
    <w:rsid w:val="007E7D94"/>
    <w:rsid w:val="007F0AF1"/>
    <w:rsid w:val="007F5F28"/>
    <w:rsid w:val="00801FAB"/>
    <w:rsid w:val="0080455E"/>
    <w:rsid w:val="00805522"/>
    <w:rsid w:val="00811A91"/>
    <w:rsid w:val="00812559"/>
    <w:rsid w:val="008159F7"/>
    <w:rsid w:val="00816782"/>
    <w:rsid w:val="0081792F"/>
    <w:rsid w:val="0082058C"/>
    <w:rsid w:val="0082184C"/>
    <w:rsid w:val="00827735"/>
    <w:rsid w:val="008277B3"/>
    <w:rsid w:val="00830370"/>
    <w:rsid w:val="00830C76"/>
    <w:rsid w:val="0083105D"/>
    <w:rsid w:val="008317EF"/>
    <w:rsid w:val="0083232C"/>
    <w:rsid w:val="0083290B"/>
    <w:rsid w:val="00835101"/>
    <w:rsid w:val="008353DC"/>
    <w:rsid w:val="008357E3"/>
    <w:rsid w:val="00836296"/>
    <w:rsid w:val="0084056D"/>
    <w:rsid w:val="00840D0C"/>
    <w:rsid w:val="00843E0F"/>
    <w:rsid w:val="00844A30"/>
    <w:rsid w:val="00845957"/>
    <w:rsid w:val="00850D83"/>
    <w:rsid w:val="0085117B"/>
    <w:rsid w:val="008534A1"/>
    <w:rsid w:val="00853708"/>
    <w:rsid w:val="0085686F"/>
    <w:rsid w:val="00857178"/>
    <w:rsid w:val="008634EB"/>
    <w:rsid w:val="00863A81"/>
    <w:rsid w:val="00863B45"/>
    <w:rsid w:val="00866C04"/>
    <w:rsid w:val="008670CA"/>
    <w:rsid w:val="008812B8"/>
    <w:rsid w:val="00881C83"/>
    <w:rsid w:val="00885076"/>
    <w:rsid w:val="00886CE8"/>
    <w:rsid w:val="00886D78"/>
    <w:rsid w:val="00890080"/>
    <w:rsid w:val="00895E1C"/>
    <w:rsid w:val="008A1DA2"/>
    <w:rsid w:val="008B52E4"/>
    <w:rsid w:val="008B5931"/>
    <w:rsid w:val="008C03D0"/>
    <w:rsid w:val="008C1234"/>
    <w:rsid w:val="008C1AB6"/>
    <w:rsid w:val="008C21DC"/>
    <w:rsid w:val="008C38C2"/>
    <w:rsid w:val="008D1F08"/>
    <w:rsid w:val="008D45C4"/>
    <w:rsid w:val="008D6367"/>
    <w:rsid w:val="008D68B4"/>
    <w:rsid w:val="008E1278"/>
    <w:rsid w:val="008E268F"/>
    <w:rsid w:val="008E4C36"/>
    <w:rsid w:val="008E5AFC"/>
    <w:rsid w:val="008E73E3"/>
    <w:rsid w:val="008F06AC"/>
    <w:rsid w:val="008F2000"/>
    <w:rsid w:val="008F6639"/>
    <w:rsid w:val="009011E3"/>
    <w:rsid w:val="0090377D"/>
    <w:rsid w:val="0090441D"/>
    <w:rsid w:val="009071F5"/>
    <w:rsid w:val="00910AEC"/>
    <w:rsid w:val="009118A2"/>
    <w:rsid w:val="00915B58"/>
    <w:rsid w:val="00927DA8"/>
    <w:rsid w:val="009311DB"/>
    <w:rsid w:val="00933466"/>
    <w:rsid w:val="00937388"/>
    <w:rsid w:val="009401EF"/>
    <w:rsid w:val="00943E76"/>
    <w:rsid w:val="00952BF4"/>
    <w:rsid w:val="00953489"/>
    <w:rsid w:val="00955C17"/>
    <w:rsid w:val="009572E1"/>
    <w:rsid w:val="00957B46"/>
    <w:rsid w:val="00960A9D"/>
    <w:rsid w:val="00962191"/>
    <w:rsid w:val="00965869"/>
    <w:rsid w:val="00966213"/>
    <w:rsid w:val="00970F1F"/>
    <w:rsid w:val="00971C75"/>
    <w:rsid w:val="00972510"/>
    <w:rsid w:val="00973C01"/>
    <w:rsid w:val="009742CB"/>
    <w:rsid w:val="00980539"/>
    <w:rsid w:val="00981712"/>
    <w:rsid w:val="009819E4"/>
    <w:rsid w:val="00984C50"/>
    <w:rsid w:val="00986F83"/>
    <w:rsid w:val="0099184E"/>
    <w:rsid w:val="00992D8C"/>
    <w:rsid w:val="00993546"/>
    <w:rsid w:val="009A485F"/>
    <w:rsid w:val="009B1039"/>
    <w:rsid w:val="009B554E"/>
    <w:rsid w:val="009B781E"/>
    <w:rsid w:val="009C1E0D"/>
    <w:rsid w:val="009C1E4A"/>
    <w:rsid w:val="009C4B41"/>
    <w:rsid w:val="009C595A"/>
    <w:rsid w:val="009C608A"/>
    <w:rsid w:val="009D2091"/>
    <w:rsid w:val="009D78E2"/>
    <w:rsid w:val="009E32A8"/>
    <w:rsid w:val="009E5247"/>
    <w:rsid w:val="009E6D05"/>
    <w:rsid w:val="009E7164"/>
    <w:rsid w:val="009F13F6"/>
    <w:rsid w:val="009F155A"/>
    <w:rsid w:val="009F4577"/>
    <w:rsid w:val="009F51A6"/>
    <w:rsid w:val="009F51B3"/>
    <w:rsid w:val="00A00CAF"/>
    <w:rsid w:val="00A01BC4"/>
    <w:rsid w:val="00A0547C"/>
    <w:rsid w:val="00A075A2"/>
    <w:rsid w:val="00A118A2"/>
    <w:rsid w:val="00A11E17"/>
    <w:rsid w:val="00A12A16"/>
    <w:rsid w:val="00A16C45"/>
    <w:rsid w:val="00A2063B"/>
    <w:rsid w:val="00A22CE7"/>
    <w:rsid w:val="00A2357C"/>
    <w:rsid w:val="00A27658"/>
    <w:rsid w:val="00A278FC"/>
    <w:rsid w:val="00A366E9"/>
    <w:rsid w:val="00A40286"/>
    <w:rsid w:val="00A435B9"/>
    <w:rsid w:val="00A458F5"/>
    <w:rsid w:val="00A46446"/>
    <w:rsid w:val="00A46895"/>
    <w:rsid w:val="00A47D1D"/>
    <w:rsid w:val="00A47F5B"/>
    <w:rsid w:val="00A5138E"/>
    <w:rsid w:val="00A55D28"/>
    <w:rsid w:val="00A60554"/>
    <w:rsid w:val="00A61230"/>
    <w:rsid w:val="00A62F41"/>
    <w:rsid w:val="00A70059"/>
    <w:rsid w:val="00A704EE"/>
    <w:rsid w:val="00A706DA"/>
    <w:rsid w:val="00A7548F"/>
    <w:rsid w:val="00A773D9"/>
    <w:rsid w:val="00A851AB"/>
    <w:rsid w:val="00A862E6"/>
    <w:rsid w:val="00A864B8"/>
    <w:rsid w:val="00A877E5"/>
    <w:rsid w:val="00A9255C"/>
    <w:rsid w:val="00A92CFC"/>
    <w:rsid w:val="00A92F59"/>
    <w:rsid w:val="00A93993"/>
    <w:rsid w:val="00A96243"/>
    <w:rsid w:val="00A969AA"/>
    <w:rsid w:val="00AB25A3"/>
    <w:rsid w:val="00AB26F0"/>
    <w:rsid w:val="00AB3F87"/>
    <w:rsid w:val="00AB608B"/>
    <w:rsid w:val="00AB617A"/>
    <w:rsid w:val="00AC086C"/>
    <w:rsid w:val="00AC3BCC"/>
    <w:rsid w:val="00AC4039"/>
    <w:rsid w:val="00AC4BFD"/>
    <w:rsid w:val="00AC5D32"/>
    <w:rsid w:val="00AC6722"/>
    <w:rsid w:val="00AC7180"/>
    <w:rsid w:val="00AC770F"/>
    <w:rsid w:val="00AD0AD7"/>
    <w:rsid w:val="00AD0BF8"/>
    <w:rsid w:val="00AD2D31"/>
    <w:rsid w:val="00AD4E3D"/>
    <w:rsid w:val="00AD5471"/>
    <w:rsid w:val="00AE00E9"/>
    <w:rsid w:val="00AE35A7"/>
    <w:rsid w:val="00AE3CF9"/>
    <w:rsid w:val="00AE400B"/>
    <w:rsid w:val="00AE5492"/>
    <w:rsid w:val="00AE574B"/>
    <w:rsid w:val="00AE5767"/>
    <w:rsid w:val="00AE5A3F"/>
    <w:rsid w:val="00AE6240"/>
    <w:rsid w:val="00AE6ABD"/>
    <w:rsid w:val="00AE6D8A"/>
    <w:rsid w:val="00AE6EE2"/>
    <w:rsid w:val="00AE7377"/>
    <w:rsid w:val="00AE7CCD"/>
    <w:rsid w:val="00AF086A"/>
    <w:rsid w:val="00AF09E0"/>
    <w:rsid w:val="00AF1FBE"/>
    <w:rsid w:val="00AF22BC"/>
    <w:rsid w:val="00AF3F0E"/>
    <w:rsid w:val="00AF4038"/>
    <w:rsid w:val="00AF5365"/>
    <w:rsid w:val="00AF7AA1"/>
    <w:rsid w:val="00B01C0B"/>
    <w:rsid w:val="00B0693F"/>
    <w:rsid w:val="00B0714C"/>
    <w:rsid w:val="00B125CF"/>
    <w:rsid w:val="00B13537"/>
    <w:rsid w:val="00B15374"/>
    <w:rsid w:val="00B15991"/>
    <w:rsid w:val="00B16C9B"/>
    <w:rsid w:val="00B205D2"/>
    <w:rsid w:val="00B239BD"/>
    <w:rsid w:val="00B2464B"/>
    <w:rsid w:val="00B25905"/>
    <w:rsid w:val="00B27EFC"/>
    <w:rsid w:val="00B31721"/>
    <w:rsid w:val="00B33DFA"/>
    <w:rsid w:val="00B36CA1"/>
    <w:rsid w:val="00B37A14"/>
    <w:rsid w:val="00B402A0"/>
    <w:rsid w:val="00B42423"/>
    <w:rsid w:val="00B4308D"/>
    <w:rsid w:val="00B454CA"/>
    <w:rsid w:val="00B456B7"/>
    <w:rsid w:val="00B45901"/>
    <w:rsid w:val="00B45B40"/>
    <w:rsid w:val="00B50DF5"/>
    <w:rsid w:val="00B568B7"/>
    <w:rsid w:val="00B60407"/>
    <w:rsid w:val="00B65892"/>
    <w:rsid w:val="00B6594F"/>
    <w:rsid w:val="00B667E2"/>
    <w:rsid w:val="00B66B13"/>
    <w:rsid w:val="00B67319"/>
    <w:rsid w:val="00B71A01"/>
    <w:rsid w:val="00B760F3"/>
    <w:rsid w:val="00B76646"/>
    <w:rsid w:val="00B76ECE"/>
    <w:rsid w:val="00B7792F"/>
    <w:rsid w:val="00B77B0D"/>
    <w:rsid w:val="00B84935"/>
    <w:rsid w:val="00B850B6"/>
    <w:rsid w:val="00B92B20"/>
    <w:rsid w:val="00B94035"/>
    <w:rsid w:val="00BA7C66"/>
    <w:rsid w:val="00BA7C93"/>
    <w:rsid w:val="00BB2EC3"/>
    <w:rsid w:val="00BB5055"/>
    <w:rsid w:val="00BC0023"/>
    <w:rsid w:val="00BC732F"/>
    <w:rsid w:val="00BC77E8"/>
    <w:rsid w:val="00BD0332"/>
    <w:rsid w:val="00BD11F6"/>
    <w:rsid w:val="00BD1B03"/>
    <w:rsid w:val="00BD22FD"/>
    <w:rsid w:val="00BD2A0C"/>
    <w:rsid w:val="00BD2B60"/>
    <w:rsid w:val="00BE063F"/>
    <w:rsid w:val="00BE1258"/>
    <w:rsid w:val="00BE3393"/>
    <w:rsid w:val="00BE3BC8"/>
    <w:rsid w:val="00BE6410"/>
    <w:rsid w:val="00BE7B72"/>
    <w:rsid w:val="00BF06EA"/>
    <w:rsid w:val="00BF1282"/>
    <w:rsid w:val="00BF12C0"/>
    <w:rsid w:val="00BF3A88"/>
    <w:rsid w:val="00BF6FFC"/>
    <w:rsid w:val="00BF790B"/>
    <w:rsid w:val="00C00221"/>
    <w:rsid w:val="00C10E10"/>
    <w:rsid w:val="00C11324"/>
    <w:rsid w:val="00C13C85"/>
    <w:rsid w:val="00C13E4B"/>
    <w:rsid w:val="00C152C6"/>
    <w:rsid w:val="00C21315"/>
    <w:rsid w:val="00C216D4"/>
    <w:rsid w:val="00C22EA6"/>
    <w:rsid w:val="00C23E0E"/>
    <w:rsid w:val="00C2637E"/>
    <w:rsid w:val="00C27329"/>
    <w:rsid w:val="00C27751"/>
    <w:rsid w:val="00C35FCA"/>
    <w:rsid w:val="00C41795"/>
    <w:rsid w:val="00C43B9D"/>
    <w:rsid w:val="00C44C24"/>
    <w:rsid w:val="00C468F9"/>
    <w:rsid w:val="00C50132"/>
    <w:rsid w:val="00C50D1B"/>
    <w:rsid w:val="00C52F76"/>
    <w:rsid w:val="00C547FF"/>
    <w:rsid w:val="00C5738C"/>
    <w:rsid w:val="00C57864"/>
    <w:rsid w:val="00C60355"/>
    <w:rsid w:val="00C618FF"/>
    <w:rsid w:val="00C701B0"/>
    <w:rsid w:val="00C709ED"/>
    <w:rsid w:val="00C71F7A"/>
    <w:rsid w:val="00C74565"/>
    <w:rsid w:val="00C76F90"/>
    <w:rsid w:val="00C839CE"/>
    <w:rsid w:val="00C842FD"/>
    <w:rsid w:val="00C8716D"/>
    <w:rsid w:val="00C876F9"/>
    <w:rsid w:val="00C90377"/>
    <w:rsid w:val="00C90B60"/>
    <w:rsid w:val="00C93FBC"/>
    <w:rsid w:val="00CA0148"/>
    <w:rsid w:val="00CA0DE9"/>
    <w:rsid w:val="00CA3790"/>
    <w:rsid w:val="00CA4131"/>
    <w:rsid w:val="00CA4F88"/>
    <w:rsid w:val="00CB1DD7"/>
    <w:rsid w:val="00CB1F6D"/>
    <w:rsid w:val="00CB4429"/>
    <w:rsid w:val="00CB6F90"/>
    <w:rsid w:val="00CB778C"/>
    <w:rsid w:val="00CC0113"/>
    <w:rsid w:val="00CC29DC"/>
    <w:rsid w:val="00CC44E5"/>
    <w:rsid w:val="00CC61BB"/>
    <w:rsid w:val="00CC7CCC"/>
    <w:rsid w:val="00CD127C"/>
    <w:rsid w:val="00CD1A9C"/>
    <w:rsid w:val="00CD3E4F"/>
    <w:rsid w:val="00CD53DB"/>
    <w:rsid w:val="00CD6D91"/>
    <w:rsid w:val="00CE32ED"/>
    <w:rsid w:val="00CE5752"/>
    <w:rsid w:val="00CE5975"/>
    <w:rsid w:val="00CE7570"/>
    <w:rsid w:val="00CE7C21"/>
    <w:rsid w:val="00CF0FE2"/>
    <w:rsid w:val="00CF38DD"/>
    <w:rsid w:val="00D07307"/>
    <w:rsid w:val="00D111E1"/>
    <w:rsid w:val="00D166C6"/>
    <w:rsid w:val="00D16B26"/>
    <w:rsid w:val="00D176D8"/>
    <w:rsid w:val="00D17B66"/>
    <w:rsid w:val="00D204FC"/>
    <w:rsid w:val="00D20EE3"/>
    <w:rsid w:val="00D21C56"/>
    <w:rsid w:val="00D22894"/>
    <w:rsid w:val="00D2374D"/>
    <w:rsid w:val="00D24780"/>
    <w:rsid w:val="00D2656E"/>
    <w:rsid w:val="00D26BF1"/>
    <w:rsid w:val="00D31A54"/>
    <w:rsid w:val="00D31C62"/>
    <w:rsid w:val="00D344D7"/>
    <w:rsid w:val="00D37F4C"/>
    <w:rsid w:val="00D42EF3"/>
    <w:rsid w:val="00D43532"/>
    <w:rsid w:val="00D50610"/>
    <w:rsid w:val="00D53241"/>
    <w:rsid w:val="00D5463C"/>
    <w:rsid w:val="00D6054E"/>
    <w:rsid w:val="00D606F3"/>
    <w:rsid w:val="00D64BD9"/>
    <w:rsid w:val="00D66567"/>
    <w:rsid w:val="00D666E6"/>
    <w:rsid w:val="00D67258"/>
    <w:rsid w:val="00D73FB4"/>
    <w:rsid w:val="00D778F3"/>
    <w:rsid w:val="00D8008C"/>
    <w:rsid w:val="00D82707"/>
    <w:rsid w:val="00D82A0B"/>
    <w:rsid w:val="00D85946"/>
    <w:rsid w:val="00D867C1"/>
    <w:rsid w:val="00D87B5B"/>
    <w:rsid w:val="00D90CC3"/>
    <w:rsid w:val="00D93EC4"/>
    <w:rsid w:val="00D96CA8"/>
    <w:rsid w:val="00D977BC"/>
    <w:rsid w:val="00DA2265"/>
    <w:rsid w:val="00DA29A0"/>
    <w:rsid w:val="00DA322A"/>
    <w:rsid w:val="00DA455F"/>
    <w:rsid w:val="00DA571C"/>
    <w:rsid w:val="00DB07D9"/>
    <w:rsid w:val="00DB0E76"/>
    <w:rsid w:val="00DB4018"/>
    <w:rsid w:val="00DB59B4"/>
    <w:rsid w:val="00DC1137"/>
    <w:rsid w:val="00DC2388"/>
    <w:rsid w:val="00DC4231"/>
    <w:rsid w:val="00DC444E"/>
    <w:rsid w:val="00DC5C3A"/>
    <w:rsid w:val="00DC6E04"/>
    <w:rsid w:val="00DD0B4A"/>
    <w:rsid w:val="00DD0D0A"/>
    <w:rsid w:val="00DD23ED"/>
    <w:rsid w:val="00DD3E19"/>
    <w:rsid w:val="00DD7689"/>
    <w:rsid w:val="00DE2B00"/>
    <w:rsid w:val="00DE5F00"/>
    <w:rsid w:val="00DE5F70"/>
    <w:rsid w:val="00DE7563"/>
    <w:rsid w:val="00DF1CE8"/>
    <w:rsid w:val="00DF63B6"/>
    <w:rsid w:val="00DF6BC5"/>
    <w:rsid w:val="00E0037A"/>
    <w:rsid w:val="00E02566"/>
    <w:rsid w:val="00E030EA"/>
    <w:rsid w:val="00E07205"/>
    <w:rsid w:val="00E1127F"/>
    <w:rsid w:val="00E113DE"/>
    <w:rsid w:val="00E12EE5"/>
    <w:rsid w:val="00E20D27"/>
    <w:rsid w:val="00E2106B"/>
    <w:rsid w:val="00E2142F"/>
    <w:rsid w:val="00E22759"/>
    <w:rsid w:val="00E230BF"/>
    <w:rsid w:val="00E23533"/>
    <w:rsid w:val="00E25B06"/>
    <w:rsid w:val="00E26006"/>
    <w:rsid w:val="00E267B9"/>
    <w:rsid w:val="00E26F87"/>
    <w:rsid w:val="00E274B4"/>
    <w:rsid w:val="00E32C39"/>
    <w:rsid w:val="00E32ECF"/>
    <w:rsid w:val="00E331FD"/>
    <w:rsid w:val="00E33E50"/>
    <w:rsid w:val="00E34201"/>
    <w:rsid w:val="00E3530A"/>
    <w:rsid w:val="00E36E5A"/>
    <w:rsid w:val="00E36EA7"/>
    <w:rsid w:val="00E40B1F"/>
    <w:rsid w:val="00E426C2"/>
    <w:rsid w:val="00E432B1"/>
    <w:rsid w:val="00E4430F"/>
    <w:rsid w:val="00E44557"/>
    <w:rsid w:val="00E4657F"/>
    <w:rsid w:val="00E46944"/>
    <w:rsid w:val="00E47723"/>
    <w:rsid w:val="00E54FBC"/>
    <w:rsid w:val="00E56BD8"/>
    <w:rsid w:val="00E604C3"/>
    <w:rsid w:val="00E650D0"/>
    <w:rsid w:val="00E67842"/>
    <w:rsid w:val="00E762E2"/>
    <w:rsid w:val="00E76F4A"/>
    <w:rsid w:val="00E77341"/>
    <w:rsid w:val="00E82745"/>
    <w:rsid w:val="00E8324B"/>
    <w:rsid w:val="00E83C45"/>
    <w:rsid w:val="00E8727D"/>
    <w:rsid w:val="00E90733"/>
    <w:rsid w:val="00E91659"/>
    <w:rsid w:val="00E9175D"/>
    <w:rsid w:val="00E93946"/>
    <w:rsid w:val="00E93D59"/>
    <w:rsid w:val="00E956FF"/>
    <w:rsid w:val="00E97884"/>
    <w:rsid w:val="00EB0941"/>
    <w:rsid w:val="00EB38C8"/>
    <w:rsid w:val="00EB47AC"/>
    <w:rsid w:val="00EB4CF4"/>
    <w:rsid w:val="00EB5C0D"/>
    <w:rsid w:val="00EB5DCF"/>
    <w:rsid w:val="00EB6AE3"/>
    <w:rsid w:val="00EC010C"/>
    <w:rsid w:val="00EC069D"/>
    <w:rsid w:val="00EC34BA"/>
    <w:rsid w:val="00ED2638"/>
    <w:rsid w:val="00ED372A"/>
    <w:rsid w:val="00ED4632"/>
    <w:rsid w:val="00ED66D4"/>
    <w:rsid w:val="00EE09A5"/>
    <w:rsid w:val="00EE1DE2"/>
    <w:rsid w:val="00EE273B"/>
    <w:rsid w:val="00EE311A"/>
    <w:rsid w:val="00EE3CBF"/>
    <w:rsid w:val="00EE3D1E"/>
    <w:rsid w:val="00EE7C30"/>
    <w:rsid w:val="00EF0145"/>
    <w:rsid w:val="00EF1500"/>
    <w:rsid w:val="00EF1607"/>
    <w:rsid w:val="00EF221D"/>
    <w:rsid w:val="00EF41BC"/>
    <w:rsid w:val="00EF5E24"/>
    <w:rsid w:val="00F00E2F"/>
    <w:rsid w:val="00F01E19"/>
    <w:rsid w:val="00F02A68"/>
    <w:rsid w:val="00F0356A"/>
    <w:rsid w:val="00F04780"/>
    <w:rsid w:val="00F05B7E"/>
    <w:rsid w:val="00F05B7F"/>
    <w:rsid w:val="00F06148"/>
    <w:rsid w:val="00F06557"/>
    <w:rsid w:val="00F07110"/>
    <w:rsid w:val="00F10785"/>
    <w:rsid w:val="00F12793"/>
    <w:rsid w:val="00F2057D"/>
    <w:rsid w:val="00F23160"/>
    <w:rsid w:val="00F26444"/>
    <w:rsid w:val="00F27162"/>
    <w:rsid w:val="00F3070F"/>
    <w:rsid w:val="00F33E51"/>
    <w:rsid w:val="00F419A8"/>
    <w:rsid w:val="00F428E7"/>
    <w:rsid w:val="00F42994"/>
    <w:rsid w:val="00F45C77"/>
    <w:rsid w:val="00F47FEF"/>
    <w:rsid w:val="00F522D1"/>
    <w:rsid w:val="00F53ED1"/>
    <w:rsid w:val="00F551DE"/>
    <w:rsid w:val="00F604B2"/>
    <w:rsid w:val="00F63BAE"/>
    <w:rsid w:val="00F65286"/>
    <w:rsid w:val="00F656B7"/>
    <w:rsid w:val="00F67941"/>
    <w:rsid w:val="00F74955"/>
    <w:rsid w:val="00F74ABE"/>
    <w:rsid w:val="00F762A0"/>
    <w:rsid w:val="00F765DF"/>
    <w:rsid w:val="00F8163D"/>
    <w:rsid w:val="00F83AD1"/>
    <w:rsid w:val="00F84293"/>
    <w:rsid w:val="00F8492B"/>
    <w:rsid w:val="00F85357"/>
    <w:rsid w:val="00F85D7D"/>
    <w:rsid w:val="00F911E8"/>
    <w:rsid w:val="00F9243F"/>
    <w:rsid w:val="00F93C17"/>
    <w:rsid w:val="00F95A74"/>
    <w:rsid w:val="00FA19AE"/>
    <w:rsid w:val="00FB0AD0"/>
    <w:rsid w:val="00FB3212"/>
    <w:rsid w:val="00FB422F"/>
    <w:rsid w:val="00FB503A"/>
    <w:rsid w:val="00FB593F"/>
    <w:rsid w:val="00FB5F71"/>
    <w:rsid w:val="00FB62A4"/>
    <w:rsid w:val="00FB703C"/>
    <w:rsid w:val="00FB7559"/>
    <w:rsid w:val="00FB7E8E"/>
    <w:rsid w:val="00FC1A79"/>
    <w:rsid w:val="00FC23D8"/>
    <w:rsid w:val="00FC2D18"/>
    <w:rsid w:val="00FC576F"/>
    <w:rsid w:val="00FD0F40"/>
    <w:rsid w:val="00FD165C"/>
    <w:rsid w:val="00FE3B19"/>
    <w:rsid w:val="00FE7F5F"/>
    <w:rsid w:val="00FF4913"/>
    <w:rsid w:val="00FF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45B8"/>
  <w15:chartTrackingRefBased/>
  <w15:docId w15:val="{243198F4-0B47-4B50-BDA9-B28852DD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2A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2A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3B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2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2A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C3BC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C6C0F"/>
    <w:pPr>
      <w:ind w:left="720"/>
      <w:contextualSpacing/>
    </w:pPr>
  </w:style>
  <w:style w:type="paragraph" w:styleId="Caption">
    <w:name w:val="caption"/>
    <w:basedOn w:val="Normal"/>
    <w:next w:val="Normal"/>
    <w:uiPriority w:val="35"/>
    <w:unhideWhenUsed/>
    <w:qFormat/>
    <w:rsid w:val="00310EEB"/>
    <w:pPr>
      <w:spacing w:after="200" w:line="240" w:lineRule="auto"/>
    </w:pPr>
    <w:rPr>
      <w:i/>
      <w:iCs/>
      <w:color w:val="44546A" w:themeColor="text2"/>
      <w:sz w:val="18"/>
      <w:szCs w:val="18"/>
    </w:rPr>
  </w:style>
  <w:style w:type="character" w:styleId="Hyperlink">
    <w:name w:val="Hyperlink"/>
    <w:basedOn w:val="DefaultParagraphFont"/>
    <w:uiPriority w:val="99"/>
    <w:unhideWhenUsed/>
    <w:rsid w:val="00FD0F40"/>
    <w:rPr>
      <w:color w:val="0563C1" w:themeColor="hyperlink"/>
      <w:u w:val="single"/>
    </w:rPr>
  </w:style>
  <w:style w:type="character" w:styleId="CommentReference">
    <w:name w:val="annotation reference"/>
    <w:basedOn w:val="DefaultParagraphFont"/>
    <w:uiPriority w:val="99"/>
    <w:semiHidden/>
    <w:unhideWhenUsed/>
    <w:rsid w:val="00523922"/>
    <w:rPr>
      <w:sz w:val="16"/>
      <w:szCs w:val="16"/>
    </w:rPr>
  </w:style>
  <w:style w:type="paragraph" w:styleId="CommentText">
    <w:name w:val="annotation text"/>
    <w:basedOn w:val="Normal"/>
    <w:link w:val="CommentTextChar"/>
    <w:uiPriority w:val="99"/>
    <w:semiHidden/>
    <w:unhideWhenUsed/>
    <w:rsid w:val="00523922"/>
    <w:pPr>
      <w:spacing w:line="240" w:lineRule="auto"/>
    </w:pPr>
    <w:rPr>
      <w:sz w:val="20"/>
      <w:szCs w:val="20"/>
    </w:rPr>
  </w:style>
  <w:style w:type="character" w:customStyle="1" w:styleId="CommentTextChar">
    <w:name w:val="Comment Text Char"/>
    <w:basedOn w:val="DefaultParagraphFont"/>
    <w:link w:val="CommentText"/>
    <w:uiPriority w:val="99"/>
    <w:semiHidden/>
    <w:rsid w:val="00523922"/>
    <w:rPr>
      <w:sz w:val="20"/>
      <w:szCs w:val="20"/>
    </w:rPr>
  </w:style>
  <w:style w:type="paragraph" w:styleId="CommentSubject">
    <w:name w:val="annotation subject"/>
    <w:basedOn w:val="CommentText"/>
    <w:next w:val="CommentText"/>
    <w:link w:val="CommentSubjectChar"/>
    <w:uiPriority w:val="99"/>
    <w:semiHidden/>
    <w:unhideWhenUsed/>
    <w:rsid w:val="00523922"/>
    <w:rPr>
      <w:b/>
      <w:bCs/>
    </w:rPr>
  </w:style>
  <w:style w:type="character" w:customStyle="1" w:styleId="CommentSubjectChar">
    <w:name w:val="Comment Subject Char"/>
    <w:basedOn w:val="CommentTextChar"/>
    <w:link w:val="CommentSubject"/>
    <w:uiPriority w:val="99"/>
    <w:semiHidden/>
    <w:rsid w:val="00523922"/>
    <w:rPr>
      <w:b/>
      <w:bCs/>
      <w:sz w:val="20"/>
      <w:szCs w:val="20"/>
    </w:rPr>
  </w:style>
  <w:style w:type="paragraph" w:styleId="BalloonText">
    <w:name w:val="Balloon Text"/>
    <w:basedOn w:val="Normal"/>
    <w:link w:val="BalloonTextChar"/>
    <w:uiPriority w:val="99"/>
    <w:semiHidden/>
    <w:unhideWhenUsed/>
    <w:rsid w:val="00523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922"/>
    <w:rPr>
      <w:rFonts w:ascii="Segoe UI" w:hAnsi="Segoe UI" w:cs="Segoe UI"/>
      <w:sz w:val="18"/>
      <w:szCs w:val="18"/>
    </w:rPr>
  </w:style>
  <w:style w:type="paragraph" w:styleId="Header">
    <w:name w:val="header"/>
    <w:basedOn w:val="Normal"/>
    <w:link w:val="HeaderChar"/>
    <w:uiPriority w:val="99"/>
    <w:unhideWhenUsed/>
    <w:rsid w:val="00C8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F9"/>
  </w:style>
  <w:style w:type="paragraph" w:styleId="Footer">
    <w:name w:val="footer"/>
    <w:basedOn w:val="Normal"/>
    <w:link w:val="FooterChar"/>
    <w:uiPriority w:val="99"/>
    <w:unhideWhenUsed/>
    <w:rsid w:val="00C8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F9"/>
  </w:style>
  <w:style w:type="paragraph" w:styleId="TOCHeading">
    <w:name w:val="TOC Heading"/>
    <w:basedOn w:val="Heading1"/>
    <w:next w:val="Normal"/>
    <w:uiPriority w:val="39"/>
    <w:unhideWhenUsed/>
    <w:qFormat/>
    <w:rsid w:val="00F06148"/>
    <w:pPr>
      <w:outlineLvl w:val="9"/>
    </w:pPr>
  </w:style>
  <w:style w:type="paragraph" w:styleId="TOC1">
    <w:name w:val="toc 1"/>
    <w:basedOn w:val="Normal"/>
    <w:next w:val="Normal"/>
    <w:autoRedefine/>
    <w:uiPriority w:val="39"/>
    <w:unhideWhenUsed/>
    <w:rsid w:val="00F06148"/>
    <w:pPr>
      <w:spacing w:after="100"/>
    </w:pPr>
  </w:style>
  <w:style w:type="paragraph" w:styleId="TOC2">
    <w:name w:val="toc 2"/>
    <w:basedOn w:val="Normal"/>
    <w:next w:val="Normal"/>
    <w:autoRedefine/>
    <w:uiPriority w:val="39"/>
    <w:unhideWhenUsed/>
    <w:rsid w:val="00F06148"/>
    <w:pPr>
      <w:spacing w:after="100"/>
      <w:ind w:left="220"/>
    </w:pPr>
  </w:style>
  <w:style w:type="paragraph" w:styleId="TOC3">
    <w:name w:val="toc 3"/>
    <w:basedOn w:val="Normal"/>
    <w:next w:val="Normal"/>
    <w:autoRedefine/>
    <w:uiPriority w:val="39"/>
    <w:unhideWhenUsed/>
    <w:rsid w:val="00F06148"/>
    <w:pPr>
      <w:spacing w:after="100"/>
      <w:ind w:left="440"/>
    </w:pPr>
  </w:style>
  <w:style w:type="table" w:styleId="TableGrid">
    <w:name w:val="Table Grid"/>
    <w:basedOn w:val="TableNormal"/>
    <w:uiPriority w:val="39"/>
    <w:rsid w:val="0059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241"/>
    <w:rPr>
      <w:sz w:val="20"/>
      <w:szCs w:val="20"/>
    </w:rPr>
  </w:style>
  <w:style w:type="character" w:styleId="FootnoteReference">
    <w:name w:val="footnote reference"/>
    <w:basedOn w:val="DefaultParagraphFont"/>
    <w:uiPriority w:val="99"/>
    <w:semiHidden/>
    <w:unhideWhenUsed/>
    <w:rsid w:val="00D53241"/>
    <w:rPr>
      <w:vertAlign w:val="superscript"/>
    </w:rPr>
  </w:style>
  <w:style w:type="table" w:styleId="GridTable3-Accent1">
    <w:name w:val="Grid Table 3 Accent 1"/>
    <w:basedOn w:val="TableNormal"/>
    <w:uiPriority w:val="48"/>
    <w:rsid w:val="00F047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Heading4Char">
    <w:name w:val="Heading 4 Char"/>
    <w:basedOn w:val="DefaultParagraphFont"/>
    <w:link w:val="Heading4"/>
    <w:uiPriority w:val="9"/>
    <w:rsid w:val="00542E91"/>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305C9E"/>
    <w:pPr>
      <w:spacing w:after="100"/>
      <w:ind w:left="660"/>
    </w:pPr>
  </w:style>
  <w:style w:type="table" w:styleId="PlainTable5">
    <w:name w:val="Plain Table 5"/>
    <w:basedOn w:val="TableNormal"/>
    <w:uiPriority w:val="45"/>
    <w:rsid w:val="002953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C216D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840D0C"/>
    <w:rPr>
      <w:color w:val="954F72" w:themeColor="followedHyperlink"/>
      <w:u w:val="single"/>
    </w:rPr>
  </w:style>
  <w:style w:type="table" w:styleId="GridTable4-Accent5">
    <w:name w:val="Grid Table 4 Accent 5"/>
    <w:basedOn w:val="TableNormal"/>
    <w:uiPriority w:val="49"/>
    <w:rsid w:val="00CC61B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1">
    <w:name w:val="Plain Table 1"/>
    <w:basedOn w:val="TableNormal"/>
    <w:uiPriority w:val="41"/>
    <w:rsid w:val="00485D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864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122">
      <w:bodyDiv w:val="1"/>
      <w:marLeft w:val="0"/>
      <w:marRight w:val="0"/>
      <w:marTop w:val="0"/>
      <w:marBottom w:val="0"/>
      <w:divBdr>
        <w:top w:val="none" w:sz="0" w:space="0" w:color="auto"/>
        <w:left w:val="none" w:sz="0" w:space="0" w:color="auto"/>
        <w:bottom w:val="none" w:sz="0" w:space="0" w:color="auto"/>
        <w:right w:val="none" w:sz="0" w:space="0" w:color="auto"/>
      </w:divBdr>
    </w:div>
    <w:div w:id="146673190">
      <w:bodyDiv w:val="1"/>
      <w:marLeft w:val="0"/>
      <w:marRight w:val="0"/>
      <w:marTop w:val="0"/>
      <w:marBottom w:val="0"/>
      <w:divBdr>
        <w:top w:val="none" w:sz="0" w:space="0" w:color="auto"/>
        <w:left w:val="none" w:sz="0" w:space="0" w:color="auto"/>
        <w:bottom w:val="none" w:sz="0" w:space="0" w:color="auto"/>
        <w:right w:val="none" w:sz="0" w:space="0" w:color="auto"/>
      </w:divBdr>
    </w:div>
    <w:div w:id="400979797">
      <w:bodyDiv w:val="1"/>
      <w:marLeft w:val="0"/>
      <w:marRight w:val="0"/>
      <w:marTop w:val="0"/>
      <w:marBottom w:val="0"/>
      <w:divBdr>
        <w:top w:val="none" w:sz="0" w:space="0" w:color="auto"/>
        <w:left w:val="none" w:sz="0" w:space="0" w:color="auto"/>
        <w:bottom w:val="none" w:sz="0" w:space="0" w:color="auto"/>
        <w:right w:val="none" w:sz="0" w:space="0" w:color="auto"/>
      </w:divBdr>
    </w:div>
    <w:div w:id="657422606">
      <w:bodyDiv w:val="1"/>
      <w:marLeft w:val="0"/>
      <w:marRight w:val="0"/>
      <w:marTop w:val="0"/>
      <w:marBottom w:val="0"/>
      <w:divBdr>
        <w:top w:val="none" w:sz="0" w:space="0" w:color="auto"/>
        <w:left w:val="none" w:sz="0" w:space="0" w:color="auto"/>
        <w:bottom w:val="none" w:sz="0" w:space="0" w:color="auto"/>
        <w:right w:val="none" w:sz="0" w:space="0" w:color="auto"/>
      </w:divBdr>
    </w:div>
    <w:div w:id="776829090">
      <w:bodyDiv w:val="1"/>
      <w:marLeft w:val="0"/>
      <w:marRight w:val="0"/>
      <w:marTop w:val="0"/>
      <w:marBottom w:val="0"/>
      <w:divBdr>
        <w:top w:val="none" w:sz="0" w:space="0" w:color="auto"/>
        <w:left w:val="none" w:sz="0" w:space="0" w:color="auto"/>
        <w:bottom w:val="none" w:sz="0" w:space="0" w:color="auto"/>
        <w:right w:val="none" w:sz="0" w:space="0" w:color="auto"/>
      </w:divBdr>
    </w:div>
    <w:div w:id="854030519">
      <w:bodyDiv w:val="1"/>
      <w:marLeft w:val="0"/>
      <w:marRight w:val="0"/>
      <w:marTop w:val="0"/>
      <w:marBottom w:val="0"/>
      <w:divBdr>
        <w:top w:val="none" w:sz="0" w:space="0" w:color="auto"/>
        <w:left w:val="none" w:sz="0" w:space="0" w:color="auto"/>
        <w:bottom w:val="none" w:sz="0" w:space="0" w:color="auto"/>
        <w:right w:val="none" w:sz="0" w:space="0" w:color="auto"/>
      </w:divBdr>
    </w:div>
    <w:div w:id="1618681221">
      <w:bodyDiv w:val="1"/>
      <w:marLeft w:val="0"/>
      <w:marRight w:val="0"/>
      <w:marTop w:val="0"/>
      <w:marBottom w:val="0"/>
      <w:divBdr>
        <w:top w:val="none" w:sz="0" w:space="0" w:color="auto"/>
        <w:left w:val="none" w:sz="0" w:space="0" w:color="auto"/>
        <w:bottom w:val="none" w:sz="0" w:space="0" w:color="auto"/>
        <w:right w:val="none" w:sz="0" w:space="0" w:color="auto"/>
      </w:divBdr>
    </w:div>
    <w:div w:id="1726025820">
      <w:bodyDiv w:val="1"/>
      <w:marLeft w:val="0"/>
      <w:marRight w:val="0"/>
      <w:marTop w:val="0"/>
      <w:marBottom w:val="0"/>
      <w:divBdr>
        <w:top w:val="none" w:sz="0" w:space="0" w:color="auto"/>
        <w:left w:val="none" w:sz="0" w:space="0" w:color="auto"/>
        <w:bottom w:val="none" w:sz="0" w:space="0" w:color="auto"/>
        <w:right w:val="none" w:sz="0" w:space="0" w:color="auto"/>
      </w:divBdr>
      <w:divsChild>
        <w:div w:id="118692228">
          <w:marLeft w:val="864"/>
          <w:marRight w:val="0"/>
          <w:marTop w:val="100"/>
          <w:marBottom w:val="0"/>
          <w:divBdr>
            <w:top w:val="none" w:sz="0" w:space="0" w:color="auto"/>
            <w:left w:val="none" w:sz="0" w:space="0" w:color="auto"/>
            <w:bottom w:val="none" w:sz="0" w:space="0" w:color="auto"/>
            <w:right w:val="none" w:sz="0" w:space="0" w:color="auto"/>
          </w:divBdr>
        </w:div>
        <w:div w:id="1311910615">
          <w:marLeft w:val="864"/>
          <w:marRight w:val="0"/>
          <w:marTop w:val="100"/>
          <w:marBottom w:val="0"/>
          <w:divBdr>
            <w:top w:val="none" w:sz="0" w:space="0" w:color="auto"/>
            <w:left w:val="none" w:sz="0" w:space="0" w:color="auto"/>
            <w:bottom w:val="none" w:sz="0" w:space="0" w:color="auto"/>
            <w:right w:val="none" w:sz="0" w:space="0" w:color="auto"/>
          </w:divBdr>
        </w:div>
        <w:div w:id="1392075250">
          <w:marLeft w:val="432"/>
          <w:marRight w:val="0"/>
          <w:marTop w:val="120"/>
          <w:marBottom w:val="0"/>
          <w:divBdr>
            <w:top w:val="none" w:sz="0" w:space="0" w:color="auto"/>
            <w:left w:val="none" w:sz="0" w:space="0" w:color="auto"/>
            <w:bottom w:val="none" w:sz="0" w:space="0" w:color="auto"/>
            <w:right w:val="none" w:sz="0" w:space="0" w:color="auto"/>
          </w:divBdr>
        </w:div>
        <w:div w:id="1440643059">
          <w:marLeft w:val="432"/>
          <w:marRight w:val="0"/>
          <w:marTop w:val="120"/>
          <w:marBottom w:val="0"/>
          <w:divBdr>
            <w:top w:val="none" w:sz="0" w:space="0" w:color="auto"/>
            <w:left w:val="none" w:sz="0" w:space="0" w:color="auto"/>
            <w:bottom w:val="none" w:sz="0" w:space="0" w:color="auto"/>
            <w:right w:val="none" w:sz="0" w:space="0" w:color="auto"/>
          </w:divBdr>
        </w:div>
        <w:div w:id="1501313864">
          <w:marLeft w:val="864"/>
          <w:marRight w:val="0"/>
          <w:marTop w:val="100"/>
          <w:marBottom w:val="0"/>
          <w:divBdr>
            <w:top w:val="none" w:sz="0" w:space="0" w:color="auto"/>
            <w:left w:val="none" w:sz="0" w:space="0" w:color="auto"/>
            <w:bottom w:val="none" w:sz="0" w:space="0" w:color="auto"/>
            <w:right w:val="none" w:sz="0" w:space="0" w:color="auto"/>
          </w:divBdr>
        </w:div>
        <w:div w:id="1612740281">
          <w:marLeft w:val="864"/>
          <w:marRight w:val="0"/>
          <w:marTop w:val="100"/>
          <w:marBottom w:val="0"/>
          <w:divBdr>
            <w:top w:val="none" w:sz="0" w:space="0" w:color="auto"/>
            <w:left w:val="none" w:sz="0" w:space="0" w:color="auto"/>
            <w:bottom w:val="none" w:sz="0" w:space="0" w:color="auto"/>
            <w:right w:val="none" w:sz="0" w:space="0" w:color="auto"/>
          </w:divBdr>
        </w:div>
        <w:div w:id="2131707865">
          <w:marLeft w:val="864"/>
          <w:marRight w:val="0"/>
          <w:marTop w:val="100"/>
          <w:marBottom w:val="0"/>
          <w:divBdr>
            <w:top w:val="none" w:sz="0" w:space="0" w:color="auto"/>
            <w:left w:val="none" w:sz="0" w:space="0" w:color="auto"/>
            <w:bottom w:val="none" w:sz="0" w:space="0" w:color="auto"/>
            <w:right w:val="none" w:sz="0" w:space="0" w:color="auto"/>
          </w:divBdr>
        </w:div>
      </w:divsChild>
    </w:div>
    <w:div w:id="1786315496">
      <w:bodyDiv w:val="1"/>
      <w:marLeft w:val="0"/>
      <w:marRight w:val="0"/>
      <w:marTop w:val="0"/>
      <w:marBottom w:val="0"/>
      <w:divBdr>
        <w:top w:val="none" w:sz="0" w:space="0" w:color="auto"/>
        <w:left w:val="none" w:sz="0" w:space="0" w:color="auto"/>
        <w:bottom w:val="none" w:sz="0" w:space="0" w:color="auto"/>
        <w:right w:val="none" w:sz="0" w:space="0" w:color="auto"/>
      </w:divBdr>
    </w:div>
    <w:div w:id="1829906693">
      <w:bodyDiv w:val="1"/>
      <w:marLeft w:val="0"/>
      <w:marRight w:val="0"/>
      <w:marTop w:val="0"/>
      <w:marBottom w:val="0"/>
      <w:divBdr>
        <w:top w:val="none" w:sz="0" w:space="0" w:color="auto"/>
        <w:left w:val="none" w:sz="0" w:space="0" w:color="auto"/>
        <w:bottom w:val="none" w:sz="0" w:space="0" w:color="auto"/>
        <w:right w:val="none" w:sz="0" w:space="0" w:color="auto"/>
      </w:divBdr>
    </w:div>
    <w:div w:id="21315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q=https://hscrc.maryland.gov/Pages/Care-Transformation-Steering-Committee.aspx&amp;sa=D&amp;source=hangouts&amp;ust=1573842900993000&amp;usg=AFQjCNFdcrfaENXSy2OKK3zVW7UGKXp2Tw" TargetMode="External"/><Relationship Id="rId2" Type="http://schemas.openxmlformats.org/officeDocument/2006/relationships/hyperlink" Target="https://www.google.com/url?q=https://hscrc.maryland.gov/Pages/Care-Transformation-Steering-Committee.aspx&amp;sa=D&amp;source=hangouts&amp;ust=1573842900993000&amp;usg=AFQjCNFdcrfaENXSy2OKK3zVW7UGKXp2Tw" TargetMode="External"/><Relationship Id="rId1" Type="http://schemas.openxmlformats.org/officeDocument/2006/relationships/hyperlink" Target="https://hscrc.maryland.gov/Documents/October%202019%20Public%20Post-Meeting%20Mater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6DAF6C-BD8D-4AA4-BBAE-AD60AA8A6DC5}"/>
</file>

<file path=customXml/itemProps2.xml><?xml version="1.0" encoding="utf-8"?>
<ds:datastoreItem xmlns:ds="http://schemas.openxmlformats.org/officeDocument/2006/customXml" ds:itemID="{11A954B2-AD8D-496C-8117-D373308218D9}"/>
</file>

<file path=customXml/itemProps3.xml><?xml version="1.0" encoding="utf-8"?>
<ds:datastoreItem xmlns:ds="http://schemas.openxmlformats.org/officeDocument/2006/customXml" ds:itemID="{FC8156DE-E9CF-47C9-AB60-A5FAA82F3A68}"/>
</file>

<file path=customXml/itemProps4.xml><?xml version="1.0" encoding="utf-8"?>
<ds:datastoreItem xmlns:ds="http://schemas.openxmlformats.org/officeDocument/2006/customXml" ds:itemID="{495984C5-71DF-4E5C-9432-F5914ADB22AA}"/>
</file>

<file path=docProps/app.xml><?xml version="1.0" encoding="utf-8"?>
<Properties xmlns="http://schemas.openxmlformats.org/officeDocument/2006/extended-properties" xmlns:vt="http://schemas.openxmlformats.org/officeDocument/2006/docPropsVTypes">
  <Template>Normal</Template>
  <TotalTime>0</TotalTime>
  <Pages>14</Pages>
  <Words>5685</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Jackson</dc:creator>
  <cp:keywords/>
  <dc:description/>
  <cp:lastModifiedBy>HSCRC</cp:lastModifiedBy>
  <cp:revision>2</cp:revision>
  <cp:lastPrinted>2019-10-29T15:37:00Z</cp:lastPrinted>
  <dcterms:created xsi:type="dcterms:W3CDTF">2019-11-18T23:11:00Z</dcterms:created>
  <dcterms:modified xsi:type="dcterms:W3CDTF">2019-11-18T23:11:00Z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