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EBC" w:rsidRDefault="0013234D" w:rsidP="00547224">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rFonts w:ascii="Times New Roman TUR" w:hAnsi="Times New Roman TUR" w:cs="Times New Roman TUR"/>
          <w:b w:val="0"/>
          <w:bCs w:val="0"/>
          <w:vanish/>
        </w:rPr>
        <w:sectPr w:rsidR="009C5EBC" w:rsidSect="00382567">
          <w:footerReference w:type="default" r:id="rId8"/>
          <w:footerReference w:type="first" r:id="rId9"/>
          <w:pgSz w:w="12240" w:h="15840" w:code="1"/>
          <w:pgMar w:top="4896" w:right="1440" w:bottom="720" w:left="1440" w:header="4608" w:footer="432" w:gutter="0"/>
          <w:pgNumType w:start="1"/>
          <w:cols w:space="720"/>
          <w:formProt w:val="0"/>
          <w:noEndnote/>
          <w:titlePg/>
          <w:docGrid w:linePitch="326"/>
        </w:sectPr>
      </w:pPr>
      <w:r>
        <w:rPr>
          <w:noProof/>
        </w:rPr>
        <mc:AlternateContent>
          <mc:Choice Requires="wps">
            <w:drawing>
              <wp:anchor distT="0" distB="0" distL="114300" distR="114300" simplePos="0" relativeHeight="251656704" behindDoc="1" locked="1" layoutInCell="0" allowOverlap="1" wp14:anchorId="453B2574" wp14:editId="53230E74">
                <wp:simplePos x="0" y="0"/>
                <wp:positionH relativeFrom="margin">
                  <wp:posOffset>-566420</wp:posOffset>
                </wp:positionH>
                <wp:positionV relativeFrom="margin">
                  <wp:posOffset>-2458720</wp:posOffset>
                </wp:positionV>
                <wp:extent cx="1765935" cy="215836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5935" cy="2158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35971" w:rsidRDefault="00635971"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635971" w:rsidRDefault="00635971"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635971" w:rsidRDefault="00635971"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60" w:lineRule="exact"/>
                              <w:jc w:val="center"/>
                              <w:rPr>
                                <w:rFonts w:ascii="Arial" w:hAnsi="Arial" w:cs="Arial"/>
                                <w:b/>
                                <w:bCs/>
                                <w:color w:val="000080"/>
                                <w:sz w:val="16"/>
                                <w:szCs w:val="16"/>
                              </w:rPr>
                            </w:pPr>
                            <w:r>
                              <w:rPr>
                                <w:rFonts w:ascii="Arial" w:hAnsi="Arial" w:cs="Arial"/>
                                <w:b/>
                                <w:bCs/>
                                <w:color w:val="000080"/>
                                <w:sz w:val="16"/>
                                <w:szCs w:val="16"/>
                              </w:rPr>
                              <w:t>Nelson J. Sabatini</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60" w:lineRule="exact"/>
                              <w:jc w:val="center"/>
                              <w:rPr>
                                <w:rFonts w:ascii="Arial" w:hAnsi="Arial" w:cs="Arial"/>
                                <w:b/>
                                <w:bCs/>
                                <w:color w:val="000080"/>
                                <w:sz w:val="16"/>
                                <w:szCs w:val="16"/>
                              </w:rPr>
                            </w:pPr>
                            <w:r>
                              <w:rPr>
                                <w:rFonts w:ascii="Arial" w:hAnsi="Arial" w:cs="Arial"/>
                                <w:b/>
                                <w:bCs/>
                                <w:color w:val="000080"/>
                                <w:sz w:val="16"/>
                                <w:szCs w:val="16"/>
                              </w:rPr>
                              <w:t>Chairman</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Joseph Antos, PhD</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Vice-Chairman</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Victoria W. Bayless</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Stacia Cohen</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John M. Colmers</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sidRPr="0043126C">
                              <w:rPr>
                                <w:rFonts w:ascii="Arial" w:hAnsi="Arial" w:cs="Arial"/>
                                <w:b/>
                                <w:bCs/>
                                <w:color w:val="000080"/>
                                <w:sz w:val="16"/>
                                <w:szCs w:val="16"/>
                              </w:rPr>
                              <w:t>James N. Elliott, M.D.</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Adam Kane</w:t>
                            </w:r>
                          </w:p>
                          <w:p w:rsidR="00635971" w:rsidRDefault="00635971"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p w:rsidR="00A266C0" w:rsidRDefault="00A266C0"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p w:rsidR="00A266C0" w:rsidRDefault="00A266C0"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p w:rsidR="00A266C0" w:rsidRDefault="00A266C0"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B2574" id="Rectangle 2" o:spid="_x0000_s1026" style="position:absolute;margin-left:-44.6pt;margin-top:-193.6pt;width:139.05pt;height:169.9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" o:allowincell="f" filled="f" stroked="f" strokeweight="0">
                <v:textbox inset="0,0,0,0">
                  <w:txbxContent>
                    <w:p w:rsidR="00635971" w:rsidRDefault="00635971"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635971" w:rsidRDefault="00635971"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635971" w:rsidRDefault="00635971"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60" w:lineRule="exact"/>
                        <w:jc w:val="center"/>
                        <w:rPr>
                          <w:rFonts w:ascii="Arial" w:hAnsi="Arial" w:cs="Arial"/>
                          <w:b/>
                          <w:bCs/>
                          <w:color w:val="000080"/>
                          <w:sz w:val="16"/>
                          <w:szCs w:val="16"/>
                        </w:rPr>
                      </w:pPr>
                      <w:r>
                        <w:rPr>
                          <w:rFonts w:ascii="Arial" w:hAnsi="Arial" w:cs="Arial"/>
                          <w:b/>
                          <w:bCs/>
                          <w:color w:val="000080"/>
                          <w:sz w:val="16"/>
                          <w:szCs w:val="16"/>
                        </w:rPr>
                        <w:t>Nelson J. Sabatini</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60" w:lineRule="exact"/>
                        <w:jc w:val="center"/>
                        <w:rPr>
                          <w:rFonts w:ascii="Arial" w:hAnsi="Arial" w:cs="Arial"/>
                          <w:b/>
                          <w:bCs/>
                          <w:color w:val="000080"/>
                          <w:sz w:val="16"/>
                          <w:szCs w:val="16"/>
                        </w:rPr>
                      </w:pPr>
                      <w:r>
                        <w:rPr>
                          <w:rFonts w:ascii="Arial" w:hAnsi="Arial" w:cs="Arial"/>
                          <w:b/>
                          <w:bCs/>
                          <w:color w:val="000080"/>
                          <w:sz w:val="16"/>
                          <w:szCs w:val="16"/>
                        </w:rPr>
                        <w:t>Chairman</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 xml:space="preserve">Joseph </w:t>
                      </w:r>
                      <w:proofErr w:type="spellStart"/>
                      <w:r>
                        <w:rPr>
                          <w:rFonts w:ascii="Arial" w:hAnsi="Arial" w:cs="Arial"/>
                          <w:b/>
                          <w:bCs/>
                          <w:color w:val="000080"/>
                          <w:sz w:val="16"/>
                          <w:szCs w:val="16"/>
                        </w:rPr>
                        <w:t>Antos</w:t>
                      </w:r>
                      <w:proofErr w:type="spellEnd"/>
                      <w:r>
                        <w:rPr>
                          <w:rFonts w:ascii="Arial" w:hAnsi="Arial" w:cs="Arial"/>
                          <w:b/>
                          <w:bCs/>
                          <w:color w:val="000080"/>
                          <w:sz w:val="16"/>
                          <w:szCs w:val="16"/>
                        </w:rPr>
                        <w:t>, PhD</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Vice-Chairman</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Victoria W. Bayless</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roofErr w:type="spellStart"/>
                      <w:r>
                        <w:rPr>
                          <w:rFonts w:ascii="Arial" w:hAnsi="Arial" w:cs="Arial"/>
                          <w:b/>
                          <w:bCs/>
                          <w:color w:val="000080"/>
                          <w:sz w:val="16"/>
                          <w:szCs w:val="16"/>
                        </w:rPr>
                        <w:t>Stacia</w:t>
                      </w:r>
                      <w:proofErr w:type="spellEnd"/>
                      <w:r>
                        <w:rPr>
                          <w:rFonts w:ascii="Arial" w:hAnsi="Arial" w:cs="Arial"/>
                          <w:b/>
                          <w:bCs/>
                          <w:color w:val="000080"/>
                          <w:sz w:val="16"/>
                          <w:szCs w:val="16"/>
                        </w:rPr>
                        <w:t xml:space="preserve"> Cohen</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 xml:space="preserve">John M. </w:t>
                      </w:r>
                      <w:proofErr w:type="spellStart"/>
                      <w:r>
                        <w:rPr>
                          <w:rFonts w:ascii="Arial" w:hAnsi="Arial" w:cs="Arial"/>
                          <w:b/>
                          <w:bCs/>
                          <w:color w:val="000080"/>
                          <w:sz w:val="16"/>
                          <w:szCs w:val="16"/>
                        </w:rPr>
                        <w:t>Colmers</w:t>
                      </w:r>
                      <w:proofErr w:type="spellEnd"/>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sidRPr="0043126C">
                        <w:rPr>
                          <w:rFonts w:ascii="Arial" w:hAnsi="Arial" w:cs="Arial"/>
                          <w:b/>
                          <w:bCs/>
                          <w:color w:val="000080"/>
                          <w:sz w:val="16"/>
                          <w:szCs w:val="16"/>
                        </w:rPr>
                        <w:t>James N. Elliott, M.D.</w:t>
                      </w: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p>
                    <w:p w:rsidR="00A266C0" w:rsidRDefault="00A266C0" w:rsidP="00A266C0">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180" w:lineRule="exact"/>
                        <w:jc w:val="center"/>
                        <w:rPr>
                          <w:rFonts w:ascii="Arial" w:hAnsi="Arial" w:cs="Arial"/>
                          <w:b/>
                          <w:bCs/>
                          <w:color w:val="000080"/>
                          <w:sz w:val="16"/>
                          <w:szCs w:val="16"/>
                        </w:rPr>
                      </w:pPr>
                      <w:r>
                        <w:rPr>
                          <w:rFonts w:ascii="Arial" w:hAnsi="Arial" w:cs="Arial"/>
                          <w:b/>
                          <w:bCs/>
                          <w:color w:val="000080"/>
                          <w:sz w:val="16"/>
                          <w:szCs w:val="16"/>
                        </w:rPr>
                        <w:t>Adam Kane</w:t>
                      </w:r>
                    </w:p>
                    <w:p w:rsidR="00635971" w:rsidRDefault="00635971"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p w:rsidR="00A266C0" w:rsidRDefault="00A266C0"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p w:rsidR="00A266C0" w:rsidRDefault="00A266C0"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p w:rsidR="00A266C0" w:rsidRDefault="00A266C0" w:rsidP="00BD2C5F">
                      <w:pPr>
                        <w:pBdr>
                          <w:top w:val="single" w:sz="6" w:space="0" w:color="FFFFFF"/>
                          <w:left w:val="single" w:sz="6" w:space="0" w:color="FFFFFF"/>
                          <w:bottom w:val="single" w:sz="6" w:space="0" w:color="FFFFFF"/>
                          <w:right w:val="single" w:sz="6" w:space="5"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Helvetica" w:hAnsi="Helvetica" w:cs="Helvetica"/>
                          <w:b/>
                          <w:bCs/>
                          <w:color w:val="000000"/>
                          <w:sz w:val="20"/>
                          <w:szCs w:val="20"/>
                        </w:rPr>
                      </w:pPr>
                    </w:p>
                  </w:txbxContent>
                </v:textbox>
                <w10:wrap anchorx="margin" anchory="margin"/>
                <w10:anchorlock/>
              </v:rect>
            </w:pict>
          </mc:Fallback>
        </mc:AlternateContent>
      </w:r>
      <w:r>
        <w:rPr>
          <w:noProof/>
        </w:rPr>
        <mc:AlternateContent>
          <mc:Choice Requires="wps">
            <w:drawing>
              <wp:anchor distT="0" distB="0" distL="114300" distR="114300" simplePos="0" relativeHeight="251657728" behindDoc="1" locked="1" layoutInCell="0" allowOverlap="1" wp14:anchorId="0918A50A" wp14:editId="4CFF1170">
                <wp:simplePos x="0" y="0"/>
                <wp:positionH relativeFrom="margin">
                  <wp:posOffset>4826000</wp:posOffset>
                </wp:positionH>
                <wp:positionV relativeFrom="margin">
                  <wp:posOffset>-2562860</wp:posOffset>
                </wp:positionV>
                <wp:extent cx="1572260" cy="2393950"/>
                <wp:effectExtent l="0" t="0" r="8890" b="635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2260" cy="239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35971" w:rsidRDefault="00635971"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635971" w:rsidRDefault="00635971"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Katie Wunderlich</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Executive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Allan Pack,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Population Based Methodologies</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Chris Peterson,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Payment Reform &amp;</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Provider Alignment</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Gerard J. Schmith,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Revenue &amp; Regulation Compliance</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William Henderson,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Medical Economics &amp;</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Data Analytics</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635971" w:rsidRPr="00F51FC0" w:rsidRDefault="00635971">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Cs/>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18A50A" id="Rectangle 3" o:spid="_x0000_s1027" style="position:absolute;margin-left:380pt;margin-top:-201.8pt;width:123.8pt;height:18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" o:allowincell="f" filled="f" stroked="f" strokeweight="0">
                <v:textbox inset="0,0,0,0">
                  <w:txbxContent>
                    <w:p w:rsidR="00635971" w:rsidRDefault="00635971"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635971" w:rsidRDefault="00635971" w:rsidP="0076312E">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 xml:space="preserve">Katie </w:t>
                      </w:r>
                      <w:proofErr w:type="spellStart"/>
                      <w:r w:rsidRPr="00A266C0">
                        <w:rPr>
                          <w:rFonts w:ascii="Arial" w:hAnsi="Arial" w:cs="Arial"/>
                          <w:b/>
                          <w:bCs/>
                          <w:color w:val="000080"/>
                          <w:sz w:val="16"/>
                          <w:szCs w:val="16"/>
                        </w:rPr>
                        <w:t>Wunderlich</w:t>
                      </w:r>
                      <w:proofErr w:type="spellEnd"/>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Executive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Allan Pack,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Population Based Methodologies</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Chris Peterson,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Payment Reform &amp;</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Provider Alignment</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 xml:space="preserve">Gerard J. </w:t>
                      </w:r>
                      <w:proofErr w:type="spellStart"/>
                      <w:r w:rsidRPr="00A266C0">
                        <w:rPr>
                          <w:rFonts w:ascii="Arial" w:hAnsi="Arial" w:cs="Arial"/>
                          <w:b/>
                          <w:bCs/>
                          <w:color w:val="000080"/>
                          <w:sz w:val="16"/>
                          <w:szCs w:val="16"/>
                        </w:rPr>
                        <w:t>Schmith</w:t>
                      </w:r>
                      <w:proofErr w:type="spellEnd"/>
                      <w:r w:rsidRPr="00A266C0">
                        <w:rPr>
                          <w:rFonts w:ascii="Arial" w:hAnsi="Arial" w:cs="Arial"/>
                          <w:b/>
                          <w:bCs/>
                          <w:color w:val="000080"/>
                          <w:sz w:val="16"/>
                          <w:szCs w:val="16"/>
                        </w:rPr>
                        <w:t>,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Revenue &amp; Regulation Compliance</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William Henderson, Director</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Medical Economics &amp;</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r w:rsidRPr="00A266C0">
                        <w:rPr>
                          <w:rFonts w:ascii="Arial" w:hAnsi="Arial" w:cs="Arial"/>
                          <w:b/>
                          <w:bCs/>
                          <w:color w:val="000080"/>
                          <w:sz w:val="16"/>
                          <w:szCs w:val="16"/>
                        </w:rPr>
                        <w:t>Data Analytics</w:t>
                      </w:r>
                    </w:p>
                    <w:p w:rsidR="00A266C0" w:rsidRPr="00A266C0" w:rsidRDefault="00A266C0" w:rsidP="00A266C0">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b/>
                          <w:bCs/>
                          <w:color w:val="000080"/>
                          <w:sz w:val="16"/>
                          <w:szCs w:val="16"/>
                        </w:rPr>
                      </w:pPr>
                    </w:p>
                    <w:p w:rsidR="00635971" w:rsidRPr="00F51FC0" w:rsidRDefault="00635971">
                      <w:pPr>
                        <w:pBdr>
                          <w:top w:val="single" w:sz="6" w:space="0" w:color="FFFFFF"/>
                          <w:left w:val="single" w:sz="6" w:space="0" w:color="FFFFFF"/>
                          <w:bottom w:val="single" w:sz="6" w:space="0" w:color="FFFFFF"/>
                          <w:right w:val="single" w:sz="6" w:space="0" w:color="FFFFFF"/>
                        </w:pBdr>
                        <w:shd w:val="solid" w:color="FFFFFF" w:fill="FFFFFF"/>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bCs/>
                          <w:color w:val="000000"/>
                          <w:sz w:val="20"/>
                          <w:szCs w:val="20"/>
                        </w:rPr>
                      </w:pPr>
                    </w:p>
                  </w:txbxContent>
                </v:textbox>
                <w10:wrap anchorx="margin" anchory="margin"/>
                <w10:anchorlock/>
              </v:rect>
            </w:pict>
          </mc:Fallback>
        </mc:AlternateContent>
      </w:r>
      <w:r>
        <w:rPr>
          <w:noProof/>
        </w:rPr>
        <mc:AlternateContent>
          <mc:Choice Requires="wps">
            <w:drawing>
              <wp:anchor distT="0" distB="0" distL="114300" distR="114300" simplePos="0" relativeHeight="251658752" behindDoc="1" locked="1" layoutInCell="0" allowOverlap="1" wp14:anchorId="11803891" wp14:editId="2EB6EAA7">
                <wp:simplePos x="0" y="0"/>
                <wp:positionH relativeFrom="margin">
                  <wp:posOffset>1185545</wp:posOffset>
                </wp:positionH>
                <wp:positionV relativeFrom="margin">
                  <wp:posOffset>-914400</wp:posOffset>
                </wp:positionV>
                <wp:extent cx="3583940" cy="670560"/>
                <wp:effectExtent l="4445" t="3810" r="2540" b="190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394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66C0" w:rsidRDefault="00A266C0" w:rsidP="00A266C0">
                            <w:pPr>
                              <w:pStyle w:val="WP9Heading"/>
                              <w:keepLines/>
                              <w:pBdr>
                                <w:top w:val="single" w:sz="6" w:space="0" w:color="FFFFFF"/>
                                <w:left w:val="single" w:sz="6" w:space="0" w:color="FFFFFF"/>
                                <w:bottom w:val="single" w:sz="6" w:space="0" w:color="FFFFFF"/>
                                <w:right w:val="single" w:sz="6" w:space="0" w:color="FFFFFF"/>
                              </w:pBdr>
                              <w:shd w:val="solid" w:color="FFFFFF" w:fill="FFFFFF"/>
                              <w:rPr>
                                <w:sz w:val="20"/>
                                <w:szCs w:val="20"/>
                              </w:rPr>
                            </w:pPr>
                            <w:r w:rsidRPr="00EE4A5D">
                              <w:rPr>
                                <w:sz w:val="24"/>
                                <w:szCs w:val="24"/>
                              </w:rPr>
                              <w:t>Health Services Cost Review Commission</w:t>
                            </w:r>
                          </w:p>
                          <w:p w:rsidR="00A266C0" w:rsidRDefault="00A266C0" w:rsidP="00A266C0">
                            <w:pPr>
                              <w:keepLines/>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4160 Patterson Avenue, Baltimore, Maryland 21215</w:t>
                            </w:r>
                          </w:p>
                          <w:p w:rsidR="00A266C0" w:rsidRDefault="00A266C0" w:rsidP="00A266C0">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Phone: 410-764-2605 · Fax: 410-358-6217</w:t>
                            </w:r>
                          </w:p>
                          <w:p w:rsidR="00A266C0" w:rsidRDefault="00A266C0" w:rsidP="00A266C0">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Toll Free: 1-888-287-3229</w:t>
                            </w:r>
                          </w:p>
                          <w:p w:rsidR="00A266C0" w:rsidRPr="001C6448" w:rsidRDefault="00A266C0" w:rsidP="00A266C0">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 xml:space="preserve"> </w:t>
                            </w:r>
                            <w:hyperlink r:id="rId10" w:history="1">
                              <w:r w:rsidRPr="001C6448">
                                <w:rPr>
                                  <w:rStyle w:val="Hyperlink"/>
                                  <w:rFonts w:ascii="Arial" w:hAnsi="Arial" w:cs="Arial"/>
                                  <w:color w:val="000080"/>
                                  <w:sz w:val="16"/>
                                  <w:szCs w:val="16"/>
                                  <w:u w:val="none"/>
                                </w:rPr>
                                <w:t>hscrc.maryland.gov</w:t>
                              </w:r>
                            </w:hyperlink>
                          </w:p>
                          <w:p w:rsidR="00635971" w:rsidRPr="001C6448" w:rsidRDefault="00635971">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03891" id="Rectangle 4" o:spid="_x0000_s1028" style="position:absolute;margin-left:93.35pt;margin-top:-1in;width:282.2pt;height:52.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" o:allowincell="f" filled="f" stroked="f" strokeweight="0">
                <v:textbox inset="0,0,0,0">
                  <w:txbxContent>
                    <w:p w14:paraId="0DA8CDF7" w14:textId="77777777" w:rsidR="00A266C0" w:rsidRDefault="00A266C0" w:rsidP="00A266C0">
                      <w:pPr>
                        <w:pStyle w:val="WP9Heading"/>
                        <w:keepLines/>
                        <w:pBdr>
                          <w:top w:val="single" w:sz="6" w:space="0" w:color="FFFFFF"/>
                          <w:left w:val="single" w:sz="6" w:space="0" w:color="FFFFFF"/>
                          <w:bottom w:val="single" w:sz="6" w:space="0" w:color="FFFFFF"/>
                          <w:right w:val="single" w:sz="6" w:space="0" w:color="FFFFFF"/>
                        </w:pBdr>
                        <w:shd w:val="solid" w:color="FFFFFF" w:fill="FFFFFF"/>
                        <w:rPr>
                          <w:sz w:val="20"/>
                          <w:szCs w:val="20"/>
                        </w:rPr>
                      </w:pPr>
                      <w:r w:rsidRPr="00EE4A5D">
                        <w:rPr>
                          <w:sz w:val="24"/>
                          <w:szCs w:val="24"/>
                        </w:rPr>
                        <w:t>Health Services Cost Review Commission</w:t>
                      </w:r>
                    </w:p>
                    <w:p w14:paraId="1FF23468" w14:textId="77777777" w:rsidR="00A266C0" w:rsidRDefault="00A266C0" w:rsidP="00A266C0">
                      <w:pPr>
                        <w:keepLines/>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4160 Patterson Avenue, Baltimore, Maryland 21215</w:t>
                      </w:r>
                    </w:p>
                    <w:p w14:paraId="29D12BAF" w14:textId="77777777" w:rsidR="00A266C0" w:rsidRDefault="00A266C0" w:rsidP="00A266C0">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Phone: 410-764-2605 · Fax: 410-358-6217</w:t>
                      </w:r>
                    </w:p>
                    <w:p w14:paraId="5885B15D" w14:textId="77777777" w:rsidR="00A266C0" w:rsidRDefault="00A266C0" w:rsidP="00A266C0">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Toll Free: 1-888-287-3229</w:t>
                      </w:r>
                    </w:p>
                    <w:p w14:paraId="1BF21FFE" w14:textId="77777777" w:rsidR="00A266C0" w:rsidRPr="001C6448" w:rsidRDefault="00A266C0" w:rsidP="00A266C0">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r>
                        <w:rPr>
                          <w:rFonts w:ascii="Helvetica" w:hAnsi="Helvetica" w:cs="Helvetica"/>
                          <w:color w:val="000080"/>
                          <w:sz w:val="16"/>
                          <w:szCs w:val="16"/>
                        </w:rPr>
                        <w:t xml:space="preserve"> </w:t>
                      </w:r>
                      <w:hyperlink r:id="rId11" w:history="1">
                        <w:r w:rsidRPr="001C6448">
                          <w:rPr>
                            <w:rStyle w:val="Hyperlink"/>
                            <w:rFonts w:ascii="Arial" w:hAnsi="Arial" w:cs="Arial"/>
                            <w:color w:val="000080"/>
                            <w:sz w:val="16"/>
                            <w:szCs w:val="16"/>
                            <w:u w:val="none"/>
                          </w:rPr>
                          <w:t>hscrc.maryland.gov</w:t>
                        </w:r>
                      </w:hyperlink>
                    </w:p>
                    <w:p w14:paraId="408703A0" w14:textId="09581FC9" w:rsidR="00635971" w:rsidRPr="001C6448" w:rsidRDefault="00635971">
                      <w:pPr>
                        <w:widowControl/>
                        <w:pBdr>
                          <w:top w:val="single" w:sz="6" w:space="0" w:color="FFFFFF"/>
                          <w:left w:val="single" w:sz="6" w:space="0" w:color="FFFFFF"/>
                          <w:bottom w:val="single" w:sz="6" w:space="0" w:color="FFFFFF"/>
                          <w:right w:val="single" w:sz="6" w:space="0" w:color="FFFFFF"/>
                        </w:pBdr>
                        <w:shd w:val="solid" w:color="FFFFFF" w:fill="FFFFFF"/>
                        <w:jc w:val="center"/>
                        <w:rPr>
                          <w:rFonts w:ascii="Helvetica" w:hAnsi="Helvetica" w:cs="Helvetica"/>
                          <w:color w:val="000080"/>
                          <w:sz w:val="16"/>
                          <w:szCs w:val="16"/>
                        </w:rPr>
                      </w:pPr>
                    </w:p>
                  </w:txbxContent>
                </v:textbox>
                <w10:wrap anchorx="margin" anchory="margin"/>
                <w10:anchorlock/>
              </v:rect>
            </w:pict>
          </mc:Fallback>
        </mc:AlternateContent>
      </w:r>
      <w:r>
        <w:rPr>
          <w:noProof/>
        </w:rPr>
        <mc:AlternateContent>
          <mc:Choice Requires="wps">
            <w:drawing>
              <wp:anchor distT="0" distB="0" distL="114300" distR="114300" simplePos="0" relativeHeight="251659776" behindDoc="1" locked="1" layoutInCell="0" allowOverlap="1" wp14:anchorId="7F06D489" wp14:editId="70C90A4A">
                <wp:simplePos x="0" y="0"/>
                <wp:positionH relativeFrom="margin">
                  <wp:posOffset>1336040</wp:posOffset>
                </wp:positionH>
                <wp:positionV relativeFrom="margin">
                  <wp:posOffset>-2670810</wp:posOffset>
                </wp:positionV>
                <wp:extent cx="3279140" cy="323850"/>
                <wp:effectExtent l="2540" t="0" r="4445"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914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266C0" w:rsidRPr="00EE4A5D" w:rsidRDefault="00A266C0" w:rsidP="00A266C0">
                            <w:pPr>
                              <w:pBdr>
                                <w:top w:val="single" w:sz="6" w:space="0" w:color="FFFFFF"/>
                                <w:left w:val="single" w:sz="6" w:space="0" w:color="FFFFFF"/>
                                <w:bottom w:val="single" w:sz="6" w:space="0" w:color="FFFFFF"/>
                                <w:right w:val="single" w:sz="6" w:space="0" w:color="FFFFFF"/>
                              </w:pBdr>
                              <w:shd w:val="solid" w:color="FFFFFF" w:fill="FFFFFF"/>
                              <w:jc w:val="center"/>
                              <w:rPr>
                                <w:rFonts w:ascii="Arial" w:hAnsi="Arial" w:cs="Arial"/>
                                <w:b/>
                                <w:bCs/>
                                <w:color w:val="000080"/>
                                <w:sz w:val="20"/>
                                <w:szCs w:val="20"/>
                              </w:rPr>
                            </w:pPr>
                            <w:r w:rsidRPr="00EE4A5D">
                              <w:rPr>
                                <w:rFonts w:ascii="Arial" w:hAnsi="Arial" w:cs="Arial"/>
                                <w:b/>
                                <w:bCs/>
                                <w:color w:val="000080"/>
                                <w:sz w:val="20"/>
                                <w:szCs w:val="20"/>
                              </w:rPr>
                              <w:t>State of Maryland</w:t>
                            </w:r>
                          </w:p>
                          <w:p w:rsidR="00A266C0" w:rsidRDefault="00A266C0" w:rsidP="00A266C0">
                            <w:pPr>
                              <w:pBdr>
                                <w:top w:val="single" w:sz="6" w:space="0" w:color="FFFFFF"/>
                                <w:left w:val="single" w:sz="6" w:space="0" w:color="FFFFFF"/>
                                <w:bottom w:val="single" w:sz="6" w:space="0" w:color="FFFFFF"/>
                                <w:right w:val="single" w:sz="6" w:space="0" w:color="FFFFFF"/>
                              </w:pBdr>
                              <w:shd w:val="solid" w:color="FFFFFF" w:fill="FFFFFF"/>
                              <w:jc w:val="center"/>
                              <w:rPr>
                                <w:rFonts w:ascii="Arial" w:hAnsi="Arial" w:cs="Arial"/>
                                <w:b/>
                                <w:bCs/>
                                <w:color w:val="000000"/>
                                <w:sz w:val="20"/>
                                <w:szCs w:val="20"/>
                              </w:rPr>
                            </w:pPr>
                            <w:r w:rsidRPr="00EE4A5D">
                              <w:rPr>
                                <w:rFonts w:ascii="Arial" w:hAnsi="Arial" w:cs="Arial"/>
                                <w:b/>
                                <w:bCs/>
                                <w:color w:val="000080"/>
                                <w:sz w:val="20"/>
                                <w:szCs w:val="20"/>
                              </w:rPr>
                              <w:t>Department of Health</w:t>
                            </w:r>
                          </w:p>
                          <w:p w:rsidR="00635971" w:rsidRDefault="00635971">
                            <w:pPr>
                              <w:pBdr>
                                <w:top w:val="single" w:sz="6" w:space="0" w:color="FFFFFF"/>
                                <w:left w:val="single" w:sz="6" w:space="0" w:color="FFFFFF"/>
                                <w:bottom w:val="single" w:sz="6" w:space="0" w:color="FFFFFF"/>
                                <w:right w:val="single" w:sz="6" w:space="0" w:color="FFFFFF"/>
                              </w:pBdr>
                              <w:shd w:val="solid" w:color="FFFFFF" w:fill="FFFFFF"/>
                              <w:rPr>
                                <w:rFonts w:ascii="Helvetica" w:hAnsi="Helvetica" w:cs="Helvetica"/>
                                <w:b/>
                                <w:bCs/>
                                <w:color w:val="000000"/>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6D489" id="Rectangle 5" o:spid="_x0000_s1029" style="position:absolute;margin-left:105.2pt;margin-top:-210.3pt;width:258.2pt;height:25.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" o:allowincell="f" filled="f" stroked="f" strokeweight="0">
                <v:textbox inset="0,0,0,0">
                  <w:txbxContent>
                    <w:p w14:paraId="36DEB0FE" w14:textId="77777777" w:rsidR="00A266C0" w:rsidRPr="00EE4A5D" w:rsidRDefault="00A266C0" w:rsidP="00A266C0">
                      <w:pPr>
                        <w:pBdr>
                          <w:top w:val="single" w:sz="6" w:space="0" w:color="FFFFFF"/>
                          <w:left w:val="single" w:sz="6" w:space="0" w:color="FFFFFF"/>
                          <w:bottom w:val="single" w:sz="6" w:space="0" w:color="FFFFFF"/>
                          <w:right w:val="single" w:sz="6" w:space="0" w:color="FFFFFF"/>
                        </w:pBdr>
                        <w:shd w:val="solid" w:color="FFFFFF" w:fill="FFFFFF"/>
                        <w:jc w:val="center"/>
                        <w:rPr>
                          <w:rFonts w:ascii="Arial" w:hAnsi="Arial" w:cs="Arial"/>
                          <w:b/>
                          <w:bCs/>
                          <w:color w:val="000080"/>
                          <w:sz w:val="20"/>
                          <w:szCs w:val="20"/>
                        </w:rPr>
                      </w:pPr>
                      <w:r w:rsidRPr="00EE4A5D">
                        <w:rPr>
                          <w:rFonts w:ascii="Arial" w:hAnsi="Arial" w:cs="Arial"/>
                          <w:b/>
                          <w:bCs/>
                          <w:color w:val="000080"/>
                          <w:sz w:val="20"/>
                          <w:szCs w:val="20"/>
                        </w:rPr>
                        <w:t>State of Maryland</w:t>
                      </w:r>
                    </w:p>
                    <w:p w14:paraId="1838C98E" w14:textId="77777777" w:rsidR="00A266C0" w:rsidRDefault="00A266C0" w:rsidP="00A266C0">
                      <w:pPr>
                        <w:pBdr>
                          <w:top w:val="single" w:sz="6" w:space="0" w:color="FFFFFF"/>
                          <w:left w:val="single" w:sz="6" w:space="0" w:color="FFFFFF"/>
                          <w:bottom w:val="single" w:sz="6" w:space="0" w:color="FFFFFF"/>
                          <w:right w:val="single" w:sz="6" w:space="0" w:color="FFFFFF"/>
                        </w:pBdr>
                        <w:shd w:val="solid" w:color="FFFFFF" w:fill="FFFFFF"/>
                        <w:jc w:val="center"/>
                        <w:rPr>
                          <w:rFonts w:ascii="Arial" w:hAnsi="Arial" w:cs="Arial"/>
                          <w:b/>
                          <w:bCs/>
                          <w:color w:val="000000"/>
                          <w:sz w:val="20"/>
                          <w:szCs w:val="20"/>
                        </w:rPr>
                      </w:pPr>
                      <w:r w:rsidRPr="00EE4A5D">
                        <w:rPr>
                          <w:rFonts w:ascii="Arial" w:hAnsi="Arial" w:cs="Arial"/>
                          <w:b/>
                          <w:bCs/>
                          <w:color w:val="000080"/>
                          <w:sz w:val="20"/>
                          <w:szCs w:val="20"/>
                        </w:rPr>
                        <w:t>Department of Health</w:t>
                      </w:r>
                    </w:p>
                    <w:p w14:paraId="7D857E38" w14:textId="77777777" w:rsidR="00635971" w:rsidRDefault="00635971">
                      <w:pPr>
                        <w:pBdr>
                          <w:top w:val="single" w:sz="6" w:space="0" w:color="FFFFFF"/>
                          <w:left w:val="single" w:sz="6" w:space="0" w:color="FFFFFF"/>
                          <w:bottom w:val="single" w:sz="6" w:space="0" w:color="FFFFFF"/>
                          <w:right w:val="single" w:sz="6" w:space="0" w:color="FFFFFF"/>
                        </w:pBdr>
                        <w:shd w:val="solid" w:color="FFFFFF" w:fill="FFFFFF"/>
                        <w:rPr>
                          <w:rFonts w:ascii="Helvetica" w:hAnsi="Helvetica" w:cs="Helvetica"/>
                          <w:b/>
                          <w:bCs/>
                          <w:color w:val="000000"/>
                          <w:sz w:val="20"/>
                          <w:szCs w:val="20"/>
                        </w:rPr>
                      </w:pPr>
                    </w:p>
                  </w:txbxContent>
                </v:textbox>
                <w10:wrap anchorx="margin" anchory="margin"/>
                <w10:anchorlock/>
              </v:rect>
            </w:pict>
          </mc:Fallback>
        </mc:AlternateContent>
      </w:r>
    </w:p>
    <w:p w:rsidR="00B26662" w:rsidRDefault="00A266C0">
      <w:pPr>
        <w:framePr w:w="3766" w:h="2154" w:hRule="exact" w:hSpace="240" w:vSpace="240" w:wrap="auto" w:vAnchor="page" w:hAnchor="page" w:x="4199" w:y="1285"/>
        <w:pBdr>
          <w:top w:val="single" w:sz="6" w:space="0" w:color="FFFFFF"/>
          <w:left w:val="single" w:sz="6" w:space="0" w:color="FFFFFF"/>
          <w:bottom w:val="single" w:sz="6" w:space="0" w:color="FFFFFF"/>
          <w:right w:val="single" w:sz="6" w:space="0" w:color="FFFFFF"/>
        </w:pBdr>
        <w:shd w:val="solid" w:color="FFFFFF" w:fill="FFFFFF"/>
        <w:rPr>
          <w:rFonts w:ascii="Times New Roman TUR" w:hAnsi="Times New Roman TUR" w:cs="Times New Roman TUR"/>
          <w:b/>
          <w:bCs/>
        </w:rPr>
      </w:pPr>
      <w:r>
        <w:rPr>
          <w:rFonts w:ascii="Times New Roman TUR" w:hAnsi="Times New Roman TUR" w:cs="Times New Roman TUR"/>
          <w:b/>
          <w:noProof/>
        </w:rPr>
        <w:drawing>
          <wp:anchor distT="0" distB="0" distL="114300" distR="114300" simplePos="0" relativeHeight="251660800" behindDoc="0" locked="1" layoutInCell="1" allowOverlap="1" wp14:editId="357033B2">
            <wp:simplePos x="0" y="0"/>
            <wp:positionH relativeFrom="margin">
              <wp:align>center</wp:align>
            </wp:positionH>
            <wp:positionV relativeFrom="page">
              <wp:posOffset>-49530</wp:posOffset>
            </wp:positionV>
            <wp:extent cx="2541905" cy="1368425"/>
            <wp:effectExtent l="0" t="0" r="0" b="3175"/>
            <wp:wrapTight wrapText="bothSides">
              <wp:wrapPolygon edited="0">
                <wp:start x="0" y="0"/>
                <wp:lineTo x="0" y="21349"/>
                <wp:lineTo x="21368" y="21349"/>
                <wp:lineTo x="21368" y="0"/>
                <wp:lineTo x="0" y="0"/>
              </wp:wrapPolygon>
            </wp:wrapTight>
            <wp:docPr id="2" name="Picture 2" descr="DHMH ALternative Seal - Reflex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MH ALternative Seal - Reflex Blu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1905" cy="1368425"/>
                    </a:xfrm>
                    <a:prstGeom prst="rect">
                      <a:avLst/>
                    </a:prstGeom>
                    <a:noFill/>
                  </pic:spPr>
                </pic:pic>
              </a:graphicData>
            </a:graphic>
            <wp14:sizeRelH relativeFrom="page">
              <wp14:pctWidth>0</wp14:pctWidth>
            </wp14:sizeRelH>
            <wp14:sizeRelV relativeFrom="page">
              <wp14:pctHeight>0</wp14:pctHeight>
            </wp14:sizeRelV>
          </wp:anchor>
        </w:drawing>
      </w:r>
      <w:r w:rsidR="0013234D">
        <w:rPr>
          <w:rFonts w:ascii="Times New Roman TUR" w:hAnsi="Times New Roman TUR" w:cs="Times New Roman TUR"/>
          <w:b/>
          <w:noProof/>
        </w:rPr>
        <w:drawing>
          <wp:inline distT="0" distB="0" distL="0" distR="0" wp14:anchorId="44147F02" wp14:editId="5A904BF4">
            <wp:extent cx="2543175"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1465" t="-1604" r="-1465" b="-1604"/>
                    <a:stretch>
                      <a:fillRect/>
                    </a:stretch>
                  </pic:blipFill>
                  <pic:spPr bwMode="auto">
                    <a:xfrm>
                      <a:off x="0" y="0"/>
                      <a:ext cx="2543175" cy="1371600"/>
                    </a:xfrm>
                    <a:prstGeom prst="rect">
                      <a:avLst/>
                    </a:prstGeom>
                    <a:noFill/>
                    <a:ln>
                      <a:noFill/>
                    </a:ln>
                  </pic:spPr>
                </pic:pic>
              </a:graphicData>
            </a:graphic>
          </wp:inline>
        </w:drawing>
      </w:r>
    </w:p>
    <w:p w:rsidR="00B26662" w:rsidRDefault="00B26662">
      <w:pPr>
        <w:framePr w:w="4002" w:h="2154" w:hRule="exact" w:vSpace="240" w:wrap="auto" w:vAnchor="page" w:hAnchor="page" w:x="4081" w:y="1285"/>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TUR" w:hAnsi="Times New Roman TUR" w:cs="Times New Roman TUR"/>
          <w:b/>
          <w:bCs/>
        </w:rPr>
      </w:pPr>
    </w:p>
    <w:p w:rsidR="004F60CA" w:rsidRDefault="004F60CA" w:rsidP="004F60CA">
      <w:pPr>
        <w:spacing w:after="120"/>
        <w:rPr>
          <w:rFonts w:ascii="Arial" w:hAnsi="Arial" w:cs="Arial"/>
          <w:sz w:val="22"/>
          <w:szCs w:val="22"/>
        </w:rPr>
      </w:pPr>
      <w:r w:rsidRPr="006D7898">
        <w:rPr>
          <w:rFonts w:ascii="Arial" w:hAnsi="Arial" w:cs="Arial"/>
          <w:sz w:val="22"/>
          <w:szCs w:val="22"/>
        </w:rPr>
        <w:t>To:</w:t>
      </w:r>
      <w:r w:rsidRPr="006D7898">
        <w:rPr>
          <w:rFonts w:ascii="Arial" w:hAnsi="Arial" w:cs="Arial"/>
          <w:sz w:val="22"/>
          <w:szCs w:val="22"/>
        </w:rPr>
        <w:tab/>
        <w:t>Hospital CFOs</w:t>
      </w:r>
    </w:p>
    <w:p w:rsidR="004F60CA" w:rsidRDefault="004F60CA" w:rsidP="004F60CA">
      <w:pPr>
        <w:rPr>
          <w:rFonts w:ascii="Arial" w:hAnsi="Arial" w:cs="Arial"/>
          <w:sz w:val="22"/>
          <w:szCs w:val="22"/>
        </w:rPr>
      </w:pPr>
      <w:r>
        <w:rPr>
          <w:rFonts w:ascii="Arial" w:hAnsi="Arial" w:cs="Arial"/>
          <w:sz w:val="22"/>
          <w:szCs w:val="22"/>
        </w:rPr>
        <w:t>Cc:</w:t>
      </w:r>
      <w:r>
        <w:rPr>
          <w:rFonts w:ascii="Arial" w:hAnsi="Arial" w:cs="Arial"/>
          <w:sz w:val="22"/>
          <w:szCs w:val="22"/>
        </w:rPr>
        <w:tab/>
        <w:t>Hospital Quality Liaisons</w:t>
      </w:r>
    </w:p>
    <w:p w:rsidR="004F60CA" w:rsidRDefault="004F60CA" w:rsidP="004F60CA">
      <w:pPr>
        <w:spacing w:after="120"/>
        <w:ind w:firstLine="720"/>
        <w:rPr>
          <w:rFonts w:ascii="Arial" w:hAnsi="Arial" w:cs="Arial"/>
          <w:sz w:val="22"/>
          <w:szCs w:val="22"/>
        </w:rPr>
      </w:pPr>
      <w:r>
        <w:rPr>
          <w:rFonts w:ascii="Arial" w:hAnsi="Arial" w:cs="Arial"/>
          <w:sz w:val="22"/>
          <w:szCs w:val="22"/>
        </w:rPr>
        <w:t xml:space="preserve">Case Mix Liaisons </w:t>
      </w:r>
    </w:p>
    <w:p w:rsidR="004F60CA" w:rsidRPr="006D7898" w:rsidRDefault="004F60CA" w:rsidP="004F60CA">
      <w:pPr>
        <w:spacing w:after="120"/>
        <w:rPr>
          <w:rFonts w:ascii="Arial" w:hAnsi="Arial" w:cs="Arial"/>
          <w:sz w:val="22"/>
          <w:szCs w:val="22"/>
        </w:rPr>
      </w:pPr>
      <w:r w:rsidRPr="006D7898">
        <w:rPr>
          <w:rFonts w:ascii="Arial" w:hAnsi="Arial" w:cs="Arial"/>
          <w:sz w:val="22"/>
          <w:szCs w:val="22"/>
        </w:rPr>
        <w:t>From:</w:t>
      </w:r>
      <w:r w:rsidRPr="006D7898">
        <w:rPr>
          <w:rFonts w:ascii="Arial" w:hAnsi="Arial" w:cs="Arial"/>
          <w:sz w:val="22"/>
          <w:szCs w:val="22"/>
        </w:rPr>
        <w:tab/>
      </w:r>
      <w:r w:rsidRPr="00F42C63">
        <w:rPr>
          <w:rFonts w:ascii="Arial" w:hAnsi="Arial" w:cs="Arial"/>
          <w:sz w:val="22"/>
          <w:szCs w:val="22"/>
        </w:rPr>
        <w:t xml:space="preserve">HSCRC </w:t>
      </w:r>
      <w:r>
        <w:rPr>
          <w:rFonts w:ascii="Arial" w:hAnsi="Arial" w:cs="Arial"/>
          <w:sz w:val="22"/>
          <w:szCs w:val="22"/>
        </w:rPr>
        <w:t>Quality/</w:t>
      </w:r>
      <w:r w:rsidRPr="00F42C63">
        <w:rPr>
          <w:rFonts w:ascii="Arial" w:hAnsi="Arial" w:cs="Arial"/>
          <w:sz w:val="22"/>
          <w:szCs w:val="22"/>
        </w:rPr>
        <w:t>Performance Measurement Team</w:t>
      </w:r>
    </w:p>
    <w:p w:rsidR="004F60CA" w:rsidRPr="006D7898" w:rsidRDefault="00850EEF" w:rsidP="004F60CA">
      <w:pPr>
        <w:spacing w:after="120"/>
        <w:rPr>
          <w:rFonts w:ascii="Arial" w:hAnsi="Arial" w:cs="Arial"/>
          <w:sz w:val="22"/>
          <w:szCs w:val="22"/>
        </w:rPr>
      </w:pPr>
      <w:r>
        <w:rPr>
          <w:rFonts w:ascii="Arial" w:hAnsi="Arial" w:cs="Arial"/>
          <w:sz w:val="22"/>
          <w:szCs w:val="22"/>
        </w:rPr>
        <w:t>Date:</w:t>
      </w:r>
      <w:r>
        <w:rPr>
          <w:rFonts w:ascii="Arial" w:hAnsi="Arial" w:cs="Arial"/>
          <w:sz w:val="22"/>
          <w:szCs w:val="22"/>
        </w:rPr>
        <w:tab/>
        <w:t xml:space="preserve">January </w:t>
      </w:r>
      <w:r w:rsidR="0076673A">
        <w:rPr>
          <w:rFonts w:ascii="Arial" w:hAnsi="Arial" w:cs="Arial"/>
          <w:sz w:val="22"/>
          <w:szCs w:val="22"/>
        </w:rPr>
        <w:t>6</w:t>
      </w:r>
      <w:r>
        <w:rPr>
          <w:rFonts w:ascii="Arial" w:hAnsi="Arial" w:cs="Arial"/>
          <w:sz w:val="22"/>
          <w:szCs w:val="22"/>
        </w:rPr>
        <w:t>,</w:t>
      </w:r>
      <w:r w:rsidR="003E17B0">
        <w:rPr>
          <w:rFonts w:ascii="Arial" w:hAnsi="Arial" w:cs="Arial"/>
          <w:sz w:val="22"/>
          <w:szCs w:val="22"/>
        </w:rPr>
        <w:t xml:space="preserve"> 2019</w:t>
      </w:r>
      <w:r w:rsidR="00F2427B" w:rsidRPr="00100CF9">
        <w:rPr>
          <w:rFonts w:ascii="Arial" w:hAnsi="Arial" w:cs="Arial"/>
          <w:sz w:val="22"/>
          <w:szCs w:val="22"/>
        </w:rPr>
        <w:t xml:space="preserve"> </w:t>
      </w:r>
    </w:p>
    <w:p w:rsidR="004F60CA" w:rsidRPr="006A05D7" w:rsidRDefault="004F60CA" w:rsidP="00985CED">
      <w:pPr>
        <w:ind w:left="720" w:hanging="720"/>
        <w:rPr>
          <w:rFonts w:ascii="Arial" w:hAnsi="Arial" w:cs="Arial"/>
          <w:sz w:val="22"/>
          <w:szCs w:val="22"/>
        </w:rPr>
      </w:pPr>
      <w:r w:rsidRPr="006D7898">
        <w:rPr>
          <w:rFonts w:ascii="Arial" w:hAnsi="Arial" w:cs="Arial"/>
          <w:sz w:val="22"/>
          <w:szCs w:val="22"/>
        </w:rPr>
        <w:t>Re:</w:t>
      </w:r>
      <w:r w:rsidRPr="006D7898">
        <w:rPr>
          <w:rFonts w:ascii="Arial" w:hAnsi="Arial" w:cs="Arial"/>
          <w:sz w:val="22"/>
          <w:szCs w:val="22"/>
        </w:rPr>
        <w:tab/>
      </w:r>
      <w:r>
        <w:rPr>
          <w:rFonts w:ascii="Arial" w:hAnsi="Arial" w:cs="Arial"/>
          <w:sz w:val="22"/>
          <w:szCs w:val="22"/>
        </w:rPr>
        <w:t xml:space="preserve">Maryland Quality Based Reimbursement Program </w:t>
      </w:r>
      <w:r w:rsidR="00985CED">
        <w:rPr>
          <w:rFonts w:ascii="Arial" w:hAnsi="Arial" w:cs="Arial"/>
          <w:sz w:val="22"/>
          <w:szCs w:val="22"/>
        </w:rPr>
        <w:t xml:space="preserve">Methodology and </w:t>
      </w:r>
      <w:r>
        <w:rPr>
          <w:rFonts w:ascii="Arial" w:hAnsi="Arial" w:cs="Arial"/>
          <w:sz w:val="22"/>
          <w:szCs w:val="22"/>
        </w:rPr>
        <w:t>Measure Standards</w:t>
      </w:r>
      <w:r w:rsidR="003E17B0">
        <w:rPr>
          <w:rFonts w:ascii="Arial" w:hAnsi="Arial" w:cs="Arial"/>
          <w:sz w:val="22"/>
          <w:szCs w:val="22"/>
        </w:rPr>
        <w:t xml:space="preserve"> for Rate Year 2022</w:t>
      </w:r>
    </w:p>
    <w:p w:rsidR="004F60CA" w:rsidRPr="006D7898" w:rsidRDefault="004F60CA" w:rsidP="004F60CA">
      <w:pPr>
        <w:pBdr>
          <w:bottom w:val="single" w:sz="4" w:space="0" w:color="auto"/>
        </w:pBdr>
        <w:rPr>
          <w:rFonts w:ascii="Arial" w:hAnsi="Arial" w:cs="Arial"/>
          <w:sz w:val="12"/>
          <w:szCs w:val="12"/>
        </w:rPr>
      </w:pPr>
    </w:p>
    <w:p w:rsidR="004F60CA" w:rsidRPr="006D7898" w:rsidRDefault="004F60CA" w:rsidP="004F60CA">
      <w:pPr>
        <w:rPr>
          <w:rFonts w:ascii="Arial" w:hAnsi="Arial" w:cs="Arial"/>
          <w:sz w:val="10"/>
          <w:szCs w:val="10"/>
        </w:rPr>
      </w:pPr>
    </w:p>
    <w:p w:rsidR="004F60CA" w:rsidRDefault="004F60CA"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Pr>
          <w:b w:val="0"/>
          <w:color w:val="auto"/>
          <w:sz w:val="22"/>
          <w:szCs w:val="22"/>
        </w:rPr>
        <w:t xml:space="preserve">This memo summarizes </w:t>
      </w:r>
      <w:r w:rsidR="0076673A">
        <w:rPr>
          <w:b w:val="0"/>
          <w:color w:val="auto"/>
          <w:sz w:val="22"/>
          <w:szCs w:val="22"/>
        </w:rPr>
        <w:t>t</w:t>
      </w:r>
      <w:r>
        <w:rPr>
          <w:b w:val="0"/>
          <w:color w:val="auto"/>
          <w:sz w:val="22"/>
          <w:szCs w:val="22"/>
        </w:rPr>
        <w:t>he Quality Based Reimbursement Program (QBR) that will impact hospi</w:t>
      </w:r>
      <w:r w:rsidR="003E17B0">
        <w:rPr>
          <w:b w:val="0"/>
          <w:color w:val="auto"/>
          <w:sz w:val="22"/>
          <w:szCs w:val="22"/>
        </w:rPr>
        <w:t>tal rates in Rate Year (RY) 2022</w:t>
      </w:r>
      <w:r>
        <w:rPr>
          <w:b w:val="0"/>
          <w:color w:val="auto"/>
          <w:sz w:val="22"/>
          <w:szCs w:val="22"/>
        </w:rPr>
        <w:t xml:space="preserve">. </w:t>
      </w:r>
    </w:p>
    <w:p w:rsidR="004F60CA" w:rsidRDefault="004F60CA"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b w:val="0"/>
          <w:color w:val="auto"/>
          <w:sz w:val="22"/>
          <w:szCs w:val="22"/>
        </w:rPr>
      </w:pPr>
    </w:p>
    <w:p w:rsidR="004F60CA" w:rsidRPr="00EF56BC" w:rsidRDefault="004F60CA" w:rsidP="004F60CA">
      <w:pPr>
        <w:pStyle w:val="Heading2"/>
      </w:pPr>
      <w:r>
        <w:t>Scaling Methodology and Revenue At-Risk</w:t>
      </w:r>
    </w:p>
    <w:p w:rsidR="004F60CA" w:rsidRDefault="004F60CA" w:rsidP="004F60CA">
      <w:pPr>
        <w:widowControl/>
        <w:autoSpaceDE/>
        <w:autoSpaceDN/>
        <w:adjustRightInd/>
        <w:rPr>
          <w:rFonts w:ascii="Arial" w:hAnsi="Arial" w:cs="Arial"/>
          <w:sz w:val="22"/>
          <w:szCs w:val="22"/>
        </w:rPr>
      </w:pPr>
      <w:r w:rsidRPr="000063D9">
        <w:rPr>
          <w:rFonts w:ascii="Arial" w:hAnsi="Arial" w:cs="Arial"/>
          <w:sz w:val="22"/>
          <w:szCs w:val="22"/>
        </w:rPr>
        <w:t xml:space="preserve">On </w:t>
      </w:r>
      <w:r w:rsidR="003E17B0">
        <w:rPr>
          <w:rFonts w:ascii="Arial" w:hAnsi="Arial" w:cs="Arial"/>
          <w:sz w:val="22"/>
          <w:szCs w:val="22"/>
        </w:rPr>
        <w:t>December 11</w:t>
      </w:r>
      <w:r w:rsidRPr="000063D9">
        <w:rPr>
          <w:rFonts w:ascii="Arial" w:hAnsi="Arial" w:cs="Arial"/>
          <w:sz w:val="22"/>
          <w:szCs w:val="22"/>
        </w:rPr>
        <w:t>, 201</w:t>
      </w:r>
      <w:r w:rsidR="003E17B0">
        <w:rPr>
          <w:rFonts w:ascii="Arial" w:hAnsi="Arial" w:cs="Arial"/>
          <w:sz w:val="22"/>
          <w:szCs w:val="22"/>
        </w:rPr>
        <w:t>9</w:t>
      </w:r>
      <w:r>
        <w:rPr>
          <w:rFonts w:ascii="Arial" w:hAnsi="Arial" w:cs="Arial"/>
          <w:sz w:val="22"/>
          <w:szCs w:val="22"/>
        </w:rPr>
        <w:t>, the Commission approved</w:t>
      </w:r>
      <w:r w:rsidRPr="00F521B9">
        <w:rPr>
          <w:rFonts w:ascii="Arial" w:hAnsi="Arial" w:cs="Arial"/>
          <w:sz w:val="22"/>
          <w:szCs w:val="22"/>
        </w:rPr>
        <w:t xml:space="preserve"> </w:t>
      </w:r>
      <w:r>
        <w:rPr>
          <w:rFonts w:ascii="Arial" w:hAnsi="Arial" w:cs="Arial"/>
          <w:sz w:val="22"/>
          <w:szCs w:val="22"/>
        </w:rPr>
        <w:t xml:space="preserve">the staff recommendations for </w:t>
      </w:r>
      <w:r w:rsidR="008C66FE">
        <w:rPr>
          <w:rFonts w:ascii="Arial" w:hAnsi="Arial" w:cs="Arial"/>
          <w:sz w:val="22"/>
          <w:szCs w:val="22"/>
        </w:rPr>
        <w:t>updating</w:t>
      </w:r>
      <w:r>
        <w:rPr>
          <w:rFonts w:ascii="Arial" w:hAnsi="Arial" w:cs="Arial"/>
          <w:sz w:val="22"/>
          <w:szCs w:val="22"/>
        </w:rPr>
        <w:t xml:space="preserve"> the Quality-Based Reimbur</w:t>
      </w:r>
      <w:r w:rsidR="003E17B0">
        <w:rPr>
          <w:rFonts w:ascii="Arial" w:hAnsi="Arial" w:cs="Arial"/>
          <w:sz w:val="22"/>
          <w:szCs w:val="22"/>
        </w:rPr>
        <w:t xml:space="preserve">sement (QBR) Program for RY 2022.  </w:t>
      </w:r>
      <w:r w:rsidR="009B6B57">
        <w:rPr>
          <w:rFonts w:ascii="Arial" w:hAnsi="Arial" w:cs="Arial"/>
          <w:sz w:val="22"/>
          <w:szCs w:val="22"/>
        </w:rPr>
        <w:t>Consistent with the RY 2021 policy, t</w:t>
      </w:r>
      <w:r w:rsidR="003E17B0">
        <w:rPr>
          <w:rFonts w:ascii="Arial" w:hAnsi="Arial" w:cs="Arial"/>
          <w:sz w:val="22"/>
          <w:szCs w:val="22"/>
        </w:rPr>
        <w:t>he preset scale for RY 2022</w:t>
      </w:r>
      <w:r>
        <w:rPr>
          <w:rFonts w:ascii="Arial" w:hAnsi="Arial" w:cs="Arial"/>
          <w:sz w:val="22"/>
          <w:szCs w:val="22"/>
        </w:rPr>
        <w:t xml:space="preserve"> uses a full distribution of</w:t>
      </w:r>
      <w:r w:rsidR="003E17B0">
        <w:rPr>
          <w:rFonts w:ascii="Arial" w:hAnsi="Arial" w:cs="Arial"/>
          <w:sz w:val="22"/>
          <w:szCs w:val="22"/>
        </w:rPr>
        <w:t xml:space="preserve"> potential scores </w:t>
      </w:r>
      <w:r w:rsidR="003E17B0" w:rsidRPr="00850EEF">
        <w:rPr>
          <w:rFonts w:ascii="Arial" w:hAnsi="Arial" w:cs="Arial"/>
          <w:sz w:val="22"/>
          <w:szCs w:val="22"/>
        </w:rPr>
        <w:t>(scale</w:t>
      </w:r>
      <w:r w:rsidR="003E17B0" w:rsidRPr="00F877AD">
        <w:rPr>
          <w:rFonts w:ascii="Arial" w:hAnsi="Arial" w:cs="Arial"/>
          <w:sz w:val="22"/>
          <w:szCs w:val="22"/>
        </w:rPr>
        <w:t xml:space="preserve"> of 0-80</w:t>
      </w:r>
      <w:r w:rsidRPr="00F877AD">
        <w:rPr>
          <w:rFonts w:ascii="Arial" w:hAnsi="Arial" w:cs="Arial"/>
          <w:sz w:val="22"/>
          <w:szCs w:val="22"/>
        </w:rPr>
        <w:t>%),</w:t>
      </w:r>
      <w:r>
        <w:rPr>
          <w:rFonts w:ascii="Arial" w:hAnsi="Arial" w:cs="Arial"/>
          <w:sz w:val="22"/>
          <w:szCs w:val="22"/>
        </w:rPr>
        <w:t xml:space="preserve"> and a score cut point of 41% for rewards and penalties. The maximum reward will remain at 2%, and the maximum penalty will remain at 2%</w:t>
      </w:r>
      <w:r w:rsidR="00715BFA">
        <w:rPr>
          <w:rFonts w:ascii="Arial" w:hAnsi="Arial" w:cs="Arial"/>
          <w:sz w:val="22"/>
          <w:szCs w:val="22"/>
        </w:rPr>
        <w:t>;</w:t>
      </w:r>
      <w:r>
        <w:rPr>
          <w:rFonts w:ascii="Arial" w:hAnsi="Arial" w:cs="Arial"/>
          <w:sz w:val="22"/>
          <w:szCs w:val="22"/>
        </w:rPr>
        <w:t xml:space="preserve"> </w:t>
      </w:r>
      <w:r w:rsidR="00715BFA">
        <w:rPr>
          <w:rFonts w:ascii="Arial" w:hAnsi="Arial" w:cs="Arial"/>
          <w:sz w:val="22"/>
          <w:szCs w:val="22"/>
        </w:rPr>
        <w:t>t</w:t>
      </w:r>
      <w:r>
        <w:rPr>
          <w:rFonts w:ascii="Arial" w:hAnsi="Arial" w:cs="Arial"/>
          <w:sz w:val="22"/>
          <w:szCs w:val="22"/>
        </w:rPr>
        <w:t xml:space="preserve">he preset scale is included as Appendix A of this memorandum. </w:t>
      </w:r>
    </w:p>
    <w:p w:rsidR="004F60CA" w:rsidRDefault="004F60CA" w:rsidP="004F60CA">
      <w:pPr>
        <w:widowControl/>
        <w:autoSpaceDE/>
        <w:autoSpaceDN/>
        <w:adjustRightInd/>
        <w:rPr>
          <w:rFonts w:ascii="Arial" w:hAnsi="Arial" w:cs="Arial"/>
          <w:sz w:val="22"/>
          <w:szCs w:val="22"/>
        </w:rPr>
      </w:pPr>
    </w:p>
    <w:p w:rsidR="004F60CA" w:rsidRPr="00706174" w:rsidRDefault="004F60CA" w:rsidP="004F60CA">
      <w:pPr>
        <w:pStyle w:val="Heading2"/>
      </w:pPr>
      <w:r w:rsidRPr="00706174">
        <w:t>Aligning the QBR program with the CMS Value Based Purchasing (VBP) Program</w:t>
      </w:r>
    </w:p>
    <w:p w:rsidR="004F60CA" w:rsidRDefault="004F60CA" w:rsidP="004F60CA">
      <w:pPr>
        <w:pStyle w:val="Heading3"/>
      </w:pPr>
      <w:r w:rsidRPr="00706174">
        <w:t>VBP Exemption</w:t>
      </w:r>
    </w:p>
    <w:p w:rsidR="004F60CA" w:rsidRPr="00E05834" w:rsidRDefault="004F60CA" w:rsidP="004F60CA">
      <w:pPr>
        <w:pStyle w:val="ListParagraph"/>
        <w:widowControl/>
        <w:autoSpaceDE/>
        <w:autoSpaceDN/>
        <w:adjustRightInd/>
        <w:ind w:left="1080"/>
        <w:rPr>
          <w:rFonts w:ascii="Arial" w:hAnsi="Arial" w:cs="Arial"/>
          <w:b/>
          <w:bCs/>
          <w:sz w:val="22"/>
          <w:szCs w:val="22"/>
        </w:rPr>
      </w:pPr>
    </w:p>
    <w:p w:rsidR="004F60CA" w:rsidRPr="00100CF9" w:rsidRDefault="004F60CA" w:rsidP="004F60CA">
      <w:pPr>
        <w:pStyle w:val="ListParagraph"/>
        <w:tabs>
          <w:tab w:val="left" w:pos="450"/>
        </w:tabs>
        <w:ind w:left="0"/>
        <w:rPr>
          <w:rFonts w:ascii="Arial" w:hAnsi="Arial" w:cs="Arial"/>
          <w:color w:val="000000"/>
          <w:sz w:val="22"/>
          <w:szCs w:val="22"/>
        </w:rPr>
      </w:pPr>
      <w:r w:rsidRPr="00E05834">
        <w:rPr>
          <w:rFonts w:ascii="Arial" w:hAnsi="Arial" w:cs="Arial"/>
          <w:sz w:val="22"/>
          <w:szCs w:val="22"/>
        </w:rPr>
        <w:t xml:space="preserve">Exemptions from CMS quality hospital programs </w:t>
      </w:r>
      <w:r w:rsidRPr="00E05834">
        <w:rPr>
          <w:rFonts w:ascii="Arial" w:hAnsi="Arial" w:cs="Arial"/>
          <w:color w:val="000000"/>
          <w:sz w:val="22"/>
          <w:szCs w:val="22"/>
        </w:rPr>
        <w:t xml:space="preserve">enable Maryland to operate programs with incremental revenue adjustment scales established prospectively with </w:t>
      </w:r>
      <w:r>
        <w:rPr>
          <w:rFonts w:ascii="Arial" w:hAnsi="Arial" w:cs="Arial"/>
          <w:color w:val="000000"/>
          <w:sz w:val="22"/>
          <w:szCs w:val="22"/>
        </w:rPr>
        <w:t xml:space="preserve">all hospitals having the opportunity to earn </w:t>
      </w:r>
      <w:r w:rsidRPr="00E05834">
        <w:rPr>
          <w:rFonts w:ascii="Arial" w:hAnsi="Arial" w:cs="Arial"/>
          <w:color w:val="000000"/>
          <w:sz w:val="22"/>
          <w:szCs w:val="22"/>
        </w:rPr>
        <w:t>rewards</w:t>
      </w:r>
      <w:r>
        <w:rPr>
          <w:rFonts w:ascii="Arial" w:hAnsi="Arial" w:cs="Arial"/>
          <w:color w:val="000000"/>
          <w:sz w:val="22"/>
          <w:szCs w:val="22"/>
        </w:rPr>
        <w:t xml:space="preserve"> based on their performance</w:t>
      </w:r>
      <w:r w:rsidRPr="00E05834">
        <w:rPr>
          <w:rFonts w:ascii="Arial" w:hAnsi="Arial" w:cs="Arial"/>
          <w:color w:val="000000"/>
          <w:sz w:val="22"/>
          <w:szCs w:val="22"/>
        </w:rPr>
        <w:t>.</w:t>
      </w:r>
      <w:r w:rsidRPr="00E05834">
        <w:rPr>
          <w:color w:val="000000"/>
          <w:sz w:val="22"/>
          <w:szCs w:val="22"/>
        </w:rPr>
        <w:t xml:space="preserve"> </w:t>
      </w:r>
      <w:r w:rsidRPr="00E05834">
        <w:rPr>
          <w:rFonts w:ascii="Arial" w:hAnsi="Arial" w:cs="Arial"/>
          <w:color w:val="000000"/>
          <w:sz w:val="22"/>
          <w:szCs w:val="22"/>
        </w:rPr>
        <w:t xml:space="preserve">As required, </w:t>
      </w:r>
      <w:r w:rsidRPr="00E05834">
        <w:rPr>
          <w:rFonts w:ascii="Arial" w:hAnsi="Arial" w:cs="Arial"/>
          <w:sz w:val="22"/>
          <w:szCs w:val="22"/>
        </w:rPr>
        <w:t>HSCRC has submitted to the Centers for Medicare &amp; Medicaid Services (CMS) Maryland’s QBR program reports and requests for exemptions f</w:t>
      </w:r>
      <w:r>
        <w:rPr>
          <w:rFonts w:ascii="Arial" w:hAnsi="Arial" w:cs="Arial"/>
          <w:sz w:val="22"/>
          <w:szCs w:val="22"/>
        </w:rPr>
        <w:t>rom</w:t>
      </w:r>
      <w:r w:rsidRPr="00E05834">
        <w:rPr>
          <w:rFonts w:ascii="Arial" w:hAnsi="Arial" w:cs="Arial"/>
          <w:sz w:val="22"/>
          <w:szCs w:val="22"/>
        </w:rPr>
        <w:t xml:space="preserve"> the Value-Based Purchasing (VBP) program for FY 2013 through FY 20</w:t>
      </w:r>
      <w:r w:rsidR="00C43AC8">
        <w:rPr>
          <w:rFonts w:ascii="Arial" w:hAnsi="Arial" w:cs="Arial"/>
          <w:sz w:val="22"/>
          <w:szCs w:val="22"/>
        </w:rPr>
        <w:t>20</w:t>
      </w:r>
      <w:r w:rsidRPr="00E05834">
        <w:rPr>
          <w:rFonts w:ascii="Arial" w:hAnsi="Arial" w:cs="Arial"/>
          <w:sz w:val="22"/>
          <w:szCs w:val="22"/>
        </w:rPr>
        <w:t xml:space="preserve">. The exemption requests have emphasized that the QBR policy continues to heavily weight the Hospital Consumer Assessment of Healthcare Providers and Systems (HCAHPS) scores due to concerns regarding progress on these measures.  </w:t>
      </w:r>
      <w:r w:rsidR="00C43AC8">
        <w:rPr>
          <w:rFonts w:ascii="Arial" w:hAnsi="Arial" w:cs="Arial"/>
          <w:color w:val="000000"/>
          <w:sz w:val="22"/>
          <w:szCs w:val="22"/>
        </w:rPr>
        <w:t>U</w:t>
      </w:r>
      <w:r>
        <w:rPr>
          <w:rFonts w:ascii="Arial" w:hAnsi="Arial" w:cs="Arial"/>
          <w:color w:val="000000"/>
          <w:sz w:val="22"/>
          <w:szCs w:val="22"/>
        </w:rPr>
        <w:t xml:space="preserve">nder the TCOC Model, </w:t>
      </w:r>
      <w:r w:rsidRPr="00E05834">
        <w:rPr>
          <w:rFonts w:ascii="Arial" w:hAnsi="Arial" w:cs="Arial"/>
          <w:color w:val="000000"/>
          <w:sz w:val="22"/>
          <w:szCs w:val="22"/>
        </w:rPr>
        <w:t>HSCRC</w:t>
      </w:r>
      <w:r w:rsidR="00C43AC8">
        <w:rPr>
          <w:rFonts w:ascii="Arial" w:hAnsi="Arial" w:cs="Arial"/>
          <w:color w:val="000000"/>
          <w:sz w:val="22"/>
          <w:szCs w:val="22"/>
        </w:rPr>
        <w:t xml:space="preserve"> is updating </w:t>
      </w:r>
      <w:r w:rsidRPr="00E05834">
        <w:rPr>
          <w:rFonts w:ascii="Arial" w:hAnsi="Arial" w:cs="Arial"/>
          <w:color w:val="000000"/>
          <w:sz w:val="22"/>
          <w:szCs w:val="22"/>
        </w:rPr>
        <w:t xml:space="preserve"> </w:t>
      </w:r>
      <w:r w:rsidR="00C43AC8">
        <w:rPr>
          <w:rFonts w:ascii="Arial" w:hAnsi="Arial" w:cs="Arial"/>
          <w:color w:val="000000"/>
          <w:sz w:val="22"/>
          <w:szCs w:val="22"/>
        </w:rPr>
        <w:t xml:space="preserve">performance targets and requirements for its </w:t>
      </w:r>
      <w:r w:rsidRPr="00E05834">
        <w:rPr>
          <w:rFonts w:ascii="Arial" w:hAnsi="Arial" w:cs="Arial"/>
          <w:color w:val="000000"/>
          <w:sz w:val="22"/>
          <w:szCs w:val="22"/>
        </w:rPr>
        <w:t>portfolio of quality and value-based payment programs</w:t>
      </w:r>
      <w:r w:rsidR="00C43AC8">
        <w:rPr>
          <w:rFonts w:ascii="Arial" w:hAnsi="Arial" w:cs="Arial"/>
          <w:color w:val="000000"/>
          <w:sz w:val="22"/>
          <w:szCs w:val="22"/>
        </w:rPr>
        <w:t>; i</w:t>
      </w:r>
      <w:r w:rsidRPr="00E05834">
        <w:rPr>
          <w:rFonts w:ascii="Arial" w:hAnsi="Arial" w:cs="Arial"/>
          <w:color w:val="000000"/>
          <w:sz w:val="22"/>
          <w:szCs w:val="22"/>
        </w:rPr>
        <w:t>n order for</w:t>
      </w:r>
      <w:r w:rsidRPr="00E05834">
        <w:rPr>
          <w:rFonts w:ascii="Arial" w:hAnsi="Arial" w:cs="Arial"/>
          <w:sz w:val="22"/>
          <w:szCs w:val="22"/>
        </w:rPr>
        <w:t xml:space="preserve"> Maryland to maintain its exemptions from Federal</w:t>
      </w:r>
      <w:r>
        <w:rPr>
          <w:rFonts w:ascii="Arial" w:hAnsi="Arial" w:cs="Arial"/>
          <w:sz w:val="22"/>
          <w:szCs w:val="22"/>
        </w:rPr>
        <w:t xml:space="preserve"> pay-for-performance</w:t>
      </w:r>
      <w:r w:rsidRPr="00E05834">
        <w:rPr>
          <w:rFonts w:ascii="Arial" w:hAnsi="Arial" w:cs="Arial"/>
          <w:sz w:val="22"/>
          <w:szCs w:val="22"/>
        </w:rPr>
        <w:t xml:space="preserve"> quality programs</w:t>
      </w:r>
      <w:r w:rsidR="00C43AC8">
        <w:rPr>
          <w:rFonts w:ascii="Arial" w:hAnsi="Arial" w:cs="Arial"/>
          <w:sz w:val="22"/>
          <w:szCs w:val="22"/>
        </w:rPr>
        <w:t xml:space="preserve"> under the Model</w:t>
      </w:r>
      <w:r w:rsidRPr="00E05834">
        <w:rPr>
          <w:rFonts w:ascii="Arial" w:hAnsi="Arial" w:cs="Arial"/>
          <w:sz w:val="22"/>
          <w:szCs w:val="22"/>
        </w:rPr>
        <w:t xml:space="preserve">, </w:t>
      </w:r>
      <w:r w:rsidRPr="00A06A70">
        <w:rPr>
          <w:rFonts w:ascii="Arial" w:hAnsi="Arial" w:cs="Arial"/>
          <w:sz w:val="22"/>
          <w:szCs w:val="22"/>
        </w:rPr>
        <w:t>the State must ensure that there is no backsliding</w:t>
      </w:r>
      <w:r>
        <w:rPr>
          <w:rFonts w:ascii="Arial" w:hAnsi="Arial" w:cs="Arial"/>
          <w:sz w:val="22"/>
          <w:szCs w:val="22"/>
        </w:rPr>
        <w:t xml:space="preserve"> on the progress made under the All-Payer Model, and </w:t>
      </w:r>
      <w:r w:rsidRPr="00E05834">
        <w:rPr>
          <w:rFonts w:ascii="Arial" w:hAnsi="Arial" w:cs="Arial"/>
          <w:sz w:val="22"/>
          <w:szCs w:val="22"/>
        </w:rPr>
        <w:t xml:space="preserve">the </w:t>
      </w:r>
      <w:r w:rsidRPr="00A06A70">
        <w:rPr>
          <w:rFonts w:ascii="Arial" w:hAnsi="Arial" w:cs="Arial"/>
          <w:sz w:val="22"/>
          <w:szCs w:val="22"/>
        </w:rPr>
        <w:t xml:space="preserve">policies must </w:t>
      </w:r>
      <w:r>
        <w:rPr>
          <w:rFonts w:ascii="Arial" w:hAnsi="Arial" w:cs="Arial"/>
          <w:sz w:val="22"/>
          <w:szCs w:val="22"/>
        </w:rPr>
        <w:t>continue to be aggressive and progressive</w:t>
      </w:r>
      <w:r w:rsidR="00C43AC8">
        <w:rPr>
          <w:rFonts w:ascii="Arial" w:hAnsi="Arial" w:cs="Arial"/>
          <w:sz w:val="22"/>
          <w:szCs w:val="22"/>
        </w:rPr>
        <w:t>, as reflected in annual reports submitted to CMS along with our exemption request.</w:t>
      </w:r>
    </w:p>
    <w:p w:rsidR="004F60CA" w:rsidRDefault="004F60CA" w:rsidP="004F60CA">
      <w:pPr>
        <w:rPr>
          <w:rFonts w:ascii="Arial" w:hAnsi="Arial" w:cs="Arial"/>
          <w:sz w:val="22"/>
          <w:szCs w:val="22"/>
        </w:rPr>
      </w:pPr>
    </w:p>
    <w:p w:rsidR="004F60CA" w:rsidRPr="0092211F" w:rsidRDefault="004F60CA" w:rsidP="00985CED">
      <w:pPr>
        <w:pStyle w:val="Heading3"/>
        <w:spacing w:before="0"/>
      </w:pPr>
      <w:r>
        <w:t>R</w:t>
      </w:r>
      <w:r w:rsidRPr="0092211F">
        <w:t xml:space="preserve">Y </w:t>
      </w:r>
      <w:r>
        <w:t>202</w:t>
      </w:r>
      <w:r w:rsidR="00480738">
        <w:t>2</w:t>
      </w:r>
      <w:r w:rsidRPr="0092211F">
        <w:t xml:space="preserve"> Measure Changes</w:t>
      </w:r>
      <w:r>
        <w:t xml:space="preserve"> and Updates</w:t>
      </w:r>
    </w:p>
    <w:p w:rsidR="00985CED" w:rsidRDefault="00985CED" w:rsidP="00985CED">
      <w:pPr>
        <w:pStyle w:val="ListParagraph"/>
        <w:ind w:left="0"/>
        <w:rPr>
          <w:rFonts w:ascii="Arial" w:hAnsi="Arial" w:cs="Arial"/>
          <w:bCs/>
          <w:sz w:val="22"/>
          <w:szCs w:val="22"/>
        </w:rPr>
      </w:pPr>
    </w:p>
    <w:p w:rsidR="00167CD3" w:rsidRPr="00850EEF" w:rsidRDefault="004F60CA" w:rsidP="00985CED">
      <w:pPr>
        <w:pStyle w:val="ListParagraph"/>
        <w:ind w:left="0"/>
        <w:rPr>
          <w:rFonts w:ascii="Arial" w:hAnsi="Arial" w:cs="Arial"/>
          <w:bCs/>
          <w:sz w:val="22"/>
          <w:szCs w:val="22"/>
        </w:rPr>
      </w:pPr>
      <w:r w:rsidRPr="00875FC6">
        <w:rPr>
          <w:rFonts w:ascii="Arial" w:hAnsi="Arial" w:cs="Arial"/>
          <w:bCs/>
          <w:sz w:val="22"/>
          <w:szCs w:val="22"/>
        </w:rPr>
        <w:t xml:space="preserve">For the QBR program, the HSCRC generally follows the VBP programs in terms of measures and calculation of measure scores.  Below are the updates to the </w:t>
      </w:r>
      <w:r w:rsidR="00850EEF">
        <w:rPr>
          <w:rFonts w:ascii="Arial" w:hAnsi="Arial" w:cs="Arial"/>
          <w:bCs/>
          <w:sz w:val="22"/>
          <w:szCs w:val="22"/>
        </w:rPr>
        <w:t>QBR program measures for RY 2022</w:t>
      </w:r>
      <w:r w:rsidR="008C66FE">
        <w:rPr>
          <w:rFonts w:ascii="Arial" w:hAnsi="Arial" w:cs="Arial"/>
          <w:bCs/>
          <w:sz w:val="22"/>
          <w:szCs w:val="22"/>
        </w:rPr>
        <w:t>.</w:t>
      </w:r>
    </w:p>
    <w:p w:rsidR="00167CD3" w:rsidRPr="00875FC6" w:rsidRDefault="00167CD3" w:rsidP="00167CD3">
      <w:pPr>
        <w:pStyle w:val="ListParagraph"/>
        <w:numPr>
          <w:ilvl w:val="1"/>
          <w:numId w:val="8"/>
        </w:numPr>
        <w:rPr>
          <w:rFonts w:ascii="Arial" w:hAnsi="Arial" w:cs="Arial"/>
          <w:sz w:val="22"/>
          <w:szCs w:val="22"/>
        </w:rPr>
      </w:pPr>
      <w:r w:rsidRPr="00875FC6">
        <w:rPr>
          <w:rFonts w:ascii="Arial" w:hAnsi="Arial" w:cs="Arial"/>
          <w:sz w:val="22"/>
          <w:szCs w:val="22"/>
        </w:rPr>
        <w:t xml:space="preserve">Remove the ED-2b measure commensurate with its removal from the CMS Inpatient Quality Reporting (IQR) program. </w:t>
      </w:r>
    </w:p>
    <w:p w:rsidR="00167CD3" w:rsidRPr="00875FC6" w:rsidRDefault="00167CD3" w:rsidP="00167CD3">
      <w:pPr>
        <w:pStyle w:val="ListParagraph"/>
        <w:ind w:left="1440"/>
        <w:rPr>
          <w:rFonts w:ascii="Arial" w:hAnsi="Arial" w:cs="Arial"/>
          <w:sz w:val="22"/>
          <w:szCs w:val="22"/>
        </w:rPr>
      </w:pPr>
    </w:p>
    <w:p w:rsidR="00DC2EC9" w:rsidRPr="00850EEF" w:rsidRDefault="00167CD3" w:rsidP="00850EEF">
      <w:pPr>
        <w:pStyle w:val="ListParagraph"/>
        <w:numPr>
          <w:ilvl w:val="1"/>
          <w:numId w:val="8"/>
        </w:numPr>
        <w:rPr>
          <w:rFonts w:ascii="Arial" w:hAnsi="Arial" w:cs="Arial"/>
          <w:sz w:val="22"/>
          <w:szCs w:val="22"/>
        </w:rPr>
      </w:pPr>
      <w:r w:rsidRPr="00875FC6">
        <w:rPr>
          <w:rFonts w:ascii="Arial" w:hAnsi="Arial" w:cs="Arial"/>
          <w:sz w:val="22"/>
          <w:szCs w:val="22"/>
        </w:rPr>
        <w:t>Through the work of the QBR Redesign Sub Group</w:t>
      </w:r>
      <w:r w:rsidR="00491C25">
        <w:rPr>
          <w:rFonts w:ascii="Arial" w:hAnsi="Arial" w:cs="Arial"/>
          <w:sz w:val="22"/>
          <w:szCs w:val="22"/>
        </w:rPr>
        <w:t xml:space="preserve"> HSCRC will convene </w:t>
      </w:r>
      <w:bookmarkStart w:id="0" w:name="_GoBack"/>
      <w:bookmarkEnd w:id="0"/>
      <w:r w:rsidR="00491C25">
        <w:rPr>
          <w:rFonts w:ascii="Arial" w:hAnsi="Arial" w:cs="Arial"/>
          <w:sz w:val="22"/>
          <w:szCs w:val="22"/>
        </w:rPr>
        <w:t>during CY 2020</w:t>
      </w:r>
      <w:r w:rsidRPr="00875FC6">
        <w:rPr>
          <w:rFonts w:ascii="Arial" w:hAnsi="Arial" w:cs="Arial"/>
          <w:sz w:val="22"/>
          <w:szCs w:val="22"/>
        </w:rPr>
        <w:t xml:space="preserve">, consider options for readopting ED Wait Time measures into the program for the RY 2023 policy and beyond. </w:t>
      </w:r>
    </w:p>
    <w:p w:rsidR="00DC2EC9" w:rsidRPr="00DC2EC9" w:rsidRDefault="00DC2EC9" w:rsidP="00DC2EC9">
      <w:pPr>
        <w:pStyle w:val="ListParagraph"/>
        <w:rPr>
          <w:rFonts w:ascii="Arial" w:hAnsi="Arial" w:cs="Arial"/>
          <w:bCs/>
          <w:sz w:val="22"/>
          <w:szCs w:val="22"/>
        </w:rPr>
      </w:pPr>
    </w:p>
    <w:p w:rsidR="004F60CA" w:rsidRDefault="004F60CA" w:rsidP="004F60CA">
      <w:pPr>
        <w:pStyle w:val="Heading2"/>
      </w:pPr>
      <w:r>
        <w:t>Domain Weights</w:t>
      </w:r>
    </w:p>
    <w:p w:rsidR="00985CED" w:rsidRDefault="00985CED" w:rsidP="004F60CA">
      <w:pPr>
        <w:tabs>
          <w:tab w:val="left" w:pos="0"/>
        </w:tabs>
        <w:spacing w:line="274" w:lineRule="exact"/>
        <w:ind w:right="326"/>
        <w:rPr>
          <w:rFonts w:ascii="Arial" w:hAnsi="Arial" w:cs="Arial"/>
          <w:sz w:val="22"/>
          <w:szCs w:val="22"/>
        </w:rPr>
      </w:pPr>
    </w:p>
    <w:p w:rsidR="004F60CA" w:rsidRDefault="004F60CA" w:rsidP="004F60CA">
      <w:pPr>
        <w:tabs>
          <w:tab w:val="left" w:pos="0"/>
        </w:tabs>
        <w:spacing w:line="274" w:lineRule="exact"/>
        <w:ind w:right="326"/>
        <w:rPr>
          <w:rFonts w:ascii="Arial" w:hAnsi="Arial" w:cs="Arial"/>
          <w:bCs/>
          <w:spacing w:val="-9"/>
          <w:sz w:val="22"/>
          <w:szCs w:val="22"/>
        </w:rPr>
      </w:pPr>
      <w:r w:rsidRPr="00755880">
        <w:rPr>
          <w:rFonts w:ascii="Arial" w:hAnsi="Arial" w:cs="Arial"/>
          <w:sz w:val="22"/>
          <w:szCs w:val="22"/>
        </w:rPr>
        <w:t xml:space="preserve">The Final Measure </w:t>
      </w:r>
      <w:r w:rsidRPr="00755880">
        <w:rPr>
          <w:rFonts w:ascii="Arial" w:hAnsi="Arial" w:cs="Arial"/>
          <w:bCs/>
          <w:sz w:val="22"/>
          <w:szCs w:val="22"/>
        </w:rPr>
        <w:t xml:space="preserve">Domain Weights for the </w:t>
      </w:r>
      <w:r w:rsidRPr="00755880">
        <w:rPr>
          <w:rFonts w:ascii="Arial" w:hAnsi="Arial" w:cs="Arial"/>
          <w:bCs/>
          <w:spacing w:val="-9"/>
          <w:sz w:val="22"/>
          <w:szCs w:val="22"/>
        </w:rPr>
        <w:t xml:space="preserve">QBR program compared with the </w:t>
      </w:r>
      <w:r w:rsidRPr="00755880">
        <w:rPr>
          <w:rFonts w:ascii="Arial" w:hAnsi="Arial" w:cs="Arial"/>
          <w:bCs/>
          <w:sz w:val="22"/>
          <w:szCs w:val="22"/>
        </w:rPr>
        <w:t>VBP Program</w:t>
      </w:r>
      <w:r w:rsidR="00DC2EC9">
        <w:rPr>
          <w:rFonts w:ascii="Arial" w:hAnsi="Arial" w:cs="Arial"/>
          <w:bCs/>
          <w:spacing w:val="-9"/>
          <w:sz w:val="22"/>
          <w:szCs w:val="22"/>
        </w:rPr>
        <w:t xml:space="preserve"> for RY 2022</w:t>
      </w:r>
      <w:r w:rsidRPr="00755880">
        <w:rPr>
          <w:rFonts w:ascii="Arial" w:hAnsi="Arial" w:cs="Arial"/>
          <w:bCs/>
          <w:spacing w:val="-9"/>
          <w:sz w:val="22"/>
          <w:szCs w:val="22"/>
        </w:rPr>
        <w:t xml:space="preserve"> are listed below</w:t>
      </w:r>
      <w:r>
        <w:rPr>
          <w:rFonts w:ascii="Arial" w:hAnsi="Arial" w:cs="Arial"/>
          <w:bCs/>
          <w:spacing w:val="-9"/>
          <w:sz w:val="22"/>
          <w:szCs w:val="22"/>
        </w:rPr>
        <w:t xml:space="preserve"> in Figure 1</w:t>
      </w:r>
      <w:r w:rsidRPr="00755880">
        <w:rPr>
          <w:rFonts w:ascii="Arial" w:hAnsi="Arial" w:cs="Arial"/>
          <w:bCs/>
          <w:spacing w:val="-9"/>
          <w:sz w:val="22"/>
          <w:szCs w:val="22"/>
        </w:rPr>
        <w:t>.</w:t>
      </w:r>
    </w:p>
    <w:p w:rsidR="004F60CA" w:rsidRDefault="004F60CA" w:rsidP="004F60CA">
      <w:pPr>
        <w:tabs>
          <w:tab w:val="left" w:pos="0"/>
        </w:tabs>
        <w:spacing w:line="274" w:lineRule="exact"/>
        <w:ind w:right="326"/>
        <w:rPr>
          <w:rFonts w:ascii="Arial" w:hAnsi="Arial" w:cs="Arial"/>
          <w:b/>
          <w:sz w:val="22"/>
          <w:szCs w:val="22"/>
        </w:rPr>
      </w:pPr>
    </w:p>
    <w:p w:rsidR="004F60CA" w:rsidRPr="007B6CF6" w:rsidRDefault="004F60CA" w:rsidP="004F60CA">
      <w:pPr>
        <w:tabs>
          <w:tab w:val="left" w:pos="0"/>
        </w:tabs>
        <w:spacing w:line="274" w:lineRule="exact"/>
        <w:ind w:right="326"/>
        <w:rPr>
          <w:rFonts w:ascii="Arial" w:hAnsi="Arial" w:cs="Arial"/>
          <w:b/>
          <w:sz w:val="22"/>
          <w:szCs w:val="22"/>
        </w:rPr>
      </w:pPr>
      <w:r w:rsidRPr="007B6CF6">
        <w:rPr>
          <w:rFonts w:ascii="Arial" w:hAnsi="Arial" w:cs="Arial"/>
          <w:b/>
          <w:sz w:val="22"/>
          <w:szCs w:val="22"/>
        </w:rPr>
        <w:t xml:space="preserve">Figure </w:t>
      </w:r>
      <w:r>
        <w:rPr>
          <w:rFonts w:ascii="Arial" w:hAnsi="Arial" w:cs="Arial"/>
          <w:b/>
          <w:sz w:val="22"/>
          <w:szCs w:val="22"/>
        </w:rPr>
        <w:t>1</w:t>
      </w:r>
      <w:r w:rsidRPr="007B6CF6">
        <w:rPr>
          <w:rFonts w:ascii="Arial" w:hAnsi="Arial" w:cs="Arial"/>
          <w:b/>
          <w:sz w:val="22"/>
          <w:szCs w:val="22"/>
        </w:rPr>
        <w:t>. QBR Measure Domain Weights Compared with the VBP Program</w:t>
      </w:r>
    </w:p>
    <w:tbl>
      <w:tblPr>
        <w:tblW w:w="9980" w:type="dxa"/>
        <w:tblInd w:w="118" w:type="dxa"/>
        <w:tblLook w:val="04A0" w:firstRow="1" w:lastRow="0" w:firstColumn="1" w:lastColumn="0" w:noHBand="0" w:noVBand="1"/>
      </w:tblPr>
      <w:tblGrid>
        <w:gridCol w:w="890"/>
        <w:gridCol w:w="2610"/>
        <w:gridCol w:w="2520"/>
        <w:gridCol w:w="2160"/>
        <w:gridCol w:w="1800"/>
      </w:tblGrid>
      <w:tr w:rsidR="004F60CA" w:rsidRPr="0021625D" w:rsidTr="00635971">
        <w:trPr>
          <w:trHeight w:val="315"/>
          <w:tblHeader/>
        </w:trPr>
        <w:tc>
          <w:tcPr>
            <w:tcW w:w="8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F60CA" w:rsidRPr="0021625D" w:rsidRDefault="004F60CA" w:rsidP="00635971">
            <w:pPr>
              <w:widowControl/>
              <w:autoSpaceDE/>
              <w:autoSpaceDN/>
              <w:adjustRightInd/>
              <w:jc w:val="center"/>
              <w:rPr>
                <w:rFonts w:ascii="Arial Narrow" w:hAnsi="Arial Narrow"/>
                <w:color w:val="000000"/>
                <w:sz w:val="20"/>
                <w:szCs w:val="20"/>
              </w:rPr>
            </w:pPr>
            <w:r w:rsidRPr="0021625D">
              <w:rPr>
                <w:rFonts w:ascii="Arial Narrow" w:hAnsi="Arial Narrow"/>
                <w:color w:val="000000"/>
                <w:sz w:val="20"/>
                <w:szCs w:val="20"/>
              </w:rPr>
              <w:t> </w:t>
            </w:r>
          </w:p>
        </w:tc>
        <w:tc>
          <w:tcPr>
            <w:tcW w:w="261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F60CA" w:rsidRPr="0021625D" w:rsidRDefault="004F60CA" w:rsidP="00635971">
            <w:pPr>
              <w:widowControl/>
              <w:autoSpaceDE/>
              <w:autoSpaceDN/>
              <w:adjustRightInd/>
              <w:jc w:val="center"/>
              <w:rPr>
                <w:rFonts w:ascii="Arial Narrow" w:hAnsi="Arial Narrow"/>
                <w:b/>
                <w:bCs/>
                <w:color w:val="000000"/>
                <w:sz w:val="20"/>
                <w:szCs w:val="20"/>
              </w:rPr>
            </w:pPr>
            <w:r w:rsidRPr="0021625D">
              <w:rPr>
                <w:rFonts w:ascii="Arial Narrow" w:hAnsi="Arial Narrow"/>
                <w:b/>
                <w:bCs/>
                <w:color w:val="000000"/>
                <w:sz w:val="20"/>
                <w:szCs w:val="20"/>
              </w:rPr>
              <w:t>Clinical Care</w:t>
            </w:r>
          </w:p>
        </w:tc>
        <w:tc>
          <w:tcPr>
            <w:tcW w:w="25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F60CA" w:rsidRPr="0021625D" w:rsidRDefault="004F60CA" w:rsidP="00635971">
            <w:pPr>
              <w:widowControl/>
              <w:autoSpaceDE/>
              <w:autoSpaceDN/>
              <w:adjustRightInd/>
              <w:jc w:val="center"/>
              <w:rPr>
                <w:rFonts w:ascii="Arial" w:hAnsi="Arial" w:cs="Arial"/>
                <w:b/>
                <w:bCs/>
                <w:color w:val="000000"/>
                <w:sz w:val="20"/>
                <w:szCs w:val="20"/>
              </w:rPr>
            </w:pPr>
            <w:r>
              <w:rPr>
                <w:rFonts w:ascii="Arial" w:hAnsi="Arial" w:cs="Arial"/>
                <w:b/>
                <w:bCs/>
                <w:color w:val="000000"/>
                <w:sz w:val="20"/>
                <w:szCs w:val="20"/>
              </w:rPr>
              <w:t>Person and Community Engagement</w:t>
            </w:r>
          </w:p>
        </w:tc>
        <w:tc>
          <w:tcPr>
            <w:tcW w:w="2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F60CA" w:rsidRPr="0021625D" w:rsidRDefault="004F60CA" w:rsidP="00635971">
            <w:pPr>
              <w:widowControl/>
              <w:autoSpaceDE/>
              <w:autoSpaceDN/>
              <w:adjustRightInd/>
              <w:jc w:val="center"/>
              <w:rPr>
                <w:rFonts w:ascii="Arial Narrow" w:hAnsi="Arial Narrow"/>
                <w:b/>
                <w:bCs/>
                <w:color w:val="000000"/>
                <w:sz w:val="20"/>
                <w:szCs w:val="20"/>
              </w:rPr>
            </w:pPr>
            <w:r w:rsidRPr="0021625D">
              <w:rPr>
                <w:rFonts w:ascii="Arial Narrow" w:hAnsi="Arial Narrow"/>
                <w:b/>
                <w:bCs/>
                <w:color w:val="000000"/>
                <w:sz w:val="20"/>
                <w:szCs w:val="20"/>
              </w:rPr>
              <w:t>Safety</w:t>
            </w:r>
          </w:p>
        </w:tc>
        <w:tc>
          <w:tcPr>
            <w:tcW w:w="18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F60CA" w:rsidRPr="0021625D" w:rsidRDefault="004F60CA" w:rsidP="00635971">
            <w:pPr>
              <w:widowControl/>
              <w:autoSpaceDE/>
              <w:autoSpaceDN/>
              <w:adjustRightInd/>
              <w:jc w:val="center"/>
              <w:rPr>
                <w:rFonts w:ascii="Arial Narrow" w:hAnsi="Arial Narrow"/>
                <w:b/>
                <w:bCs/>
                <w:color w:val="000000"/>
                <w:sz w:val="20"/>
                <w:szCs w:val="20"/>
              </w:rPr>
            </w:pPr>
            <w:r w:rsidRPr="0021625D">
              <w:rPr>
                <w:rFonts w:ascii="Arial Narrow" w:hAnsi="Arial Narrow"/>
                <w:b/>
                <w:bCs/>
                <w:color w:val="000000"/>
                <w:sz w:val="20"/>
                <w:szCs w:val="20"/>
              </w:rPr>
              <w:t>Efficiency</w:t>
            </w:r>
          </w:p>
        </w:tc>
      </w:tr>
      <w:tr w:rsidR="004F60CA" w:rsidRPr="0021625D" w:rsidTr="00635971">
        <w:trPr>
          <w:trHeight w:val="276"/>
          <w:tblHeader/>
        </w:trPr>
        <w:tc>
          <w:tcPr>
            <w:tcW w:w="890" w:type="dxa"/>
            <w:vMerge/>
            <w:tcBorders>
              <w:top w:val="single" w:sz="8" w:space="0" w:color="auto"/>
              <w:left w:val="single" w:sz="8" w:space="0" w:color="auto"/>
              <w:bottom w:val="single" w:sz="8" w:space="0" w:color="000000"/>
              <w:right w:val="single" w:sz="8" w:space="0" w:color="auto"/>
            </w:tcBorders>
            <w:vAlign w:val="center"/>
            <w:hideMark/>
          </w:tcPr>
          <w:p w:rsidR="004F60CA" w:rsidRPr="0021625D" w:rsidRDefault="004F60CA" w:rsidP="00635971">
            <w:pPr>
              <w:widowControl/>
              <w:autoSpaceDE/>
              <w:autoSpaceDN/>
              <w:adjustRightInd/>
              <w:rPr>
                <w:rFonts w:ascii="Arial Narrow" w:hAnsi="Arial Narrow"/>
                <w:color w:val="000000"/>
                <w:sz w:val="20"/>
                <w:szCs w:val="20"/>
              </w:rPr>
            </w:pPr>
          </w:p>
        </w:tc>
        <w:tc>
          <w:tcPr>
            <w:tcW w:w="2610" w:type="dxa"/>
            <w:vMerge/>
            <w:tcBorders>
              <w:top w:val="single" w:sz="8" w:space="0" w:color="auto"/>
              <w:left w:val="single" w:sz="8" w:space="0" w:color="auto"/>
              <w:bottom w:val="single" w:sz="8" w:space="0" w:color="000000"/>
              <w:right w:val="single" w:sz="8" w:space="0" w:color="auto"/>
            </w:tcBorders>
            <w:vAlign w:val="center"/>
            <w:hideMark/>
          </w:tcPr>
          <w:p w:rsidR="004F60CA" w:rsidRPr="0021625D" w:rsidRDefault="004F60CA" w:rsidP="00635971">
            <w:pPr>
              <w:widowControl/>
              <w:autoSpaceDE/>
              <w:autoSpaceDN/>
              <w:adjustRightInd/>
              <w:rPr>
                <w:rFonts w:ascii="Arial Narrow" w:hAnsi="Arial Narrow"/>
                <w:b/>
                <w:bCs/>
                <w:color w:val="000000"/>
                <w:sz w:val="20"/>
                <w:szCs w:val="20"/>
              </w:rPr>
            </w:pPr>
          </w:p>
        </w:tc>
        <w:tc>
          <w:tcPr>
            <w:tcW w:w="2520" w:type="dxa"/>
            <w:vMerge/>
            <w:tcBorders>
              <w:top w:val="single" w:sz="8" w:space="0" w:color="auto"/>
              <w:left w:val="single" w:sz="8" w:space="0" w:color="auto"/>
              <w:bottom w:val="single" w:sz="8" w:space="0" w:color="000000"/>
              <w:right w:val="single" w:sz="8" w:space="0" w:color="auto"/>
            </w:tcBorders>
            <w:vAlign w:val="center"/>
            <w:hideMark/>
          </w:tcPr>
          <w:p w:rsidR="004F60CA" w:rsidRPr="0021625D" w:rsidRDefault="004F60CA" w:rsidP="00635971">
            <w:pPr>
              <w:widowControl/>
              <w:autoSpaceDE/>
              <w:autoSpaceDN/>
              <w:adjustRightInd/>
              <w:rPr>
                <w:rFonts w:ascii="Arial" w:hAnsi="Arial" w:cs="Arial"/>
                <w:b/>
                <w:bCs/>
                <w:color w:val="000000"/>
                <w:sz w:val="20"/>
                <w:szCs w:val="20"/>
              </w:rPr>
            </w:pPr>
          </w:p>
        </w:tc>
        <w:tc>
          <w:tcPr>
            <w:tcW w:w="2160" w:type="dxa"/>
            <w:vMerge/>
            <w:tcBorders>
              <w:top w:val="single" w:sz="8" w:space="0" w:color="auto"/>
              <w:left w:val="single" w:sz="8" w:space="0" w:color="auto"/>
              <w:bottom w:val="single" w:sz="8" w:space="0" w:color="000000"/>
              <w:right w:val="single" w:sz="8" w:space="0" w:color="auto"/>
            </w:tcBorders>
            <w:vAlign w:val="center"/>
            <w:hideMark/>
          </w:tcPr>
          <w:p w:rsidR="004F60CA" w:rsidRPr="0021625D" w:rsidRDefault="004F60CA" w:rsidP="00635971">
            <w:pPr>
              <w:widowControl/>
              <w:autoSpaceDE/>
              <w:autoSpaceDN/>
              <w:adjustRightInd/>
              <w:rPr>
                <w:rFonts w:ascii="Arial Narrow" w:hAnsi="Arial Narrow"/>
                <w:b/>
                <w:bCs/>
                <w:color w:val="000000"/>
                <w:sz w:val="20"/>
                <w:szCs w:val="20"/>
              </w:rPr>
            </w:pPr>
          </w:p>
        </w:tc>
        <w:tc>
          <w:tcPr>
            <w:tcW w:w="1800" w:type="dxa"/>
            <w:vMerge/>
            <w:tcBorders>
              <w:top w:val="single" w:sz="8" w:space="0" w:color="auto"/>
              <w:left w:val="single" w:sz="8" w:space="0" w:color="auto"/>
              <w:bottom w:val="single" w:sz="8" w:space="0" w:color="000000"/>
              <w:right w:val="single" w:sz="8" w:space="0" w:color="auto"/>
            </w:tcBorders>
            <w:vAlign w:val="center"/>
            <w:hideMark/>
          </w:tcPr>
          <w:p w:rsidR="004F60CA" w:rsidRPr="0021625D" w:rsidRDefault="004F60CA" w:rsidP="00635971">
            <w:pPr>
              <w:widowControl/>
              <w:autoSpaceDE/>
              <w:autoSpaceDN/>
              <w:adjustRightInd/>
              <w:rPr>
                <w:rFonts w:ascii="Arial Narrow" w:hAnsi="Arial Narrow"/>
                <w:b/>
                <w:bCs/>
                <w:color w:val="000000"/>
                <w:sz w:val="20"/>
                <w:szCs w:val="20"/>
              </w:rPr>
            </w:pPr>
          </w:p>
        </w:tc>
      </w:tr>
      <w:tr w:rsidR="004F60CA" w:rsidRPr="0021625D" w:rsidTr="00100CF9">
        <w:trPr>
          <w:trHeight w:val="862"/>
        </w:trPr>
        <w:tc>
          <w:tcPr>
            <w:tcW w:w="890" w:type="dxa"/>
            <w:tcBorders>
              <w:top w:val="nil"/>
              <w:left w:val="single" w:sz="8" w:space="0" w:color="auto"/>
              <w:bottom w:val="single" w:sz="8" w:space="0" w:color="auto"/>
              <w:right w:val="single" w:sz="8" w:space="0" w:color="auto"/>
            </w:tcBorders>
            <w:shd w:val="clear" w:color="D9D9D9" w:fill="FFFFFF"/>
            <w:vAlign w:val="center"/>
            <w:hideMark/>
          </w:tcPr>
          <w:p w:rsidR="004F60CA" w:rsidRPr="0021625D" w:rsidRDefault="004F60CA" w:rsidP="00635971">
            <w:pPr>
              <w:widowControl/>
              <w:autoSpaceDE/>
              <w:autoSpaceDN/>
              <w:adjustRightInd/>
              <w:rPr>
                <w:rFonts w:ascii="Arial Narrow" w:hAnsi="Arial Narrow"/>
                <w:b/>
                <w:bCs/>
                <w:color w:val="000000"/>
                <w:sz w:val="20"/>
                <w:szCs w:val="20"/>
              </w:rPr>
            </w:pPr>
            <w:r w:rsidRPr="0021625D">
              <w:rPr>
                <w:rFonts w:ascii="Arial Narrow" w:hAnsi="Arial Narrow"/>
                <w:b/>
                <w:bCs/>
                <w:color w:val="000000"/>
                <w:sz w:val="20"/>
                <w:szCs w:val="20"/>
              </w:rPr>
              <w:t>QBR</w:t>
            </w:r>
          </w:p>
        </w:tc>
        <w:tc>
          <w:tcPr>
            <w:tcW w:w="2610" w:type="dxa"/>
            <w:tcBorders>
              <w:top w:val="nil"/>
              <w:left w:val="nil"/>
              <w:bottom w:val="single" w:sz="8" w:space="0" w:color="auto"/>
              <w:right w:val="single" w:sz="8" w:space="0" w:color="auto"/>
            </w:tcBorders>
            <w:shd w:val="clear" w:color="D9D9D9" w:fill="FFFFFF"/>
            <w:vAlign w:val="center"/>
            <w:hideMark/>
          </w:tcPr>
          <w:p w:rsidR="004F60CA" w:rsidRPr="0021625D" w:rsidRDefault="004F60CA" w:rsidP="00635971">
            <w:pPr>
              <w:widowControl/>
              <w:autoSpaceDE/>
              <w:autoSpaceDN/>
              <w:adjustRightInd/>
              <w:jc w:val="center"/>
              <w:rPr>
                <w:rFonts w:ascii="Arial Narrow" w:hAnsi="Arial Narrow"/>
                <w:color w:val="000000"/>
                <w:sz w:val="20"/>
                <w:szCs w:val="20"/>
              </w:rPr>
            </w:pPr>
            <w:r>
              <w:rPr>
                <w:rFonts w:ascii="Arial Narrow" w:hAnsi="Arial Narrow"/>
                <w:color w:val="000000"/>
                <w:sz w:val="20"/>
                <w:szCs w:val="20"/>
              </w:rPr>
              <w:t>15% (2</w:t>
            </w:r>
            <w:r w:rsidRPr="0021625D">
              <w:rPr>
                <w:rFonts w:ascii="Arial Narrow" w:hAnsi="Arial Narrow"/>
                <w:color w:val="000000"/>
                <w:sz w:val="20"/>
                <w:szCs w:val="20"/>
              </w:rPr>
              <w:t xml:space="preserve"> measure</w:t>
            </w:r>
            <w:r>
              <w:rPr>
                <w:rFonts w:ascii="Arial Narrow" w:hAnsi="Arial Narrow"/>
                <w:color w:val="000000"/>
                <w:sz w:val="20"/>
                <w:szCs w:val="20"/>
              </w:rPr>
              <w:t>s</w:t>
            </w:r>
            <w:r w:rsidRPr="0021625D">
              <w:rPr>
                <w:rFonts w:ascii="Arial Narrow" w:hAnsi="Arial Narrow"/>
                <w:color w:val="000000"/>
                <w:sz w:val="20"/>
                <w:szCs w:val="20"/>
              </w:rPr>
              <w:t xml:space="preserve">- </w:t>
            </w:r>
            <w:r w:rsidR="00635971">
              <w:rPr>
                <w:rFonts w:ascii="Arial Narrow" w:hAnsi="Arial Narrow"/>
                <w:color w:val="000000"/>
                <w:sz w:val="20"/>
                <w:szCs w:val="20"/>
              </w:rPr>
              <w:t>inpatient all-</w:t>
            </w:r>
            <w:r>
              <w:rPr>
                <w:rFonts w:ascii="Arial Narrow" w:hAnsi="Arial Narrow"/>
                <w:color w:val="000000"/>
                <w:sz w:val="20"/>
                <w:szCs w:val="20"/>
              </w:rPr>
              <w:t xml:space="preserve">cause </w:t>
            </w:r>
            <w:r w:rsidRPr="0021625D">
              <w:rPr>
                <w:rFonts w:ascii="Arial Narrow" w:hAnsi="Arial Narrow"/>
                <w:color w:val="000000"/>
                <w:sz w:val="20"/>
                <w:szCs w:val="20"/>
              </w:rPr>
              <w:t>mortality</w:t>
            </w:r>
            <w:r w:rsidR="00850EEF">
              <w:rPr>
                <w:rFonts w:ascii="Arial Narrow" w:hAnsi="Arial Narrow"/>
                <w:color w:val="000000"/>
                <w:sz w:val="20"/>
                <w:szCs w:val="20"/>
              </w:rPr>
              <w:t xml:space="preserve"> measure</w:t>
            </w:r>
            <w:r>
              <w:rPr>
                <w:rFonts w:ascii="Arial Narrow" w:hAnsi="Arial Narrow"/>
                <w:color w:val="000000"/>
                <w:sz w:val="20"/>
                <w:szCs w:val="20"/>
              </w:rPr>
              <w:t xml:space="preserve"> +1 THA/TKA complication measure</w:t>
            </w:r>
            <w:r w:rsidRPr="0021625D">
              <w:rPr>
                <w:rFonts w:ascii="Arial Narrow" w:hAnsi="Arial Narrow"/>
                <w:color w:val="000000"/>
                <w:sz w:val="20"/>
                <w:szCs w:val="20"/>
              </w:rPr>
              <w:t>)</w:t>
            </w:r>
          </w:p>
        </w:tc>
        <w:tc>
          <w:tcPr>
            <w:tcW w:w="2520" w:type="dxa"/>
            <w:tcBorders>
              <w:top w:val="nil"/>
              <w:left w:val="nil"/>
              <w:bottom w:val="single" w:sz="8" w:space="0" w:color="auto"/>
              <w:right w:val="single" w:sz="8" w:space="0" w:color="auto"/>
            </w:tcBorders>
            <w:shd w:val="clear" w:color="D9D9D9" w:fill="FFFFFF"/>
            <w:vAlign w:val="center"/>
            <w:hideMark/>
          </w:tcPr>
          <w:p w:rsidR="004F60CA" w:rsidRPr="0021625D" w:rsidRDefault="004F60CA" w:rsidP="001A5E83">
            <w:pPr>
              <w:widowControl/>
              <w:autoSpaceDE/>
              <w:autoSpaceDN/>
              <w:adjustRightInd/>
              <w:jc w:val="center"/>
              <w:rPr>
                <w:rFonts w:ascii="Arial Narrow" w:hAnsi="Arial Narrow"/>
                <w:color w:val="000000"/>
                <w:sz w:val="20"/>
                <w:szCs w:val="20"/>
              </w:rPr>
            </w:pPr>
            <w:r w:rsidRPr="0021625D">
              <w:rPr>
                <w:rFonts w:ascii="Arial Narrow" w:hAnsi="Arial Narrow"/>
                <w:color w:val="000000"/>
                <w:sz w:val="20"/>
                <w:szCs w:val="20"/>
              </w:rPr>
              <w:t>50% (</w:t>
            </w:r>
            <w:r w:rsidR="001A5E83">
              <w:rPr>
                <w:rFonts w:ascii="Arial Narrow" w:hAnsi="Arial Narrow"/>
                <w:color w:val="000000"/>
                <w:sz w:val="20"/>
                <w:szCs w:val="20"/>
              </w:rPr>
              <w:t>8</w:t>
            </w:r>
            <w:r w:rsidRPr="0021625D">
              <w:rPr>
                <w:rFonts w:ascii="Arial Narrow" w:hAnsi="Arial Narrow"/>
                <w:color w:val="000000"/>
                <w:sz w:val="20"/>
                <w:szCs w:val="20"/>
              </w:rPr>
              <w:t xml:space="preserve"> measures- HCAHPS)</w:t>
            </w:r>
          </w:p>
        </w:tc>
        <w:tc>
          <w:tcPr>
            <w:tcW w:w="2160" w:type="dxa"/>
            <w:tcBorders>
              <w:top w:val="nil"/>
              <w:left w:val="nil"/>
              <w:bottom w:val="single" w:sz="8" w:space="0" w:color="auto"/>
              <w:right w:val="single" w:sz="8" w:space="0" w:color="auto"/>
            </w:tcBorders>
            <w:shd w:val="clear" w:color="D9D9D9" w:fill="FFFFFF"/>
            <w:vAlign w:val="center"/>
            <w:hideMark/>
          </w:tcPr>
          <w:p w:rsidR="004F60CA" w:rsidRPr="00897F3D" w:rsidRDefault="004F60CA" w:rsidP="00635971">
            <w:pPr>
              <w:widowControl/>
              <w:autoSpaceDE/>
              <w:autoSpaceDN/>
              <w:adjustRightInd/>
              <w:jc w:val="center"/>
              <w:rPr>
                <w:rFonts w:ascii="Arial Narrow" w:hAnsi="Arial Narrow"/>
                <w:color w:val="000000"/>
                <w:sz w:val="20"/>
                <w:szCs w:val="20"/>
              </w:rPr>
            </w:pPr>
            <w:r w:rsidRPr="00897F3D">
              <w:rPr>
                <w:rFonts w:ascii="Arial Narrow" w:hAnsi="Arial Narrow"/>
                <w:color w:val="000000"/>
                <w:sz w:val="20"/>
                <w:szCs w:val="20"/>
              </w:rPr>
              <w:t xml:space="preserve">35% </w:t>
            </w:r>
            <w:r>
              <w:rPr>
                <w:rFonts w:ascii="Arial Narrow" w:hAnsi="Arial Narrow"/>
                <w:color w:val="000000"/>
                <w:sz w:val="20"/>
                <w:szCs w:val="20"/>
              </w:rPr>
              <w:t>(6 measures- CDC NHSN HAIs</w:t>
            </w:r>
            <w:r w:rsidRPr="00897F3D">
              <w:rPr>
                <w:rFonts w:ascii="Arial Narrow" w:hAnsi="Arial Narrow"/>
                <w:color w:val="000000"/>
                <w:sz w:val="20"/>
                <w:szCs w:val="20"/>
              </w:rPr>
              <w:t>)</w:t>
            </w:r>
          </w:p>
        </w:tc>
        <w:tc>
          <w:tcPr>
            <w:tcW w:w="1800" w:type="dxa"/>
            <w:tcBorders>
              <w:top w:val="nil"/>
              <w:left w:val="nil"/>
              <w:bottom w:val="single" w:sz="8" w:space="0" w:color="auto"/>
              <w:right w:val="single" w:sz="8" w:space="0" w:color="auto"/>
            </w:tcBorders>
            <w:shd w:val="clear" w:color="D9D9D9" w:fill="FFFFFF"/>
            <w:vAlign w:val="center"/>
            <w:hideMark/>
          </w:tcPr>
          <w:p w:rsidR="004F60CA" w:rsidRPr="0021625D" w:rsidRDefault="004F60CA" w:rsidP="00635971">
            <w:pPr>
              <w:widowControl/>
              <w:autoSpaceDE/>
              <w:autoSpaceDN/>
              <w:adjustRightInd/>
              <w:jc w:val="center"/>
              <w:rPr>
                <w:rFonts w:ascii="Arial Narrow" w:hAnsi="Arial Narrow"/>
                <w:color w:val="000000"/>
                <w:sz w:val="20"/>
                <w:szCs w:val="20"/>
              </w:rPr>
            </w:pPr>
            <w:r w:rsidRPr="0021625D">
              <w:rPr>
                <w:rFonts w:ascii="Arial Narrow" w:hAnsi="Arial Narrow"/>
                <w:color w:val="000000"/>
                <w:sz w:val="20"/>
                <w:szCs w:val="20"/>
              </w:rPr>
              <w:t>N/A</w:t>
            </w:r>
            <w:r w:rsidRPr="0021625D">
              <w:rPr>
                <w:rFonts w:ascii="Arial Narrow" w:hAnsi="Arial Narrow"/>
                <w:color w:val="000000"/>
                <w:sz w:val="20"/>
                <w:szCs w:val="20"/>
              </w:rPr>
              <w:br/>
            </w:r>
          </w:p>
        </w:tc>
      </w:tr>
      <w:tr w:rsidR="004F60CA" w:rsidRPr="0021625D" w:rsidTr="00635971">
        <w:trPr>
          <w:trHeight w:val="525"/>
        </w:trPr>
        <w:tc>
          <w:tcPr>
            <w:tcW w:w="890" w:type="dxa"/>
            <w:tcBorders>
              <w:top w:val="nil"/>
              <w:left w:val="single" w:sz="8" w:space="0" w:color="auto"/>
              <w:bottom w:val="single" w:sz="8" w:space="0" w:color="auto"/>
              <w:right w:val="single" w:sz="8" w:space="0" w:color="auto"/>
            </w:tcBorders>
            <w:shd w:val="clear" w:color="auto" w:fill="auto"/>
            <w:vAlign w:val="center"/>
            <w:hideMark/>
          </w:tcPr>
          <w:p w:rsidR="004F60CA" w:rsidRPr="008F6F32" w:rsidRDefault="004F60CA" w:rsidP="00635971">
            <w:pPr>
              <w:widowControl/>
              <w:autoSpaceDE/>
              <w:autoSpaceDN/>
              <w:adjustRightInd/>
              <w:jc w:val="center"/>
              <w:rPr>
                <w:rFonts w:ascii="Arial Narrow" w:hAnsi="Arial Narrow"/>
                <w:b/>
                <w:bCs/>
                <w:color w:val="000000"/>
                <w:sz w:val="20"/>
                <w:szCs w:val="20"/>
              </w:rPr>
            </w:pPr>
            <w:r w:rsidRPr="008F6F32">
              <w:rPr>
                <w:rFonts w:ascii="Arial Narrow" w:hAnsi="Arial Narrow"/>
                <w:b/>
                <w:bCs/>
                <w:color w:val="000000"/>
                <w:sz w:val="20"/>
                <w:szCs w:val="20"/>
              </w:rPr>
              <w:t>CMS VBP</w:t>
            </w:r>
          </w:p>
        </w:tc>
        <w:tc>
          <w:tcPr>
            <w:tcW w:w="2610" w:type="dxa"/>
            <w:tcBorders>
              <w:top w:val="nil"/>
              <w:left w:val="nil"/>
              <w:bottom w:val="single" w:sz="8" w:space="0" w:color="auto"/>
              <w:right w:val="single" w:sz="8" w:space="0" w:color="auto"/>
            </w:tcBorders>
            <w:shd w:val="clear" w:color="auto" w:fill="auto"/>
            <w:vAlign w:val="center"/>
            <w:hideMark/>
          </w:tcPr>
          <w:p w:rsidR="004F60CA" w:rsidRPr="008F6F32" w:rsidRDefault="004F60CA" w:rsidP="001A5E83">
            <w:pPr>
              <w:widowControl/>
              <w:autoSpaceDE/>
              <w:autoSpaceDN/>
              <w:adjustRightInd/>
              <w:jc w:val="center"/>
              <w:rPr>
                <w:rFonts w:ascii="Arial Narrow" w:hAnsi="Arial Narrow"/>
                <w:color w:val="000000"/>
                <w:sz w:val="20"/>
                <w:szCs w:val="20"/>
              </w:rPr>
            </w:pPr>
            <w:r w:rsidRPr="008F6F32">
              <w:rPr>
                <w:rFonts w:ascii="Arial Narrow" w:hAnsi="Arial Narrow"/>
                <w:color w:val="000000"/>
                <w:sz w:val="20"/>
                <w:szCs w:val="20"/>
              </w:rPr>
              <w:t>25% (</w:t>
            </w:r>
            <w:r w:rsidR="001A5E83">
              <w:rPr>
                <w:rFonts w:ascii="Arial Narrow" w:hAnsi="Arial Narrow"/>
                <w:color w:val="000000"/>
                <w:sz w:val="20"/>
                <w:szCs w:val="20"/>
              </w:rPr>
              <w:t>6</w:t>
            </w:r>
            <w:r w:rsidRPr="008F6F32">
              <w:rPr>
                <w:rFonts w:ascii="Arial Narrow" w:hAnsi="Arial Narrow"/>
                <w:color w:val="000000"/>
                <w:sz w:val="20"/>
                <w:szCs w:val="20"/>
              </w:rPr>
              <w:t xml:space="preserve"> measures- </w:t>
            </w:r>
            <w:r w:rsidR="001A5E83">
              <w:rPr>
                <w:rFonts w:ascii="Arial Narrow" w:hAnsi="Arial Narrow"/>
                <w:color w:val="000000"/>
                <w:sz w:val="20"/>
                <w:szCs w:val="20"/>
              </w:rPr>
              <w:t>5</w:t>
            </w:r>
            <w:r w:rsidR="001A5E83" w:rsidRPr="008F6F32">
              <w:rPr>
                <w:rFonts w:ascii="Arial Narrow" w:hAnsi="Arial Narrow"/>
                <w:color w:val="000000"/>
                <w:sz w:val="20"/>
                <w:szCs w:val="20"/>
              </w:rPr>
              <w:t xml:space="preserve"> </w:t>
            </w:r>
            <w:r w:rsidRPr="008F6F32">
              <w:rPr>
                <w:rFonts w:ascii="Arial Narrow" w:hAnsi="Arial Narrow"/>
                <w:color w:val="000000"/>
                <w:sz w:val="20"/>
                <w:szCs w:val="20"/>
              </w:rPr>
              <w:t>condition specific 30-day mortality measures + 1 THA/TKA complication measure)</w:t>
            </w:r>
          </w:p>
        </w:tc>
        <w:tc>
          <w:tcPr>
            <w:tcW w:w="2520" w:type="dxa"/>
            <w:tcBorders>
              <w:top w:val="nil"/>
              <w:left w:val="nil"/>
              <w:bottom w:val="single" w:sz="8" w:space="0" w:color="auto"/>
              <w:right w:val="single" w:sz="8" w:space="0" w:color="auto"/>
            </w:tcBorders>
            <w:shd w:val="clear" w:color="auto" w:fill="auto"/>
            <w:vAlign w:val="center"/>
            <w:hideMark/>
          </w:tcPr>
          <w:p w:rsidR="004F60CA" w:rsidRPr="008F6F32" w:rsidRDefault="004F60CA" w:rsidP="001A5E83">
            <w:pPr>
              <w:widowControl/>
              <w:autoSpaceDE/>
              <w:autoSpaceDN/>
              <w:adjustRightInd/>
              <w:jc w:val="center"/>
              <w:rPr>
                <w:rFonts w:ascii="Arial Narrow" w:hAnsi="Arial Narrow"/>
                <w:color w:val="000000"/>
                <w:sz w:val="20"/>
                <w:szCs w:val="20"/>
              </w:rPr>
            </w:pPr>
            <w:r w:rsidRPr="008F6F32">
              <w:rPr>
                <w:rFonts w:ascii="Arial Narrow" w:hAnsi="Arial Narrow"/>
                <w:color w:val="000000"/>
                <w:sz w:val="20"/>
                <w:szCs w:val="20"/>
              </w:rPr>
              <w:t>25% (8 measures- HCAHPS</w:t>
            </w:r>
            <w:r w:rsidR="001A5E83">
              <w:rPr>
                <w:rFonts w:ascii="Arial Narrow" w:hAnsi="Arial Narrow"/>
                <w:color w:val="000000"/>
                <w:sz w:val="20"/>
                <w:szCs w:val="20"/>
              </w:rPr>
              <w:t>)</w:t>
            </w:r>
          </w:p>
        </w:tc>
        <w:tc>
          <w:tcPr>
            <w:tcW w:w="2160" w:type="dxa"/>
            <w:tcBorders>
              <w:top w:val="nil"/>
              <w:left w:val="nil"/>
              <w:bottom w:val="single" w:sz="8" w:space="0" w:color="auto"/>
              <w:right w:val="single" w:sz="8" w:space="0" w:color="auto"/>
            </w:tcBorders>
            <w:shd w:val="clear" w:color="auto" w:fill="auto"/>
            <w:vAlign w:val="center"/>
            <w:hideMark/>
          </w:tcPr>
          <w:p w:rsidR="004F60CA" w:rsidRPr="008F6F32" w:rsidRDefault="004F60CA" w:rsidP="00635971">
            <w:pPr>
              <w:widowControl/>
              <w:autoSpaceDE/>
              <w:autoSpaceDN/>
              <w:adjustRightInd/>
              <w:jc w:val="center"/>
              <w:rPr>
                <w:rFonts w:ascii="Arial Narrow" w:hAnsi="Arial Narrow"/>
                <w:color w:val="000000"/>
                <w:sz w:val="20"/>
                <w:szCs w:val="20"/>
              </w:rPr>
            </w:pPr>
            <w:r w:rsidRPr="008F6F32">
              <w:rPr>
                <w:rFonts w:ascii="Arial Narrow" w:hAnsi="Arial Narrow"/>
                <w:color w:val="000000"/>
                <w:sz w:val="20"/>
                <w:szCs w:val="20"/>
              </w:rPr>
              <w:t>25% (</w:t>
            </w:r>
            <w:r w:rsidR="001A5E83">
              <w:rPr>
                <w:rFonts w:ascii="Arial Narrow" w:hAnsi="Arial Narrow"/>
                <w:color w:val="000000"/>
                <w:sz w:val="20"/>
                <w:szCs w:val="20"/>
              </w:rPr>
              <w:t>6 measures- CDC NHSN HAIs)</w:t>
            </w:r>
          </w:p>
        </w:tc>
        <w:tc>
          <w:tcPr>
            <w:tcW w:w="1800" w:type="dxa"/>
            <w:tcBorders>
              <w:top w:val="nil"/>
              <w:left w:val="nil"/>
              <w:bottom w:val="single" w:sz="8" w:space="0" w:color="auto"/>
              <w:right w:val="single" w:sz="8" w:space="0" w:color="auto"/>
            </w:tcBorders>
            <w:shd w:val="clear" w:color="auto" w:fill="auto"/>
            <w:vAlign w:val="center"/>
            <w:hideMark/>
          </w:tcPr>
          <w:p w:rsidR="004F60CA" w:rsidRPr="008F6F32" w:rsidRDefault="004F60CA" w:rsidP="00635971">
            <w:pPr>
              <w:widowControl/>
              <w:autoSpaceDE/>
              <w:autoSpaceDN/>
              <w:adjustRightInd/>
              <w:jc w:val="center"/>
              <w:rPr>
                <w:rFonts w:ascii="Arial Narrow" w:hAnsi="Arial Narrow"/>
                <w:color w:val="000000"/>
                <w:sz w:val="20"/>
                <w:szCs w:val="20"/>
              </w:rPr>
            </w:pPr>
            <w:r w:rsidRPr="008F6F32">
              <w:rPr>
                <w:rFonts w:ascii="Arial Narrow" w:hAnsi="Arial Narrow"/>
                <w:color w:val="000000"/>
                <w:sz w:val="20"/>
                <w:szCs w:val="20"/>
              </w:rPr>
              <w:t>25%</w:t>
            </w:r>
          </w:p>
        </w:tc>
      </w:tr>
    </w:tbl>
    <w:p w:rsidR="004F60CA" w:rsidRDefault="004F60CA" w:rsidP="004F60CA">
      <w:pPr>
        <w:shd w:val="clear" w:color="auto" w:fill="FFFFFF"/>
        <w:rPr>
          <w:rFonts w:ascii="Arial" w:hAnsi="Arial" w:cs="Arial"/>
          <w:color w:val="222222"/>
        </w:rPr>
      </w:pPr>
    </w:p>
    <w:p w:rsidR="004F60CA" w:rsidRDefault="004F60CA" w:rsidP="004F60CA">
      <w:pPr>
        <w:shd w:val="clear" w:color="auto" w:fill="FFFFFF"/>
        <w:rPr>
          <w:rFonts w:ascii="Arial" w:hAnsi="Arial" w:cs="Arial"/>
          <w:color w:val="222222"/>
        </w:rPr>
      </w:pPr>
    </w:p>
    <w:p w:rsidR="004F60CA" w:rsidRPr="0073272B" w:rsidRDefault="004F60CA" w:rsidP="004F60CA">
      <w:pPr>
        <w:pStyle w:val="Heading2"/>
      </w:pPr>
      <w:r>
        <w:t>Measurement Periods</w:t>
      </w:r>
    </w:p>
    <w:p w:rsidR="00985CED" w:rsidRDefault="00985CED" w:rsidP="004F60CA">
      <w:pPr>
        <w:pStyle w:val="ListParagraph"/>
        <w:ind w:left="0"/>
        <w:contextualSpacing/>
        <w:rPr>
          <w:rFonts w:ascii="Arial" w:hAnsi="Arial" w:cs="Arial"/>
          <w:bCs/>
          <w:sz w:val="22"/>
          <w:szCs w:val="22"/>
        </w:rPr>
      </w:pPr>
    </w:p>
    <w:p w:rsidR="004F60CA" w:rsidRDefault="004F60CA" w:rsidP="004F60CA">
      <w:pPr>
        <w:pStyle w:val="ListParagraph"/>
        <w:ind w:left="0"/>
        <w:contextualSpacing/>
        <w:rPr>
          <w:rFonts w:ascii="Arial" w:hAnsi="Arial" w:cs="Arial"/>
          <w:bCs/>
          <w:sz w:val="22"/>
          <w:szCs w:val="22"/>
        </w:rPr>
      </w:pPr>
      <w:r w:rsidRPr="00706174">
        <w:rPr>
          <w:rFonts w:ascii="Arial" w:hAnsi="Arial" w:cs="Arial"/>
          <w:bCs/>
          <w:sz w:val="22"/>
          <w:szCs w:val="22"/>
        </w:rPr>
        <w:t xml:space="preserve">The base and performance measurement periods used for the QBR program for </w:t>
      </w:r>
      <w:r>
        <w:rPr>
          <w:rFonts w:ascii="Arial" w:hAnsi="Arial" w:cs="Arial"/>
          <w:bCs/>
          <w:sz w:val="22"/>
          <w:szCs w:val="22"/>
        </w:rPr>
        <w:t>R</w:t>
      </w:r>
      <w:r w:rsidRPr="00706174">
        <w:rPr>
          <w:rFonts w:ascii="Arial" w:hAnsi="Arial" w:cs="Arial"/>
          <w:bCs/>
          <w:sz w:val="22"/>
          <w:szCs w:val="22"/>
        </w:rPr>
        <w:t xml:space="preserve">Y </w:t>
      </w:r>
      <w:r>
        <w:rPr>
          <w:rFonts w:ascii="Arial" w:hAnsi="Arial" w:cs="Arial"/>
          <w:bCs/>
          <w:sz w:val="22"/>
          <w:szCs w:val="22"/>
        </w:rPr>
        <w:t>202</w:t>
      </w:r>
      <w:r w:rsidR="001A5E83">
        <w:rPr>
          <w:rFonts w:ascii="Arial" w:hAnsi="Arial" w:cs="Arial"/>
          <w:bCs/>
          <w:sz w:val="22"/>
          <w:szCs w:val="22"/>
        </w:rPr>
        <w:t>2</w:t>
      </w:r>
      <w:r w:rsidRPr="00706174">
        <w:rPr>
          <w:rFonts w:ascii="Arial" w:hAnsi="Arial" w:cs="Arial"/>
          <w:bCs/>
          <w:sz w:val="22"/>
          <w:szCs w:val="22"/>
        </w:rPr>
        <w:t xml:space="preserve"> are illustrated below in figure </w:t>
      </w:r>
      <w:r>
        <w:rPr>
          <w:rFonts w:ascii="Arial" w:hAnsi="Arial" w:cs="Arial"/>
          <w:bCs/>
          <w:sz w:val="22"/>
          <w:szCs w:val="22"/>
        </w:rPr>
        <w:t>2</w:t>
      </w:r>
      <w:r w:rsidRPr="00706174">
        <w:rPr>
          <w:rFonts w:ascii="Arial" w:hAnsi="Arial" w:cs="Arial"/>
          <w:bCs/>
          <w:sz w:val="22"/>
          <w:szCs w:val="22"/>
        </w:rPr>
        <w:t>.</w:t>
      </w:r>
    </w:p>
    <w:p w:rsidR="004F60CA" w:rsidRDefault="004F60CA" w:rsidP="004F60CA">
      <w:pPr>
        <w:pStyle w:val="ListParagraph"/>
        <w:ind w:left="0"/>
        <w:contextualSpacing/>
        <w:rPr>
          <w:rFonts w:ascii="Arial" w:hAnsi="Arial" w:cs="Arial"/>
          <w:bCs/>
          <w:sz w:val="22"/>
          <w:szCs w:val="22"/>
        </w:rPr>
      </w:pPr>
    </w:p>
    <w:p w:rsidR="00850EEF" w:rsidRDefault="00850EEF">
      <w:pPr>
        <w:widowControl/>
        <w:autoSpaceDE/>
        <w:autoSpaceDN/>
        <w:adjustRightInd/>
        <w:rPr>
          <w:rFonts w:ascii="Arial" w:hAnsi="Arial" w:cs="Arial"/>
          <w:b/>
          <w:bCs/>
          <w:sz w:val="22"/>
          <w:szCs w:val="22"/>
        </w:rPr>
      </w:pPr>
      <w:r>
        <w:rPr>
          <w:rFonts w:ascii="Arial" w:hAnsi="Arial" w:cs="Arial"/>
          <w:b/>
          <w:bCs/>
          <w:sz w:val="22"/>
          <w:szCs w:val="22"/>
        </w:rPr>
        <w:br w:type="page"/>
      </w:r>
    </w:p>
    <w:p w:rsidR="004F60CA" w:rsidRDefault="004F60CA" w:rsidP="004F60CA">
      <w:pPr>
        <w:pStyle w:val="ListParagraph"/>
        <w:ind w:left="0"/>
        <w:contextualSpacing/>
        <w:rPr>
          <w:rFonts w:ascii="Arial" w:hAnsi="Arial" w:cs="Arial"/>
          <w:b/>
          <w:bCs/>
          <w:sz w:val="22"/>
          <w:szCs w:val="22"/>
        </w:rPr>
      </w:pPr>
      <w:r w:rsidRPr="008B4394">
        <w:rPr>
          <w:rFonts w:ascii="Arial" w:hAnsi="Arial" w:cs="Arial"/>
          <w:b/>
          <w:bCs/>
          <w:sz w:val="22"/>
          <w:szCs w:val="22"/>
        </w:rPr>
        <w:lastRenderedPageBreak/>
        <w:t xml:space="preserve">Figure </w:t>
      </w:r>
      <w:r>
        <w:rPr>
          <w:rFonts w:ascii="Arial" w:hAnsi="Arial" w:cs="Arial"/>
          <w:b/>
          <w:bCs/>
          <w:sz w:val="22"/>
          <w:szCs w:val="22"/>
        </w:rPr>
        <w:t>2</w:t>
      </w:r>
      <w:r w:rsidRPr="008B4394">
        <w:rPr>
          <w:rFonts w:ascii="Arial" w:hAnsi="Arial" w:cs="Arial"/>
          <w:b/>
          <w:bCs/>
          <w:sz w:val="22"/>
          <w:szCs w:val="22"/>
        </w:rPr>
        <w:t xml:space="preserve">. </w:t>
      </w:r>
      <w:r>
        <w:rPr>
          <w:rFonts w:ascii="Arial" w:hAnsi="Arial" w:cs="Arial"/>
          <w:b/>
          <w:bCs/>
          <w:sz w:val="22"/>
          <w:szCs w:val="22"/>
        </w:rPr>
        <w:t>R</w:t>
      </w:r>
      <w:r w:rsidRPr="008B4394">
        <w:rPr>
          <w:rFonts w:ascii="Arial" w:hAnsi="Arial" w:cs="Arial"/>
          <w:b/>
          <w:bCs/>
          <w:sz w:val="22"/>
          <w:szCs w:val="22"/>
        </w:rPr>
        <w:t xml:space="preserve">Y </w:t>
      </w:r>
      <w:r>
        <w:rPr>
          <w:rFonts w:ascii="Arial" w:hAnsi="Arial" w:cs="Arial"/>
          <w:b/>
          <w:bCs/>
          <w:sz w:val="22"/>
          <w:szCs w:val="22"/>
        </w:rPr>
        <w:t>202</w:t>
      </w:r>
      <w:r w:rsidR="00B06A99">
        <w:rPr>
          <w:rFonts w:ascii="Arial" w:hAnsi="Arial" w:cs="Arial"/>
          <w:b/>
          <w:bCs/>
          <w:sz w:val="22"/>
          <w:szCs w:val="22"/>
        </w:rPr>
        <w:t>2</w:t>
      </w:r>
      <w:r w:rsidRPr="008B4394">
        <w:rPr>
          <w:rFonts w:ascii="Arial" w:hAnsi="Arial" w:cs="Arial"/>
          <w:b/>
          <w:bCs/>
          <w:sz w:val="22"/>
          <w:szCs w:val="22"/>
        </w:rPr>
        <w:t xml:space="preserve"> QBR Base and Performance Timeline</w:t>
      </w:r>
    </w:p>
    <w:p w:rsidR="00B06A99" w:rsidRDefault="00B06A99">
      <w:pPr>
        <w:widowControl/>
        <w:autoSpaceDE/>
        <w:autoSpaceDN/>
        <w:adjustRightInd/>
        <w:rPr>
          <w:rFonts w:ascii="Arial" w:hAnsi="Arial" w:cs="Arial"/>
          <w:b/>
          <w:bCs/>
          <w:sz w:val="22"/>
          <w:szCs w:val="22"/>
        </w:rPr>
      </w:pPr>
    </w:p>
    <w:p w:rsidR="004F60CA" w:rsidRDefault="00B06A99"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color w:val="auto"/>
          <w:sz w:val="22"/>
          <w:szCs w:val="22"/>
        </w:rPr>
      </w:pPr>
      <w:r w:rsidRPr="00B06A99">
        <w:rPr>
          <w:noProof/>
        </w:rPr>
        <w:drawing>
          <wp:inline distT="0" distB="0" distL="0" distR="0" wp14:anchorId="14F3E7A1" wp14:editId="503D835D">
            <wp:extent cx="6329240" cy="23749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41050" cy="2379332"/>
                    </a:xfrm>
                    <a:prstGeom prst="rect">
                      <a:avLst/>
                    </a:prstGeom>
                  </pic:spPr>
                </pic:pic>
              </a:graphicData>
            </a:graphic>
          </wp:inline>
        </w:drawing>
      </w:r>
    </w:p>
    <w:p w:rsidR="004F60CA" w:rsidRPr="005309A7" w:rsidRDefault="004F60CA"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b w:val="0"/>
          <w:color w:val="auto"/>
          <w:sz w:val="22"/>
          <w:szCs w:val="22"/>
        </w:rPr>
      </w:pPr>
    </w:p>
    <w:p w:rsidR="004F60CA" w:rsidRDefault="004F60CA" w:rsidP="004F60CA">
      <w:pPr>
        <w:pStyle w:val="Heading2"/>
      </w:pPr>
      <w:r>
        <w:t>QBR Data Sources, Score Calculations and P</w:t>
      </w:r>
      <w:r w:rsidR="00F877AD">
        <w:t>erformance Standards for RY 2022</w:t>
      </w:r>
    </w:p>
    <w:p w:rsidR="00985CED" w:rsidRDefault="00985CED"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p>
    <w:p w:rsidR="004F60CA" w:rsidRDefault="004F60CA"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Pr>
          <w:b w:val="0"/>
          <w:color w:val="auto"/>
          <w:sz w:val="22"/>
          <w:szCs w:val="22"/>
        </w:rPr>
        <w:t xml:space="preserve">As stated previously, to the extent possible, HSCRC has </w:t>
      </w:r>
      <w:r w:rsidRPr="00706174">
        <w:rPr>
          <w:b w:val="0"/>
          <w:color w:val="auto"/>
          <w:sz w:val="22"/>
          <w:szCs w:val="22"/>
        </w:rPr>
        <w:t>aligned the QBR program</w:t>
      </w:r>
      <w:r>
        <w:rPr>
          <w:b w:val="0"/>
          <w:color w:val="auto"/>
          <w:sz w:val="22"/>
          <w:szCs w:val="22"/>
        </w:rPr>
        <w:t xml:space="preserve"> data, scoring calculations,</w:t>
      </w:r>
      <w:r w:rsidRPr="00706174">
        <w:rPr>
          <w:b w:val="0"/>
          <w:color w:val="auto"/>
          <w:sz w:val="22"/>
          <w:szCs w:val="22"/>
        </w:rPr>
        <w:t xml:space="preserve"> measures list and performance standards with the VBP program.  </w:t>
      </w:r>
      <w:r>
        <w:rPr>
          <w:b w:val="0"/>
          <w:color w:val="auto"/>
          <w:sz w:val="22"/>
          <w:szCs w:val="22"/>
        </w:rPr>
        <w:t xml:space="preserve">Appendix </w:t>
      </w:r>
      <w:r w:rsidR="004D5E6F">
        <w:rPr>
          <w:b w:val="0"/>
          <w:color w:val="auto"/>
          <w:sz w:val="22"/>
          <w:szCs w:val="22"/>
        </w:rPr>
        <w:t>B</w:t>
      </w:r>
      <w:r>
        <w:rPr>
          <w:b w:val="0"/>
          <w:color w:val="auto"/>
          <w:sz w:val="22"/>
          <w:szCs w:val="22"/>
        </w:rPr>
        <w:t xml:space="preserve"> provides an overview of the QBR methodology. Key points regarding this are outlined below.</w:t>
      </w:r>
    </w:p>
    <w:p w:rsidR="004F60CA" w:rsidRDefault="004F60CA" w:rsidP="004F60CA">
      <w:pPr>
        <w:pStyle w:val="WP9Heading"/>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Pr>
          <w:b w:val="0"/>
          <w:color w:val="auto"/>
          <w:sz w:val="22"/>
          <w:szCs w:val="22"/>
        </w:rPr>
        <w:t xml:space="preserve">HSCRC will use the data submitted to CMS for the Inpatient Quality Reporting program and posted to Hospital Compare for calculating hospital performance scores for all measures with exception of in-hospital mortality measure, which </w:t>
      </w:r>
      <w:r w:rsidR="00093CB8">
        <w:rPr>
          <w:b w:val="0"/>
          <w:color w:val="auto"/>
          <w:sz w:val="22"/>
          <w:szCs w:val="22"/>
        </w:rPr>
        <w:t xml:space="preserve">is </w:t>
      </w:r>
      <w:r>
        <w:rPr>
          <w:b w:val="0"/>
          <w:color w:val="auto"/>
          <w:sz w:val="22"/>
          <w:szCs w:val="22"/>
        </w:rPr>
        <w:t xml:space="preserve">calculated using HSCRC case mix data. </w:t>
      </w:r>
    </w:p>
    <w:p w:rsidR="004F60CA" w:rsidRPr="00F521B9" w:rsidRDefault="004F60CA" w:rsidP="004F60CA">
      <w:pPr>
        <w:pStyle w:val="WP9Heading"/>
        <w:widowControl/>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Pr>
          <w:b w:val="0"/>
          <w:color w:val="auto"/>
          <w:sz w:val="22"/>
          <w:szCs w:val="22"/>
        </w:rPr>
        <w:t>NOTE: If NHSN data are unavailable on CMS Hospital Compare for the relevant time periods for some or all hospitals, the HSCRC may obtain these data directly from CMS, or may download the data directly from the NHSN by MHCC.</w:t>
      </w:r>
      <w:r w:rsidR="00093CB8">
        <w:rPr>
          <w:b w:val="0"/>
          <w:color w:val="auto"/>
          <w:sz w:val="22"/>
          <w:szCs w:val="22"/>
        </w:rPr>
        <w:t xml:space="preserve">  Results from MHCC may be pulled at a different time and may not match CMS data.</w:t>
      </w:r>
      <w:r>
        <w:rPr>
          <w:b w:val="0"/>
          <w:color w:val="auto"/>
          <w:sz w:val="22"/>
          <w:szCs w:val="22"/>
        </w:rPr>
        <w:t xml:space="preserve">  </w:t>
      </w:r>
    </w:p>
    <w:p w:rsidR="004F60CA" w:rsidRDefault="004F60CA" w:rsidP="004F60CA">
      <w:pPr>
        <w:pStyle w:val="WP9Heading"/>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sidRPr="00F521B9">
        <w:rPr>
          <w:b w:val="0"/>
          <w:color w:val="auto"/>
          <w:sz w:val="22"/>
          <w:szCs w:val="22"/>
        </w:rPr>
        <w:t>CMS rules will be used when possible for minimum measure requirements for scoring a domain and for readjusting domain weighting if a measurement domain is missing for a hospital.  Hosp</w:t>
      </w:r>
      <w:r>
        <w:rPr>
          <w:b w:val="0"/>
          <w:color w:val="auto"/>
          <w:sz w:val="22"/>
          <w:szCs w:val="22"/>
        </w:rPr>
        <w:t>i</w:t>
      </w:r>
      <w:r w:rsidRPr="00F521B9">
        <w:rPr>
          <w:b w:val="0"/>
          <w:color w:val="auto"/>
          <w:sz w:val="22"/>
          <w:szCs w:val="22"/>
        </w:rPr>
        <w:t xml:space="preserve">tals must be eligible for </w:t>
      </w:r>
      <w:r>
        <w:rPr>
          <w:b w:val="0"/>
          <w:color w:val="auto"/>
          <w:sz w:val="22"/>
          <w:szCs w:val="22"/>
        </w:rPr>
        <w:t xml:space="preserve">a </w:t>
      </w:r>
      <w:r w:rsidRPr="00F521B9">
        <w:rPr>
          <w:b w:val="0"/>
          <w:color w:val="auto"/>
          <w:sz w:val="22"/>
          <w:szCs w:val="22"/>
        </w:rPr>
        <w:t xml:space="preserve">score in </w:t>
      </w:r>
      <w:r>
        <w:rPr>
          <w:b w:val="0"/>
          <w:color w:val="auto"/>
          <w:sz w:val="22"/>
          <w:szCs w:val="22"/>
        </w:rPr>
        <w:t>the HCAHPS</w:t>
      </w:r>
      <w:r w:rsidRPr="00F521B9">
        <w:rPr>
          <w:b w:val="0"/>
          <w:color w:val="auto"/>
          <w:sz w:val="22"/>
          <w:szCs w:val="22"/>
        </w:rPr>
        <w:t xml:space="preserve"> domain </w:t>
      </w:r>
      <w:r>
        <w:rPr>
          <w:b w:val="0"/>
          <w:color w:val="auto"/>
          <w:sz w:val="22"/>
          <w:szCs w:val="22"/>
        </w:rPr>
        <w:t xml:space="preserve">(i.e., must have at least 100 completed surveys in the performance period) </w:t>
      </w:r>
      <w:r w:rsidRPr="00F521B9">
        <w:rPr>
          <w:b w:val="0"/>
          <w:color w:val="auto"/>
          <w:sz w:val="22"/>
          <w:szCs w:val="22"/>
        </w:rPr>
        <w:t>to be included in the program</w:t>
      </w:r>
      <w:r>
        <w:rPr>
          <w:b w:val="0"/>
          <w:color w:val="auto"/>
          <w:sz w:val="22"/>
          <w:szCs w:val="22"/>
        </w:rPr>
        <w:t xml:space="preserve">.  </w:t>
      </w:r>
    </w:p>
    <w:p w:rsidR="004F60CA" w:rsidRPr="00F521B9" w:rsidRDefault="004F60CA" w:rsidP="004F60CA">
      <w:pPr>
        <w:pStyle w:val="WP9Heading"/>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Pr>
          <w:b w:val="0"/>
          <w:color w:val="auto"/>
          <w:sz w:val="22"/>
          <w:szCs w:val="22"/>
        </w:rPr>
        <w:t xml:space="preserve">Maryland Mortality summary reports and case level data are provided to hospitals quarterly based on preliminary and final data. Reports are available on the CRS Portal. Appendix </w:t>
      </w:r>
      <w:r w:rsidR="004D5E6F">
        <w:rPr>
          <w:b w:val="0"/>
          <w:color w:val="auto"/>
          <w:sz w:val="22"/>
          <w:szCs w:val="22"/>
        </w:rPr>
        <w:t>C</w:t>
      </w:r>
      <w:r>
        <w:rPr>
          <w:b w:val="0"/>
          <w:color w:val="auto"/>
          <w:sz w:val="22"/>
          <w:szCs w:val="22"/>
        </w:rPr>
        <w:t xml:space="preserve"> contains the specifications for the Maryland Mortality measure.</w:t>
      </w:r>
    </w:p>
    <w:p w:rsidR="004F60CA" w:rsidRDefault="004F60CA" w:rsidP="004F60CA">
      <w:pPr>
        <w:pStyle w:val="WP9Heading"/>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Pr>
          <w:b w:val="0"/>
          <w:color w:val="auto"/>
          <w:sz w:val="22"/>
          <w:szCs w:val="22"/>
        </w:rPr>
        <w:t>For hospitals with measures that have no data in the base period, staff reserves the right to assess hospitals on attainment-only, since HSCRC will be unable to calculate improvement scores.</w:t>
      </w:r>
      <w:r w:rsidRPr="00F521B9" w:rsidDel="005639C2">
        <w:rPr>
          <w:b w:val="0"/>
          <w:color w:val="auto"/>
          <w:sz w:val="22"/>
          <w:szCs w:val="22"/>
        </w:rPr>
        <w:t xml:space="preserve"> </w:t>
      </w:r>
    </w:p>
    <w:p w:rsidR="004F60CA" w:rsidRPr="00F521B9" w:rsidRDefault="004F60CA" w:rsidP="004F60CA">
      <w:pPr>
        <w:pStyle w:val="WP9Heading"/>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Pr>
          <w:b w:val="0"/>
          <w:color w:val="auto"/>
          <w:sz w:val="22"/>
          <w:szCs w:val="22"/>
        </w:rPr>
        <w:t>For hospitals that have measures with data missing for the base and performance periods, staff reserve the right to give hospitals a score of zero for these measures</w:t>
      </w:r>
      <w:r w:rsidRPr="006C4600">
        <w:rPr>
          <w:b w:val="0"/>
          <w:color w:val="auto"/>
          <w:sz w:val="22"/>
          <w:szCs w:val="22"/>
        </w:rPr>
        <w:t>.</w:t>
      </w:r>
      <w:r w:rsidRPr="00F521B9">
        <w:rPr>
          <w:b w:val="0"/>
          <w:color w:val="auto"/>
          <w:sz w:val="22"/>
          <w:szCs w:val="22"/>
        </w:rPr>
        <w:t xml:space="preserve">  </w:t>
      </w:r>
      <w:r w:rsidRPr="000A2EDB">
        <w:rPr>
          <w:color w:val="auto"/>
          <w:sz w:val="22"/>
          <w:szCs w:val="22"/>
        </w:rPr>
        <w:t>It is imperative, therefore, that hospitals review their data as soon as it is available and contact CMS with any concerns related to preview data or issues with posting data to Hospital Compare</w:t>
      </w:r>
      <w:r w:rsidRPr="00F521B9">
        <w:rPr>
          <w:b w:val="0"/>
          <w:color w:val="auto"/>
          <w:sz w:val="22"/>
          <w:szCs w:val="22"/>
        </w:rPr>
        <w:t>, and to alert HSCRC staff in a timely manner if issues cannot be resolved.</w:t>
      </w:r>
      <w:r w:rsidRPr="00F521B9">
        <w:rPr>
          <w:color w:val="auto"/>
        </w:rPr>
        <w:t xml:space="preserve">  </w:t>
      </w:r>
    </w:p>
    <w:p w:rsidR="004F60CA" w:rsidRPr="000C7EAC" w:rsidRDefault="00635971" w:rsidP="004F60CA">
      <w:pPr>
        <w:pStyle w:val="WP9Heading"/>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Pr>
          <w:b w:val="0"/>
          <w:color w:val="auto"/>
          <w:sz w:val="22"/>
          <w:szCs w:val="22"/>
        </w:rPr>
        <w:lastRenderedPageBreak/>
        <w:t>With exception of the Mortality measure, t</w:t>
      </w:r>
      <w:r w:rsidR="004F60CA">
        <w:rPr>
          <w:b w:val="0"/>
          <w:color w:val="auto"/>
          <w:sz w:val="22"/>
          <w:szCs w:val="22"/>
        </w:rPr>
        <w:t>he performance standards</w:t>
      </w:r>
      <w:r w:rsidR="004F60CA" w:rsidRPr="000C7EAC">
        <w:rPr>
          <w:b w:val="0"/>
          <w:color w:val="000000"/>
          <w:sz w:val="22"/>
          <w:szCs w:val="22"/>
        </w:rPr>
        <w:t xml:space="preserve"> for each of the </w:t>
      </w:r>
      <w:r w:rsidR="004F60CA">
        <w:rPr>
          <w:b w:val="0"/>
          <w:color w:val="000000"/>
          <w:sz w:val="22"/>
          <w:szCs w:val="22"/>
        </w:rPr>
        <w:t>S</w:t>
      </w:r>
      <w:r w:rsidR="004F60CA" w:rsidRPr="000C7EAC">
        <w:rPr>
          <w:b w:val="0"/>
          <w:color w:val="000000"/>
          <w:sz w:val="22"/>
          <w:szCs w:val="22"/>
        </w:rPr>
        <w:t xml:space="preserve">afety, </w:t>
      </w:r>
      <w:r w:rsidR="004F60CA">
        <w:rPr>
          <w:b w:val="0"/>
          <w:color w:val="000000"/>
          <w:sz w:val="22"/>
          <w:szCs w:val="22"/>
        </w:rPr>
        <w:t>C</w:t>
      </w:r>
      <w:r w:rsidR="004F60CA" w:rsidRPr="000C7EAC">
        <w:rPr>
          <w:b w:val="0"/>
          <w:color w:val="000000"/>
          <w:sz w:val="22"/>
          <w:szCs w:val="22"/>
        </w:rPr>
        <w:t xml:space="preserve">linical </w:t>
      </w:r>
      <w:r w:rsidR="004F60CA">
        <w:rPr>
          <w:b w:val="0"/>
          <w:color w:val="000000"/>
          <w:sz w:val="22"/>
          <w:szCs w:val="22"/>
        </w:rPr>
        <w:t>Care,</w:t>
      </w:r>
      <w:r w:rsidR="004F60CA" w:rsidRPr="000C7EAC">
        <w:rPr>
          <w:b w:val="0"/>
          <w:color w:val="000000"/>
          <w:sz w:val="22"/>
          <w:szCs w:val="22"/>
        </w:rPr>
        <w:t xml:space="preserve"> and </w:t>
      </w:r>
      <w:r w:rsidR="004F60CA">
        <w:rPr>
          <w:b w:val="0"/>
          <w:color w:val="000000"/>
          <w:sz w:val="22"/>
          <w:szCs w:val="22"/>
        </w:rPr>
        <w:t>Person and Community Engagement</w:t>
      </w:r>
      <w:r w:rsidR="00DC2EC9">
        <w:rPr>
          <w:b w:val="0"/>
          <w:color w:val="000000"/>
          <w:sz w:val="22"/>
          <w:szCs w:val="22"/>
        </w:rPr>
        <w:t xml:space="preserve"> measures for RY 2022</w:t>
      </w:r>
      <w:r w:rsidR="004F60CA" w:rsidRPr="000C7EAC">
        <w:rPr>
          <w:b w:val="0"/>
          <w:color w:val="000000"/>
          <w:sz w:val="22"/>
          <w:szCs w:val="22"/>
        </w:rPr>
        <w:t xml:space="preserve"> are listed below in Figure 3.  </w:t>
      </w:r>
    </w:p>
    <w:p w:rsidR="004F60CA" w:rsidRPr="00F521B9" w:rsidRDefault="004F60CA" w:rsidP="004F60CA">
      <w:pPr>
        <w:pStyle w:val="WP9Heading"/>
        <w:widowControl/>
        <w:numPr>
          <w:ilvl w:val="1"/>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Pr>
          <w:b w:val="0"/>
          <w:color w:val="000000"/>
          <w:sz w:val="22"/>
          <w:szCs w:val="22"/>
        </w:rPr>
        <w:t xml:space="preserve">NOTE: In prior years, CMS has adjusted the VBP thresholds </w:t>
      </w:r>
      <w:r w:rsidR="00635971">
        <w:rPr>
          <w:b w:val="0"/>
          <w:color w:val="000000"/>
          <w:sz w:val="22"/>
          <w:szCs w:val="22"/>
        </w:rPr>
        <w:t>be</w:t>
      </w:r>
      <w:r>
        <w:rPr>
          <w:b w:val="0"/>
          <w:color w:val="000000"/>
          <w:sz w:val="22"/>
          <w:szCs w:val="22"/>
        </w:rPr>
        <w:t>nchmarks mid-year for certain measures (most notably, the C. diff measure). Should any VBP measure inc</w:t>
      </w:r>
      <w:r w:rsidR="00DC2EC9">
        <w:rPr>
          <w:b w:val="0"/>
          <w:color w:val="000000"/>
          <w:sz w:val="22"/>
          <w:szCs w:val="22"/>
        </w:rPr>
        <w:t>luded in the RY 2022</w:t>
      </w:r>
      <w:r>
        <w:rPr>
          <w:b w:val="0"/>
          <w:color w:val="000000"/>
          <w:sz w:val="22"/>
          <w:szCs w:val="22"/>
        </w:rPr>
        <w:t xml:space="preserve"> QBR program be updated, HSCRC will notify industry and provide an updated calculation sheet at that time.</w:t>
      </w:r>
    </w:p>
    <w:p w:rsidR="004F60CA" w:rsidRDefault="004F60CA"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000000"/>
          <w:sz w:val="22"/>
          <w:szCs w:val="22"/>
        </w:rPr>
      </w:pPr>
    </w:p>
    <w:p w:rsidR="004F60CA" w:rsidRPr="008B4394" w:rsidRDefault="004F60CA"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jc w:val="left"/>
        <w:rPr>
          <w:color w:val="auto"/>
          <w:sz w:val="22"/>
          <w:szCs w:val="22"/>
        </w:rPr>
      </w:pPr>
      <w:r w:rsidRPr="00850EEF">
        <w:rPr>
          <w:color w:val="auto"/>
          <w:sz w:val="22"/>
          <w:szCs w:val="22"/>
        </w:rPr>
        <w:t xml:space="preserve">Figure 3. QBR Performance Standards for RY </w:t>
      </w:r>
      <w:r w:rsidR="00DC2EC9" w:rsidRPr="00850EEF">
        <w:rPr>
          <w:color w:val="auto"/>
          <w:sz w:val="22"/>
          <w:szCs w:val="22"/>
        </w:rPr>
        <w:t>2022</w:t>
      </w:r>
    </w:p>
    <w:tbl>
      <w:tblPr>
        <w:tblW w:w="9900" w:type="dxa"/>
        <w:tblLayout w:type="fixed"/>
        <w:tblLook w:val="0000" w:firstRow="0" w:lastRow="0" w:firstColumn="0" w:lastColumn="0" w:noHBand="0" w:noVBand="0"/>
      </w:tblPr>
      <w:tblGrid>
        <w:gridCol w:w="2790"/>
        <w:gridCol w:w="3150"/>
        <w:gridCol w:w="2070"/>
        <w:gridCol w:w="1890"/>
      </w:tblGrid>
      <w:tr w:rsidR="00635971" w:rsidRPr="00635971" w:rsidTr="00635971">
        <w:trPr>
          <w:trHeight w:val="300"/>
        </w:trPr>
        <w:tc>
          <w:tcPr>
            <w:tcW w:w="9900" w:type="dxa"/>
            <w:gridSpan w:val="4"/>
            <w:tcBorders>
              <w:top w:val="single" w:sz="24" w:space="0" w:color="7F9DB9"/>
              <w:left w:val="nil"/>
              <w:bottom w:val="nil"/>
              <w:right w:val="nil"/>
            </w:tcBorders>
            <w:vAlign w:val="center"/>
          </w:tcPr>
          <w:p w:rsidR="00635971" w:rsidRPr="00635971" w:rsidRDefault="00635971" w:rsidP="00635971">
            <w:pPr>
              <w:rPr>
                <w:rFonts w:ascii="Arial" w:eastAsia="Verdana" w:hAnsi="Arial" w:cs="Arial"/>
                <w:color w:val="333333"/>
              </w:rPr>
            </w:pPr>
            <w:r w:rsidRPr="00635971">
              <w:rPr>
                <w:rFonts w:ascii="Arial" w:eastAsia="Verdana" w:hAnsi="Arial" w:cs="Arial"/>
                <w:b/>
                <w:color w:val="333333"/>
              </w:rPr>
              <w:t>Person and Community Engagement Domain*</w:t>
            </w:r>
          </w:p>
        </w:tc>
      </w:tr>
      <w:tr w:rsidR="00635971" w:rsidRPr="00635971" w:rsidTr="00635971">
        <w:trPr>
          <w:trHeight w:val="420"/>
        </w:trPr>
        <w:tc>
          <w:tcPr>
            <w:tcW w:w="2790" w:type="dxa"/>
            <w:tcBorders>
              <w:top w:val="single" w:sz="8" w:space="0" w:color="7F9DB9"/>
              <w:left w:val="single" w:sz="8" w:space="0" w:color="7F9DB9"/>
              <w:bottom w:val="single" w:sz="8" w:space="0" w:color="7F9DB9"/>
              <w:right w:val="single" w:sz="8" w:space="0" w:color="7F9DB9"/>
            </w:tcBorders>
            <w:shd w:val="clear" w:color="auto" w:fill="E9F6FF"/>
          </w:tcPr>
          <w:p w:rsidR="00635971" w:rsidRPr="00635971" w:rsidRDefault="00635971" w:rsidP="00635971">
            <w:pPr>
              <w:ind w:firstLine="181"/>
              <w:rPr>
                <w:rFonts w:ascii="Arial" w:eastAsia="Verdana" w:hAnsi="Arial" w:cs="Arial"/>
                <w:color w:val="333333"/>
                <w:sz w:val="18"/>
                <w:szCs w:val="18"/>
              </w:rPr>
            </w:pPr>
            <w:r w:rsidRPr="00635971">
              <w:rPr>
                <w:rFonts w:ascii="Arial" w:eastAsia="Verdana" w:hAnsi="Arial" w:cs="Arial"/>
                <w:b/>
                <w:color w:val="333333"/>
                <w:sz w:val="18"/>
                <w:szCs w:val="18"/>
              </w:rPr>
              <w:t>Dimension</w:t>
            </w:r>
          </w:p>
        </w:tc>
        <w:tc>
          <w:tcPr>
            <w:tcW w:w="3150" w:type="dxa"/>
            <w:tcBorders>
              <w:top w:val="single" w:sz="8" w:space="0" w:color="7F9DB9"/>
              <w:left w:val="nil"/>
              <w:bottom w:val="single" w:sz="8" w:space="0" w:color="7F9DB9"/>
              <w:right w:val="single" w:sz="8" w:space="0" w:color="7F9DB9"/>
            </w:tcBorders>
            <w:shd w:val="clear" w:color="auto" w:fill="E9F6FF"/>
          </w:tcPr>
          <w:p w:rsidR="00635971" w:rsidRPr="00635971" w:rsidRDefault="00635971" w:rsidP="00635971">
            <w:pPr>
              <w:ind w:firstLine="181"/>
              <w:rPr>
                <w:rFonts w:ascii="Arial" w:eastAsia="Verdana" w:hAnsi="Arial" w:cs="Arial"/>
                <w:color w:val="333333"/>
                <w:sz w:val="18"/>
                <w:szCs w:val="18"/>
              </w:rPr>
            </w:pPr>
          </w:p>
          <w:p w:rsidR="00635971" w:rsidRPr="00635971" w:rsidRDefault="00635971" w:rsidP="00635971">
            <w:pPr>
              <w:ind w:firstLine="181"/>
              <w:rPr>
                <w:rFonts w:ascii="Arial" w:eastAsia="Verdana" w:hAnsi="Arial" w:cs="Arial"/>
                <w:color w:val="333333"/>
                <w:sz w:val="18"/>
                <w:szCs w:val="18"/>
              </w:rPr>
            </w:pPr>
            <w:r w:rsidRPr="00635971">
              <w:rPr>
                <w:rFonts w:ascii="Arial" w:eastAsia="Verdana" w:hAnsi="Arial" w:cs="Arial"/>
                <w:b/>
                <w:color w:val="333333"/>
                <w:sz w:val="18"/>
                <w:szCs w:val="18"/>
              </w:rPr>
              <w:t>Benchmark</w:t>
            </w:r>
          </w:p>
        </w:tc>
        <w:tc>
          <w:tcPr>
            <w:tcW w:w="2070" w:type="dxa"/>
            <w:tcBorders>
              <w:top w:val="single" w:sz="8" w:space="0" w:color="7F9DB9"/>
              <w:left w:val="nil"/>
              <w:bottom w:val="single" w:sz="8" w:space="0" w:color="7F9DB9"/>
              <w:right w:val="single" w:sz="8" w:space="0" w:color="7F9DB9"/>
            </w:tcBorders>
            <w:shd w:val="clear" w:color="auto" w:fill="E9F6FF"/>
          </w:tcPr>
          <w:p w:rsidR="00635971" w:rsidRPr="00635971" w:rsidRDefault="00635971" w:rsidP="00635971">
            <w:pPr>
              <w:ind w:firstLine="181"/>
              <w:rPr>
                <w:rFonts w:ascii="Arial" w:eastAsia="Verdana" w:hAnsi="Arial" w:cs="Arial"/>
                <w:b/>
                <w:color w:val="333333"/>
                <w:sz w:val="18"/>
                <w:szCs w:val="18"/>
              </w:rPr>
            </w:pPr>
            <w:r w:rsidRPr="00635971">
              <w:rPr>
                <w:rFonts w:ascii="Arial" w:eastAsia="Verdana" w:hAnsi="Arial" w:cs="Arial"/>
                <w:b/>
                <w:color w:val="333333"/>
                <w:sz w:val="18"/>
                <w:szCs w:val="18"/>
              </w:rPr>
              <w:t xml:space="preserve">Achievement Threshold </w:t>
            </w:r>
          </w:p>
          <w:p w:rsidR="00635971" w:rsidRPr="00635971" w:rsidRDefault="00635971" w:rsidP="00635971">
            <w:pPr>
              <w:ind w:firstLine="181"/>
              <w:rPr>
                <w:rFonts w:ascii="Arial" w:eastAsia="Verdana" w:hAnsi="Arial" w:cs="Arial"/>
                <w:color w:val="333333"/>
                <w:sz w:val="18"/>
                <w:szCs w:val="18"/>
              </w:rPr>
            </w:pPr>
            <w:r w:rsidRPr="00635971">
              <w:rPr>
                <w:rFonts w:ascii="Arial" w:eastAsia="Verdana" w:hAnsi="Arial" w:cs="Arial"/>
                <w:b/>
                <w:color w:val="333333"/>
                <w:sz w:val="18"/>
                <w:szCs w:val="18"/>
              </w:rPr>
              <w:t>(50th percentile)</w:t>
            </w:r>
          </w:p>
        </w:tc>
        <w:tc>
          <w:tcPr>
            <w:tcW w:w="1890" w:type="dxa"/>
            <w:tcBorders>
              <w:top w:val="single" w:sz="8" w:space="0" w:color="7F9DB9"/>
              <w:left w:val="nil"/>
              <w:bottom w:val="single" w:sz="8" w:space="0" w:color="7F9DB9"/>
              <w:right w:val="single" w:sz="8" w:space="0" w:color="7F9DB9"/>
            </w:tcBorders>
            <w:shd w:val="clear" w:color="auto" w:fill="E9F6FF"/>
          </w:tcPr>
          <w:p w:rsidR="00635971" w:rsidRPr="00635971" w:rsidRDefault="00635971" w:rsidP="00635971">
            <w:pPr>
              <w:ind w:firstLine="181"/>
              <w:rPr>
                <w:rFonts w:ascii="Arial" w:eastAsia="Verdana" w:hAnsi="Arial" w:cs="Arial"/>
                <w:b/>
                <w:color w:val="333333"/>
                <w:sz w:val="18"/>
                <w:szCs w:val="18"/>
              </w:rPr>
            </w:pPr>
            <w:r w:rsidRPr="00635971">
              <w:rPr>
                <w:rFonts w:ascii="Arial" w:eastAsia="Verdana" w:hAnsi="Arial" w:cs="Arial"/>
                <w:b/>
                <w:color w:val="333333"/>
                <w:sz w:val="18"/>
                <w:szCs w:val="18"/>
              </w:rPr>
              <w:t>Floor</w:t>
            </w:r>
          </w:p>
          <w:p w:rsidR="00635971" w:rsidRPr="00635971" w:rsidRDefault="00635971" w:rsidP="00635971">
            <w:pPr>
              <w:ind w:firstLine="181"/>
              <w:rPr>
                <w:rFonts w:ascii="Arial" w:eastAsia="Verdana" w:hAnsi="Arial" w:cs="Arial"/>
                <w:b/>
                <w:color w:val="333333"/>
                <w:sz w:val="18"/>
                <w:szCs w:val="18"/>
              </w:rPr>
            </w:pPr>
            <w:r w:rsidRPr="00635971">
              <w:rPr>
                <w:rFonts w:ascii="Arial" w:eastAsia="Verdana" w:hAnsi="Arial" w:cs="Arial"/>
                <w:b/>
                <w:color w:val="333333"/>
                <w:sz w:val="18"/>
                <w:szCs w:val="18"/>
              </w:rPr>
              <w:t>(Minimum)</w:t>
            </w:r>
          </w:p>
        </w:tc>
      </w:tr>
      <w:tr w:rsidR="00635971" w:rsidRPr="00635971" w:rsidTr="00635971">
        <w:trPr>
          <w:trHeight w:val="32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Communication with Nurses</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87.53 percent</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79.18 percent</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15.73 percent</w:t>
            </w:r>
          </w:p>
        </w:tc>
      </w:tr>
      <w:tr w:rsidR="00635971" w:rsidRPr="00635971" w:rsidTr="00635971">
        <w:trPr>
          <w:trHeight w:val="22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Communication with Doctors</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87.85 percent</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79.72 percent</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19.03 percent</w:t>
            </w:r>
          </w:p>
        </w:tc>
      </w:tr>
      <w:tr w:rsidR="00635971" w:rsidRPr="00635971" w:rsidTr="00635971">
        <w:trPr>
          <w:trHeight w:val="18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985CED">
            <w:pPr>
              <w:ind w:left="162"/>
              <w:rPr>
                <w:rFonts w:ascii="Arial" w:eastAsia="Verdana" w:hAnsi="Arial" w:cs="Arial"/>
                <w:color w:val="333333"/>
                <w:sz w:val="18"/>
                <w:szCs w:val="18"/>
              </w:rPr>
            </w:pPr>
            <w:r w:rsidRPr="00635971">
              <w:rPr>
                <w:rFonts w:ascii="Arial" w:eastAsia="Verdana" w:hAnsi="Arial" w:cs="Arial"/>
                <w:color w:val="333333"/>
                <w:sz w:val="18"/>
                <w:szCs w:val="18"/>
              </w:rPr>
              <w:t xml:space="preserve">Responsiveness of Hospital </w:t>
            </w:r>
            <w:r w:rsidR="00985CED">
              <w:rPr>
                <w:rFonts w:ascii="Arial" w:eastAsia="Verdana" w:hAnsi="Arial" w:cs="Arial"/>
                <w:color w:val="333333"/>
                <w:sz w:val="18"/>
                <w:szCs w:val="18"/>
              </w:rPr>
              <w:t xml:space="preserve">  </w:t>
            </w:r>
            <w:r w:rsidRPr="00635971">
              <w:rPr>
                <w:rFonts w:ascii="Arial" w:eastAsia="Verdana" w:hAnsi="Arial" w:cs="Arial"/>
                <w:color w:val="333333"/>
                <w:sz w:val="18"/>
                <w:szCs w:val="18"/>
              </w:rPr>
              <w:t>Staff</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81.29 percent</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65.95 percent</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25.71 percent</w:t>
            </w:r>
          </w:p>
        </w:tc>
      </w:tr>
      <w:tr w:rsidR="00635971" w:rsidRPr="00635971" w:rsidTr="00635971">
        <w:trPr>
          <w:trHeight w:val="22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985CED">
            <w:pPr>
              <w:ind w:left="162"/>
              <w:rPr>
                <w:rFonts w:ascii="Arial" w:eastAsia="Verdana" w:hAnsi="Arial" w:cs="Arial"/>
                <w:color w:val="333333"/>
                <w:sz w:val="18"/>
                <w:szCs w:val="18"/>
              </w:rPr>
            </w:pPr>
            <w:r w:rsidRPr="00635971">
              <w:rPr>
                <w:rFonts w:ascii="Arial" w:eastAsia="Verdana" w:hAnsi="Arial" w:cs="Arial"/>
                <w:color w:val="333333"/>
                <w:sz w:val="18"/>
                <w:szCs w:val="18"/>
              </w:rPr>
              <w:t>Communication about Medicines</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74.31 percent</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63.59 percent</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10.62 percent</w:t>
            </w:r>
          </w:p>
        </w:tc>
      </w:tr>
      <w:tr w:rsidR="00635971" w:rsidRPr="00635971" w:rsidTr="00635971">
        <w:trPr>
          <w:trHeight w:val="34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985CED">
            <w:pPr>
              <w:ind w:left="162"/>
              <w:rPr>
                <w:rFonts w:ascii="Arial" w:eastAsia="Verdana" w:hAnsi="Arial" w:cs="Arial"/>
                <w:color w:val="333333"/>
                <w:sz w:val="18"/>
                <w:szCs w:val="18"/>
              </w:rPr>
            </w:pPr>
            <w:r w:rsidRPr="00635971">
              <w:rPr>
                <w:rFonts w:ascii="Arial" w:eastAsia="Verdana" w:hAnsi="Arial" w:cs="Arial"/>
                <w:color w:val="333333"/>
                <w:sz w:val="18"/>
                <w:szCs w:val="18"/>
              </w:rPr>
              <w:t>Cleanliness and Quietness of Hospital Environment</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79.41 percent</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65.46 percent</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5.89 percent</w:t>
            </w:r>
          </w:p>
        </w:tc>
      </w:tr>
      <w:tr w:rsidR="00635971" w:rsidRPr="00635971" w:rsidTr="00635971">
        <w:trPr>
          <w:trHeight w:val="20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Discharge Information</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91.95 percent</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87.12 percent</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66.78 percent</w:t>
            </w:r>
          </w:p>
        </w:tc>
      </w:tr>
      <w:tr w:rsidR="00635971" w:rsidRPr="00635971" w:rsidTr="00635971">
        <w:trPr>
          <w:trHeight w:val="26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3-Item Care Transition</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63.11 percent</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51.69 percent</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6.84 percent</w:t>
            </w:r>
          </w:p>
        </w:tc>
      </w:tr>
      <w:tr w:rsidR="00635971" w:rsidRPr="00635971" w:rsidTr="00635971">
        <w:trPr>
          <w:trHeight w:val="16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Overall Rating of Hospital</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85.18 percent</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71.37 percent</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19.09 percent</w:t>
            </w:r>
          </w:p>
        </w:tc>
      </w:tr>
      <w:tr w:rsidR="00635971" w:rsidRPr="00635971" w:rsidTr="00635971">
        <w:trPr>
          <w:trHeight w:val="40"/>
        </w:trPr>
        <w:tc>
          <w:tcPr>
            <w:tcW w:w="2790" w:type="dxa"/>
            <w:tcBorders>
              <w:top w:val="nil"/>
              <w:left w:val="nil"/>
              <w:bottom w:val="single" w:sz="24" w:space="0" w:color="7F9DB9"/>
              <w:right w:val="nil"/>
            </w:tcBorders>
            <w:vAlign w:val="center"/>
          </w:tcPr>
          <w:p w:rsidR="00635971" w:rsidRPr="00635971" w:rsidRDefault="00635971" w:rsidP="00635971">
            <w:pPr>
              <w:ind w:firstLine="160"/>
              <w:rPr>
                <w:rFonts w:ascii="Arial" w:eastAsia="Verdana" w:hAnsi="Arial" w:cs="Arial"/>
                <w:color w:val="333333"/>
                <w:sz w:val="16"/>
                <w:szCs w:val="16"/>
              </w:rPr>
            </w:pPr>
          </w:p>
        </w:tc>
        <w:tc>
          <w:tcPr>
            <w:tcW w:w="3150" w:type="dxa"/>
            <w:tcBorders>
              <w:top w:val="nil"/>
              <w:left w:val="nil"/>
              <w:bottom w:val="single" w:sz="24" w:space="0" w:color="7F9DB9"/>
              <w:right w:val="nil"/>
            </w:tcBorders>
          </w:tcPr>
          <w:p w:rsidR="00635971" w:rsidRPr="00635971" w:rsidRDefault="00635971" w:rsidP="00635971">
            <w:pPr>
              <w:rPr>
                <w:rFonts w:ascii="Arial" w:hAnsi="Arial" w:cs="Arial"/>
                <w:sz w:val="20"/>
                <w:szCs w:val="20"/>
              </w:rPr>
            </w:pPr>
          </w:p>
        </w:tc>
        <w:tc>
          <w:tcPr>
            <w:tcW w:w="2070" w:type="dxa"/>
            <w:tcBorders>
              <w:top w:val="nil"/>
              <w:left w:val="nil"/>
              <w:bottom w:val="single" w:sz="24" w:space="0" w:color="7F9DB9"/>
              <w:right w:val="nil"/>
            </w:tcBorders>
          </w:tcPr>
          <w:p w:rsidR="00635971" w:rsidRPr="00635971" w:rsidRDefault="00635971" w:rsidP="00635971">
            <w:pPr>
              <w:rPr>
                <w:rFonts w:ascii="Arial" w:hAnsi="Arial" w:cs="Arial"/>
                <w:sz w:val="20"/>
                <w:szCs w:val="20"/>
              </w:rPr>
            </w:pPr>
          </w:p>
        </w:tc>
        <w:tc>
          <w:tcPr>
            <w:tcW w:w="1890" w:type="dxa"/>
            <w:tcBorders>
              <w:top w:val="nil"/>
              <w:left w:val="nil"/>
              <w:bottom w:val="single" w:sz="24" w:space="0" w:color="7F9DB9"/>
              <w:right w:val="nil"/>
            </w:tcBorders>
          </w:tcPr>
          <w:p w:rsidR="00635971" w:rsidRPr="00635971" w:rsidRDefault="00635971" w:rsidP="00635971">
            <w:pPr>
              <w:rPr>
                <w:rFonts w:ascii="Arial" w:hAnsi="Arial" w:cs="Arial"/>
                <w:sz w:val="20"/>
                <w:szCs w:val="20"/>
              </w:rPr>
            </w:pPr>
          </w:p>
        </w:tc>
      </w:tr>
    </w:tbl>
    <w:p w:rsidR="00635971" w:rsidRPr="00850EEF" w:rsidRDefault="00635971" w:rsidP="00635971">
      <w:pPr>
        <w:rPr>
          <w:rFonts w:ascii="Arial Narrow" w:hAnsi="Arial Narrow" w:cs="Arial"/>
          <w:sz w:val="20"/>
          <w:szCs w:val="20"/>
        </w:rPr>
      </w:pPr>
      <w:r w:rsidRPr="00850EEF">
        <w:rPr>
          <w:rFonts w:ascii="Arial Narrow" w:hAnsi="Arial Narrow" w:cs="Arial"/>
          <w:sz w:val="20"/>
          <w:szCs w:val="20"/>
        </w:rPr>
        <w:t>*The Person and Community Engagement performance standards displayed in this table were calculated using four quarters of calendar year 2018 data, and published in the CMS Inpatient Prospective Payment System FFY 20 Final Rule.</w:t>
      </w:r>
    </w:p>
    <w:tbl>
      <w:tblPr>
        <w:tblW w:w="9900" w:type="dxa"/>
        <w:tblLayout w:type="fixed"/>
        <w:tblLook w:val="0000" w:firstRow="0" w:lastRow="0" w:firstColumn="0" w:lastColumn="0" w:noHBand="0" w:noVBand="0"/>
      </w:tblPr>
      <w:tblGrid>
        <w:gridCol w:w="2790"/>
        <w:gridCol w:w="3150"/>
        <w:gridCol w:w="2070"/>
        <w:gridCol w:w="1890"/>
      </w:tblGrid>
      <w:tr w:rsidR="00635971" w:rsidRPr="00635971" w:rsidTr="00635971">
        <w:trPr>
          <w:trHeight w:val="300"/>
        </w:trPr>
        <w:tc>
          <w:tcPr>
            <w:tcW w:w="2790" w:type="dxa"/>
            <w:tcBorders>
              <w:top w:val="single" w:sz="24" w:space="0" w:color="7F9DB9"/>
              <w:left w:val="nil"/>
              <w:bottom w:val="single" w:sz="8" w:space="0" w:color="7F9DB9"/>
              <w:right w:val="nil"/>
            </w:tcBorders>
            <w:vAlign w:val="center"/>
          </w:tcPr>
          <w:p w:rsidR="00635971" w:rsidRPr="00635971" w:rsidRDefault="00635971" w:rsidP="00635971">
            <w:pPr>
              <w:rPr>
                <w:rFonts w:ascii="Arial" w:eastAsia="Verdana" w:hAnsi="Arial" w:cs="Arial"/>
                <w:color w:val="333333"/>
              </w:rPr>
            </w:pPr>
            <w:r w:rsidRPr="00635971">
              <w:rPr>
                <w:rFonts w:ascii="Arial" w:eastAsia="Verdana" w:hAnsi="Arial" w:cs="Arial"/>
                <w:b/>
                <w:color w:val="333333"/>
              </w:rPr>
              <w:t xml:space="preserve">Safety Domain* </w:t>
            </w:r>
          </w:p>
        </w:tc>
        <w:tc>
          <w:tcPr>
            <w:tcW w:w="3150" w:type="dxa"/>
            <w:tcBorders>
              <w:top w:val="single" w:sz="24" w:space="0" w:color="7F9DB9"/>
              <w:left w:val="nil"/>
              <w:bottom w:val="single" w:sz="8" w:space="0" w:color="7F9DB9"/>
              <w:right w:val="nil"/>
            </w:tcBorders>
          </w:tcPr>
          <w:p w:rsidR="00635971" w:rsidRPr="00635971" w:rsidRDefault="00635971" w:rsidP="00635971">
            <w:pPr>
              <w:rPr>
                <w:rFonts w:ascii="Arial" w:eastAsia="Verdana" w:hAnsi="Arial" w:cs="Arial"/>
                <w:color w:val="333333"/>
                <w:sz w:val="28"/>
                <w:szCs w:val="28"/>
              </w:rPr>
            </w:pPr>
          </w:p>
        </w:tc>
        <w:tc>
          <w:tcPr>
            <w:tcW w:w="2070" w:type="dxa"/>
            <w:tcBorders>
              <w:top w:val="single" w:sz="24" w:space="0" w:color="7F9DB9"/>
              <w:left w:val="nil"/>
              <w:bottom w:val="single" w:sz="8" w:space="0" w:color="7F9DB9"/>
              <w:right w:val="nil"/>
            </w:tcBorders>
          </w:tcPr>
          <w:p w:rsidR="00635971" w:rsidRPr="00635971" w:rsidRDefault="00635971" w:rsidP="00635971">
            <w:pPr>
              <w:rPr>
                <w:rFonts w:ascii="Arial" w:hAnsi="Arial" w:cs="Arial"/>
                <w:sz w:val="20"/>
                <w:szCs w:val="20"/>
              </w:rPr>
            </w:pPr>
          </w:p>
        </w:tc>
        <w:tc>
          <w:tcPr>
            <w:tcW w:w="1890" w:type="dxa"/>
            <w:tcBorders>
              <w:top w:val="single" w:sz="24" w:space="0" w:color="7F9DB9"/>
              <w:left w:val="nil"/>
              <w:bottom w:val="single" w:sz="8" w:space="0" w:color="7F9DB9"/>
              <w:right w:val="nil"/>
            </w:tcBorders>
          </w:tcPr>
          <w:p w:rsidR="00635971" w:rsidRPr="00635971" w:rsidRDefault="00635971" w:rsidP="00635971">
            <w:pPr>
              <w:rPr>
                <w:rFonts w:ascii="Arial" w:hAnsi="Arial" w:cs="Arial"/>
                <w:sz w:val="20"/>
                <w:szCs w:val="20"/>
              </w:rPr>
            </w:pPr>
          </w:p>
        </w:tc>
      </w:tr>
      <w:tr w:rsidR="00635971" w:rsidRPr="00635971" w:rsidTr="00635971">
        <w:trPr>
          <w:trHeight w:val="240"/>
        </w:trPr>
        <w:tc>
          <w:tcPr>
            <w:tcW w:w="2790" w:type="dxa"/>
            <w:tcBorders>
              <w:top w:val="single" w:sz="8" w:space="0" w:color="7F9DB9"/>
              <w:left w:val="single" w:sz="8" w:space="0" w:color="7F9DB9"/>
              <w:bottom w:val="single" w:sz="8" w:space="0" w:color="7F9DB9"/>
              <w:right w:val="single" w:sz="8" w:space="0" w:color="7F9DB9"/>
            </w:tcBorders>
            <w:shd w:val="clear" w:color="auto" w:fill="E9F6FF"/>
          </w:tcPr>
          <w:p w:rsidR="00635971" w:rsidRPr="00635971" w:rsidRDefault="00635971" w:rsidP="00635971">
            <w:pPr>
              <w:ind w:firstLine="201"/>
              <w:rPr>
                <w:rFonts w:ascii="Arial" w:eastAsia="Verdana" w:hAnsi="Arial" w:cs="Arial"/>
                <w:color w:val="333333"/>
                <w:sz w:val="20"/>
                <w:szCs w:val="20"/>
              </w:rPr>
            </w:pPr>
            <w:r w:rsidRPr="00635971">
              <w:rPr>
                <w:rFonts w:ascii="Arial" w:eastAsia="Verdana" w:hAnsi="Arial" w:cs="Arial"/>
                <w:b/>
                <w:color w:val="333333"/>
                <w:sz w:val="20"/>
                <w:szCs w:val="20"/>
              </w:rPr>
              <w:t>Measure Short ID</w:t>
            </w:r>
          </w:p>
        </w:tc>
        <w:tc>
          <w:tcPr>
            <w:tcW w:w="3150" w:type="dxa"/>
            <w:tcBorders>
              <w:top w:val="single" w:sz="8" w:space="0" w:color="7F9DB9"/>
              <w:left w:val="nil"/>
              <w:bottom w:val="single" w:sz="8" w:space="0" w:color="7F9DB9"/>
              <w:right w:val="single" w:sz="8" w:space="0" w:color="7F9DB9"/>
            </w:tcBorders>
            <w:shd w:val="clear" w:color="auto" w:fill="DEEAF6"/>
          </w:tcPr>
          <w:p w:rsidR="00635971" w:rsidRPr="00635971" w:rsidRDefault="00635971" w:rsidP="00635971">
            <w:pPr>
              <w:ind w:firstLine="201"/>
              <w:rPr>
                <w:rFonts w:ascii="Arial" w:eastAsia="Verdana" w:hAnsi="Arial" w:cs="Arial"/>
                <w:color w:val="333333"/>
                <w:sz w:val="20"/>
                <w:szCs w:val="20"/>
              </w:rPr>
            </w:pPr>
            <w:r w:rsidRPr="00635971">
              <w:rPr>
                <w:rFonts w:ascii="Arial" w:eastAsia="Verdana" w:hAnsi="Arial" w:cs="Arial"/>
                <w:b/>
                <w:color w:val="333333"/>
                <w:sz w:val="20"/>
                <w:szCs w:val="20"/>
              </w:rPr>
              <w:t>Measure Description</w:t>
            </w:r>
          </w:p>
        </w:tc>
        <w:tc>
          <w:tcPr>
            <w:tcW w:w="2070" w:type="dxa"/>
            <w:tcBorders>
              <w:top w:val="single" w:sz="8" w:space="0" w:color="7F9DB9"/>
              <w:left w:val="nil"/>
              <w:bottom w:val="single" w:sz="8" w:space="0" w:color="7F9DB9"/>
              <w:right w:val="single" w:sz="8" w:space="0" w:color="7F9DB9"/>
            </w:tcBorders>
            <w:shd w:val="clear" w:color="auto" w:fill="E9F6FF"/>
          </w:tcPr>
          <w:p w:rsidR="00635971" w:rsidRPr="00635971" w:rsidRDefault="00635971" w:rsidP="00635971">
            <w:pPr>
              <w:ind w:firstLine="201"/>
              <w:rPr>
                <w:rFonts w:ascii="Arial" w:eastAsia="Verdana" w:hAnsi="Arial" w:cs="Arial"/>
                <w:color w:val="333333"/>
                <w:sz w:val="20"/>
                <w:szCs w:val="20"/>
              </w:rPr>
            </w:pPr>
            <w:r w:rsidRPr="00635971">
              <w:rPr>
                <w:rFonts w:ascii="Arial" w:eastAsia="Verdana" w:hAnsi="Arial" w:cs="Arial"/>
                <w:b/>
                <w:color w:val="333333"/>
                <w:sz w:val="20"/>
                <w:szCs w:val="20"/>
              </w:rPr>
              <w:t>Benchmark</w:t>
            </w:r>
          </w:p>
        </w:tc>
        <w:tc>
          <w:tcPr>
            <w:tcW w:w="1890" w:type="dxa"/>
            <w:tcBorders>
              <w:top w:val="single" w:sz="8" w:space="0" w:color="7F9DB9"/>
              <w:left w:val="nil"/>
              <w:bottom w:val="single" w:sz="8" w:space="0" w:color="7F9DB9"/>
              <w:right w:val="single" w:sz="8" w:space="0" w:color="7F9DB9"/>
            </w:tcBorders>
            <w:shd w:val="clear" w:color="auto" w:fill="E9F6FF"/>
          </w:tcPr>
          <w:p w:rsidR="00635971" w:rsidRPr="00635971" w:rsidRDefault="00635971" w:rsidP="00635971">
            <w:pPr>
              <w:ind w:firstLine="201"/>
              <w:rPr>
                <w:rFonts w:ascii="Arial" w:eastAsia="Verdana" w:hAnsi="Arial" w:cs="Arial"/>
                <w:color w:val="333333"/>
                <w:sz w:val="20"/>
                <w:szCs w:val="20"/>
              </w:rPr>
            </w:pPr>
            <w:r w:rsidRPr="00635971">
              <w:rPr>
                <w:rFonts w:ascii="Arial" w:eastAsia="Verdana" w:hAnsi="Arial" w:cs="Arial"/>
                <w:b/>
                <w:color w:val="333333"/>
                <w:sz w:val="20"/>
                <w:szCs w:val="20"/>
              </w:rPr>
              <w:t>Achievement Threshold</w:t>
            </w:r>
          </w:p>
        </w:tc>
      </w:tr>
      <w:tr w:rsidR="00635971" w:rsidRPr="00635971" w:rsidTr="00635971">
        <w:trPr>
          <w:trHeight w:val="40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CAUTI</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Catheter-Associated Urinary Tract Infection</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0.00</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0.727</w:t>
            </w:r>
          </w:p>
        </w:tc>
      </w:tr>
      <w:tr w:rsidR="00635971" w:rsidRPr="00635971" w:rsidTr="00635971">
        <w:trPr>
          <w:trHeight w:val="22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CDI</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Clostridium </w:t>
            </w:r>
            <w:r w:rsidRPr="00635971">
              <w:rPr>
                <w:rFonts w:ascii="Arial" w:eastAsia="Verdana" w:hAnsi="Arial" w:cs="Arial"/>
                <w:i/>
                <w:color w:val="333333"/>
                <w:sz w:val="18"/>
                <w:szCs w:val="18"/>
              </w:rPr>
              <w:t>difficile </w:t>
            </w:r>
            <w:r w:rsidRPr="00635971">
              <w:rPr>
                <w:rFonts w:ascii="Arial" w:eastAsia="Verdana" w:hAnsi="Arial" w:cs="Arial"/>
                <w:color w:val="333333"/>
                <w:sz w:val="18"/>
                <w:szCs w:val="18"/>
              </w:rPr>
              <w:t>Infection</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0.047</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0.646</w:t>
            </w:r>
          </w:p>
        </w:tc>
      </w:tr>
      <w:tr w:rsidR="00635971" w:rsidRPr="00635971" w:rsidTr="00635971">
        <w:trPr>
          <w:trHeight w:val="300"/>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CLABSI</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Central Line-Associated Blood Stream Infection</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0.00</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0.633</w:t>
            </w:r>
          </w:p>
        </w:tc>
      </w:tr>
      <w:tr w:rsidR="00635971" w:rsidRPr="00635971" w:rsidTr="00635971">
        <w:trPr>
          <w:trHeight w:val="446"/>
        </w:trPr>
        <w:tc>
          <w:tcPr>
            <w:tcW w:w="2790" w:type="dxa"/>
            <w:tcBorders>
              <w:top w:val="nil"/>
              <w:left w:val="single" w:sz="8" w:space="0" w:color="7F9DB9"/>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MRSA</w:t>
            </w:r>
          </w:p>
        </w:tc>
        <w:tc>
          <w:tcPr>
            <w:tcW w:w="3150" w:type="dxa"/>
            <w:tcBorders>
              <w:top w:val="nil"/>
              <w:left w:val="nil"/>
              <w:bottom w:val="single" w:sz="8" w:space="0" w:color="7F9DB9"/>
              <w:right w:val="single" w:sz="8" w:space="0" w:color="7F9DB9"/>
            </w:tcBorders>
            <w:shd w:val="clear" w:color="auto" w:fill="FFFFFF"/>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Methicillin-Resistant Staphylococcus</w:t>
            </w:r>
            <w:r w:rsidRPr="00635971">
              <w:rPr>
                <w:rFonts w:ascii="Arial" w:eastAsia="Verdana" w:hAnsi="Arial" w:cs="Arial"/>
                <w:i/>
                <w:color w:val="333333"/>
                <w:sz w:val="18"/>
                <w:szCs w:val="18"/>
              </w:rPr>
              <w:t> aureus</w:t>
            </w:r>
          </w:p>
        </w:tc>
        <w:tc>
          <w:tcPr>
            <w:tcW w:w="207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0.00</w:t>
            </w:r>
          </w:p>
        </w:tc>
        <w:tc>
          <w:tcPr>
            <w:tcW w:w="1890" w:type="dxa"/>
            <w:tcBorders>
              <w:top w:val="nil"/>
              <w:left w:val="nil"/>
              <w:bottom w:val="single" w:sz="8"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0.748</w:t>
            </w:r>
          </w:p>
        </w:tc>
      </w:tr>
      <w:tr w:rsidR="00635971" w:rsidRPr="00635971" w:rsidTr="00635971">
        <w:trPr>
          <w:trHeight w:val="248"/>
        </w:trPr>
        <w:tc>
          <w:tcPr>
            <w:tcW w:w="2790" w:type="dxa"/>
            <w:vMerge w:val="restart"/>
            <w:tcBorders>
              <w:top w:val="single" w:sz="8" w:space="0" w:color="7F9DB9"/>
              <w:left w:val="single" w:sz="8" w:space="0" w:color="7F9DB9"/>
              <w:bottom w:val="single" w:sz="4" w:space="0" w:color="auto"/>
              <w:right w:val="single" w:sz="4" w:space="0" w:color="auto"/>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SSI</w:t>
            </w:r>
          </w:p>
        </w:tc>
        <w:tc>
          <w:tcPr>
            <w:tcW w:w="3150" w:type="dxa"/>
            <w:tcBorders>
              <w:top w:val="single" w:sz="8" w:space="0" w:color="7F9DB9"/>
              <w:left w:val="single" w:sz="4" w:space="0" w:color="auto"/>
              <w:bottom w:val="single" w:sz="4" w:space="0" w:color="auto"/>
              <w:right w:val="single" w:sz="4" w:space="0" w:color="auto"/>
            </w:tcBorders>
            <w:shd w:val="clear" w:color="auto" w:fill="FFFFFF"/>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SSI - Abdominal Hysterectomy</w:t>
            </w:r>
          </w:p>
        </w:tc>
        <w:tc>
          <w:tcPr>
            <w:tcW w:w="2070" w:type="dxa"/>
            <w:tcBorders>
              <w:top w:val="single" w:sz="8" w:space="0" w:color="7F9DB9"/>
              <w:left w:val="single" w:sz="4" w:space="0" w:color="auto"/>
              <w:bottom w:val="single" w:sz="4" w:space="0" w:color="auto"/>
              <w:right w:val="single" w:sz="4" w:space="0" w:color="auto"/>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0.00</w:t>
            </w:r>
          </w:p>
        </w:tc>
        <w:tc>
          <w:tcPr>
            <w:tcW w:w="1890" w:type="dxa"/>
            <w:tcBorders>
              <w:top w:val="single" w:sz="8" w:space="0" w:color="7F9DB9"/>
              <w:left w:val="single" w:sz="4" w:space="0" w:color="auto"/>
              <w:bottom w:val="single" w:sz="4" w:space="0" w:color="auto"/>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0.727</w:t>
            </w:r>
          </w:p>
        </w:tc>
      </w:tr>
      <w:tr w:rsidR="00635971" w:rsidRPr="00635971" w:rsidTr="00635971">
        <w:trPr>
          <w:trHeight w:val="86"/>
        </w:trPr>
        <w:tc>
          <w:tcPr>
            <w:tcW w:w="2790" w:type="dxa"/>
            <w:vMerge/>
            <w:tcBorders>
              <w:top w:val="single" w:sz="4" w:space="0" w:color="auto"/>
              <w:left w:val="single" w:sz="8" w:space="0" w:color="7F9DB9"/>
              <w:bottom w:val="single" w:sz="8" w:space="0" w:color="7F9DB9"/>
              <w:right w:val="single" w:sz="4" w:space="0" w:color="auto"/>
            </w:tcBorders>
            <w:shd w:val="clear" w:color="auto" w:fill="FFFFFF"/>
          </w:tcPr>
          <w:p w:rsidR="00635971" w:rsidRPr="00635971" w:rsidRDefault="00635971" w:rsidP="00635971">
            <w:pPr>
              <w:pBdr>
                <w:top w:val="nil"/>
                <w:left w:val="nil"/>
                <w:bottom w:val="nil"/>
                <w:right w:val="nil"/>
                <w:between w:val="nil"/>
              </w:pBdr>
              <w:spacing w:line="276" w:lineRule="auto"/>
              <w:rPr>
                <w:rFonts w:ascii="Arial" w:eastAsia="Verdana" w:hAnsi="Arial" w:cs="Arial"/>
                <w:color w:val="333333"/>
                <w:sz w:val="18"/>
                <w:szCs w:val="18"/>
              </w:rPr>
            </w:pPr>
          </w:p>
        </w:tc>
        <w:tc>
          <w:tcPr>
            <w:tcW w:w="3150" w:type="dxa"/>
            <w:tcBorders>
              <w:top w:val="single" w:sz="4" w:space="0" w:color="auto"/>
              <w:left w:val="single" w:sz="4" w:space="0" w:color="auto"/>
              <w:bottom w:val="single" w:sz="12" w:space="0" w:color="7F9DB9"/>
              <w:right w:val="single" w:sz="4" w:space="0" w:color="auto"/>
            </w:tcBorders>
            <w:shd w:val="clear" w:color="auto" w:fill="FFFFFF"/>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SSI - Colon Surgery</w:t>
            </w:r>
          </w:p>
        </w:tc>
        <w:tc>
          <w:tcPr>
            <w:tcW w:w="2070" w:type="dxa"/>
            <w:tcBorders>
              <w:top w:val="single" w:sz="4" w:space="0" w:color="auto"/>
              <w:left w:val="single" w:sz="4" w:space="0" w:color="auto"/>
              <w:bottom w:val="single" w:sz="12" w:space="0" w:color="7F9DB9"/>
              <w:right w:val="single" w:sz="4" w:space="0" w:color="auto"/>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0.00</w:t>
            </w:r>
          </w:p>
        </w:tc>
        <w:tc>
          <w:tcPr>
            <w:tcW w:w="1890" w:type="dxa"/>
            <w:tcBorders>
              <w:top w:val="single" w:sz="4" w:space="0" w:color="auto"/>
              <w:left w:val="single" w:sz="4" w:space="0" w:color="auto"/>
              <w:bottom w:val="single" w:sz="12" w:space="0" w:color="7F9DB9"/>
              <w:right w:val="single" w:sz="8" w:space="0" w:color="7F9DB9"/>
            </w:tcBorders>
            <w:shd w:val="clear" w:color="auto" w:fill="FFFFFF"/>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0.749</w:t>
            </w:r>
          </w:p>
        </w:tc>
      </w:tr>
    </w:tbl>
    <w:p w:rsidR="00635971" w:rsidRPr="00850EEF" w:rsidRDefault="00635971" w:rsidP="00635971">
      <w:pPr>
        <w:spacing w:after="120"/>
        <w:rPr>
          <w:rFonts w:ascii="Arial Narrow" w:hAnsi="Arial Narrow" w:cs="Arial"/>
          <w:sz w:val="20"/>
          <w:szCs w:val="20"/>
        </w:rPr>
      </w:pPr>
      <w:r w:rsidRPr="00850EEF">
        <w:rPr>
          <w:rFonts w:ascii="Arial Narrow" w:hAnsi="Arial Narrow" w:cs="Arial"/>
          <w:sz w:val="20"/>
          <w:szCs w:val="20"/>
        </w:rPr>
        <w:t>*The Safety Domain performance standards were published in the CMS Inpatient Prospective Payment System FFY 20 Final Rule.</w:t>
      </w:r>
    </w:p>
    <w:tbl>
      <w:tblPr>
        <w:tblW w:w="9630" w:type="dxa"/>
        <w:tblLayout w:type="fixed"/>
        <w:tblLook w:val="0000" w:firstRow="0" w:lastRow="0" w:firstColumn="0" w:lastColumn="0" w:noHBand="0" w:noVBand="0"/>
      </w:tblPr>
      <w:tblGrid>
        <w:gridCol w:w="2790"/>
        <w:gridCol w:w="3420"/>
        <w:gridCol w:w="1800"/>
        <w:gridCol w:w="1620"/>
      </w:tblGrid>
      <w:tr w:rsidR="00635971" w:rsidRPr="00635971" w:rsidTr="00635971">
        <w:trPr>
          <w:trHeight w:val="300"/>
        </w:trPr>
        <w:tc>
          <w:tcPr>
            <w:tcW w:w="6210" w:type="dxa"/>
            <w:gridSpan w:val="2"/>
            <w:tcBorders>
              <w:top w:val="single" w:sz="24" w:space="0" w:color="7F9DB9"/>
              <w:left w:val="single" w:sz="8" w:space="0" w:color="7F9DB9"/>
              <w:bottom w:val="single" w:sz="8" w:space="0" w:color="7F9DB9"/>
              <w:right w:val="single" w:sz="8" w:space="0" w:color="7F9DB9"/>
            </w:tcBorders>
            <w:vAlign w:val="center"/>
          </w:tcPr>
          <w:p w:rsidR="00635971" w:rsidRPr="00635971" w:rsidRDefault="00635971" w:rsidP="00635971">
            <w:pPr>
              <w:ind w:firstLine="160"/>
              <w:rPr>
                <w:rFonts w:ascii="Arial" w:eastAsia="Verdana" w:hAnsi="Arial" w:cs="Arial"/>
                <w:color w:val="333333"/>
                <w:sz w:val="16"/>
                <w:szCs w:val="16"/>
              </w:rPr>
            </w:pPr>
            <w:r w:rsidRPr="00635971">
              <w:rPr>
                <w:rFonts w:ascii="Arial" w:eastAsia="Verdana" w:hAnsi="Arial" w:cs="Arial"/>
                <w:b/>
                <w:color w:val="333333"/>
              </w:rPr>
              <w:t>Clinical Care Domain</w:t>
            </w:r>
          </w:p>
        </w:tc>
        <w:tc>
          <w:tcPr>
            <w:tcW w:w="1800" w:type="dxa"/>
            <w:tcBorders>
              <w:top w:val="single" w:sz="24" w:space="0" w:color="7F9DB9"/>
              <w:left w:val="nil"/>
              <w:bottom w:val="single" w:sz="8" w:space="0" w:color="7F9DB9"/>
              <w:right w:val="single" w:sz="8" w:space="0" w:color="7F9DB9"/>
            </w:tcBorders>
            <w:vAlign w:val="center"/>
          </w:tcPr>
          <w:p w:rsidR="00635971" w:rsidRPr="00635971" w:rsidRDefault="00635971" w:rsidP="00635971">
            <w:pPr>
              <w:ind w:firstLine="160"/>
              <w:rPr>
                <w:rFonts w:ascii="Arial" w:eastAsia="Verdana" w:hAnsi="Arial" w:cs="Arial"/>
                <w:color w:val="333333"/>
                <w:sz w:val="16"/>
                <w:szCs w:val="16"/>
              </w:rPr>
            </w:pPr>
          </w:p>
        </w:tc>
        <w:tc>
          <w:tcPr>
            <w:tcW w:w="1620" w:type="dxa"/>
            <w:tcBorders>
              <w:top w:val="single" w:sz="24" w:space="0" w:color="7F9DB9"/>
              <w:left w:val="nil"/>
              <w:bottom w:val="single" w:sz="8" w:space="0" w:color="7F9DB9"/>
              <w:right w:val="single" w:sz="8" w:space="0" w:color="7F9DB9"/>
            </w:tcBorders>
            <w:vAlign w:val="center"/>
          </w:tcPr>
          <w:p w:rsidR="00635971" w:rsidRPr="00635971" w:rsidRDefault="00635971" w:rsidP="00635971">
            <w:pPr>
              <w:ind w:firstLine="160"/>
              <w:rPr>
                <w:rFonts w:ascii="Arial" w:eastAsia="Verdana" w:hAnsi="Arial" w:cs="Arial"/>
                <w:color w:val="333333"/>
                <w:sz w:val="16"/>
                <w:szCs w:val="16"/>
              </w:rPr>
            </w:pPr>
          </w:p>
        </w:tc>
      </w:tr>
      <w:tr w:rsidR="00635971" w:rsidRPr="00635971" w:rsidTr="00635971">
        <w:trPr>
          <w:trHeight w:val="300"/>
        </w:trPr>
        <w:tc>
          <w:tcPr>
            <w:tcW w:w="2790" w:type="dxa"/>
            <w:tcBorders>
              <w:top w:val="nil"/>
              <w:left w:val="single" w:sz="8" w:space="0" w:color="7F9DB9"/>
              <w:bottom w:val="nil"/>
              <w:right w:val="single" w:sz="8" w:space="0" w:color="7F9DB9"/>
            </w:tcBorders>
            <w:shd w:val="clear" w:color="auto" w:fill="DEEAF6"/>
            <w:vAlign w:val="center"/>
          </w:tcPr>
          <w:p w:rsidR="00635971" w:rsidRPr="00635971" w:rsidRDefault="00635971" w:rsidP="00635971">
            <w:pPr>
              <w:rPr>
                <w:rFonts w:ascii="Arial" w:eastAsia="Verdana" w:hAnsi="Arial" w:cs="Arial"/>
                <w:color w:val="333333"/>
                <w:sz w:val="16"/>
                <w:szCs w:val="16"/>
              </w:rPr>
            </w:pPr>
            <w:r w:rsidRPr="00635971">
              <w:rPr>
                <w:rFonts w:ascii="Arial" w:eastAsia="Verdana" w:hAnsi="Arial" w:cs="Arial"/>
                <w:b/>
                <w:color w:val="333333"/>
                <w:sz w:val="16"/>
                <w:szCs w:val="16"/>
              </w:rPr>
              <w:t>Measure Short ID</w:t>
            </w:r>
          </w:p>
        </w:tc>
        <w:tc>
          <w:tcPr>
            <w:tcW w:w="3420" w:type="dxa"/>
            <w:tcBorders>
              <w:top w:val="nil"/>
              <w:left w:val="nil"/>
              <w:bottom w:val="nil"/>
              <w:right w:val="single" w:sz="8" w:space="0" w:color="7F9DB9"/>
            </w:tcBorders>
            <w:shd w:val="clear" w:color="auto" w:fill="DEEAF6"/>
          </w:tcPr>
          <w:p w:rsidR="00635971" w:rsidRPr="00635971" w:rsidRDefault="00635971" w:rsidP="00635971">
            <w:pPr>
              <w:ind w:firstLine="161"/>
              <w:rPr>
                <w:rFonts w:ascii="Arial" w:eastAsia="Verdana" w:hAnsi="Arial" w:cs="Arial"/>
                <w:color w:val="333333"/>
                <w:sz w:val="16"/>
                <w:szCs w:val="16"/>
              </w:rPr>
            </w:pPr>
            <w:r w:rsidRPr="00635971">
              <w:rPr>
                <w:rFonts w:ascii="Arial" w:eastAsia="Verdana" w:hAnsi="Arial" w:cs="Arial"/>
                <w:b/>
                <w:color w:val="333333"/>
                <w:sz w:val="16"/>
                <w:szCs w:val="16"/>
              </w:rPr>
              <w:t>Measure Description</w:t>
            </w:r>
          </w:p>
        </w:tc>
        <w:tc>
          <w:tcPr>
            <w:tcW w:w="1800" w:type="dxa"/>
            <w:tcBorders>
              <w:top w:val="nil"/>
              <w:left w:val="nil"/>
              <w:bottom w:val="nil"/>
              <w:right w:val="single" w:sz="8" w:space="0" w:color="7F9DB9"/>
            </w:tcBorders>
            <w:shd w:val="clear" w:color="auto" w:fill="DEEAF6"/>
            <w:vAlign w:val="center"/>
          </w:tcPr>
          <w:p w:rsidR="00635971" w:rsidRPr="00635971" w:rsidRDefault="00635971" w:rsidP="00635971">
            <w:pPr>
              <w:ind w:firstLine="161"/>
              <w:rPr>
                <w:rFonts w:ascii="Arial" w:eastAsia="Verdana" w:hAnsi="Arial" w:cs="Arial"/>
                <w:color w:val="333333"/>
                <w:sz w:val="16"/>
                <w:szCs w:val="16"/>
              </w:rPr>
            </w:pPr>
            <w:r w:rsidRPr="00635971">
              <w:rPr>
                <w:rFonts w:ascii="Arial" w:eastAsia="Verdana" w:hAnsi="Arial" w:cs="Arial"/>
                <w:b/>
                <w:color w:val="333333"/>
                <w:sz w:val="16"/>
                <w:szCs w:val="16"/>
              </w:rPr>
              <w:t>Benchmark</w:t>
            </w:r>
          </w:p>
        </w:tc>
        <w:tc>
          <w:tcPr>
            <w:tcW w:w="1620" w:type="dxa"/>
            <w:tcBorders>
              <w:top w:val="nil"/>
              <w:left w:val="nil"/>
              <w:bottom w:val="nil"/>
              <w:right w:val="single" w:sz="8" w:space="0" w:color="7F9DB9"/>
            </w:tcBorders>
            <w:shd w:val="clear" w:color="auto" w:fill="DEEAF6"/>
            <w:vAlign w:val="center"/>
          </w:tcPr>
          <w:p w:rsidR="00635971" w:rsidRPr="00635971" w:rsidRDefault="00635971" w:rsidP="00635971">
            <w:pPr>
              <w:ind w:firstLine="161"/>
              <w:rPr>
                <w:rFonts w:ascii="Arial" w:eastAsia="Verdana" w:hAnsi="Arial" w:cs="Arial"/>
                <w:color w:val="333333"/>
                <w:sz w:val="16"/>
                <w:szCs w:val="16"/>
              </w:rPr>
            </w:pPr>
            <w:r w:rsidRPr="00635971">
              <w:rPr>
                <w:rFonts w:ascii="Arial" w:eastAsia="Verdana" w:hAnsi="Arial" w:cs="Arial"/>
                <w:b/>
                <w:color w:val="333333"/>
                <w:sz w:val="16"/>
                <w:szCs w:val="16"/>
              </w:rPr>
              <w:t>Achievement Threshold</w:t>
            </w:r>
          </w:p>
        </w:tc>
      </w:tr>
      <w:tr w:rsidR="00635971" w:rsidRPr="00635971" w:rsidTr="00635971">
        <w:trPr>
          <w:trHeight w:val="300"/>
        </w:trPr>
        <w:tc>
          <w:tcPr>
            <w:tcW w:w="2790" w:type="dxa"/>
            <w:tcBorders>
              <w:top w:val="nil"/>
              <w:left w:val="single" w:sz="8" w:space="0" w:color="7F9DB9"/>
              <w:bottom w:val="single" w:sz="8" w:space="0" w:color="7F9DB9"/>
              <w:right w:val="single" w:sz="8" w:space="0" w:color="7F9DB9"/>
            </w:tcBorders>
            <w:vAlign w:val="center"/>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Mortality</w:t>
            </w:r>
          </w:p>
        </w:tc>
        <w:tc>
          <w:tcPr>
            <w:tcW w:w="3420" w:type="dxa"/>
            <w:tcBorders>
              <w:top w:val="nil"/>
              <w:left w:val="nil"/>
              <w:bottom w:val="single" w:sz="8" w:space="0" w:color="7F9DB9"/>
              <w:right w:val="single" w:sz="8" w:space="0" w:color="7F9DB9"/>
            </w:tcBorders>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All Condition Inpatient Mortality</w:t>
            </w:r>
          </w:p>
        </w:tc>
        <w:tc>
          <w:tcPr>
            <w:tcW w:w="1800" w:type="dxa"/>
            <w:tcBorders>
              <w:top w:val="nil"/>
              <w:left w:val="nil"/>
              <w:bottom w:val="single" w:sz="8" w:space="0" w:color="7F9DB9"/>
              <w:right w:val="single" w:sz="8" w:space="0" w:color="7F9DB9"/>
            </w:tcBorders>
            <w:vAlign w:val="center"/>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TBD*</w:t>
            </w:r>
          </w:p>
        </w:tc>
        <w:tc>
          <w:tcPr>
            <w:tcW w:w="1620" w:type="dxa"/>
            <w:tcBorders>
              <w:top w:val="nil"/>
              <w:left w:val="nil"/>
              <w:bottom w:val="single" w:sz="8" w:space="0" w:color="7F9DB9"/>
              <w:right w:val="single" w:sz="8" w:space="0" w:color="7F9DB9"/>
            </w:tcBorders>
            <w:vAlign w:val="center"/>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color w:val="333333"/>
                <w:sz w:val="18"/>
                <w:szCs w:val="18"/>
              </w:rPr>
              <w:t>TBD*</w:t>
            </w:r>
          </w:p>
        </w:tc>
      </w:tr>
      <w:tr w:rsidR="00635971" w:rsidRPr="00635971" w:rsidTr="00635971">
        <w:trPr>
          <w:trHeight w:val="300"/>
        </w:trPr>
        <w:tc>
          <w:tcPr>
            <w:tcW w:w="2790" w:type="dxa"/>
            <w:tcBorders>
              <w:top w:val="single" w:sz="8" w:space="0" w:color="7F9DB9"/>
              <w:left w:val="single" w:sz="8" w:space="0" w:color="7F9DB9"/>
              <w:bottom w:val="single" w:sz="12" w:space="0" w:color="7F9DB9"/>
              <w:right w:val="single" w:sz="8" w:space="0" w:color="7F9DB9"/>
            </w:tcBorders>
            <w:vAlign w:val="center"/>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THA/TKA RSCR**</w:t>
            </w:r>
          </w:p>
        </w:tc>
        <w:tc>
          <w:tcPr>
            <w:tcW w:w="3420" w:type="dxa"/>
            <w:tcBorders>
              <w:top w:val="single" w:sz="8" w:space="0" w:color="7F9DB9"/>
              <w:left w:val="nil"/>
              <w:bottom w:val="single" w:sz="12" w:space="0" w:color="7F9DB9"/>
              <w:right w:val="single" w:sz="8" w:space="0" w:color="7F9DB9"/>
            </w:tcBorders>
          </w:tcPr>
          <w:p w:rsidR="00635971" w:rsidRPr="00635971" w:rsidRDefault="00635971" w:rsidP="00635971">
            <w:pPr>
              <w:rPr>
                <w:rFonts w:ascii="Arial" w:eastAsia="Verdana" w:hAnsi="Arial" w:cs="Arial"/>
                <w:color w:val="333333"/>
                <w:sz w:val="18"/>
                <w:szCs w:val="18"/>
              </w:rPr>
            </w:pPr>
            <w:r w:rsidRPr="00635971">
              <w:rPr>
                <w:rFonts w:ascii="Arial" w:eastAsia="Verdana" w:hAnsi="Arial" w:cs="Arial"/>
                <w:color w:val="333333"/>
                <w:sz w:val="18"/>
                <w:szCs w:val="18"/>
              </w:rPr>
              <w:t>Total Hip/Knee Arthroplasty Risk Standardized Complication Rate</w:t>
            </w:r>
          </w:p>
        </w:tc>
        <w:tc>
          <w:tcPr>
            <w:tcW w:w="1800" w:type="dxa"/>
            <w:tcBorders>
              <w:top w:val="single" w:sz="8" w:space="0" w:color="7F9DB9"/>
              <w:left w:val="nil"/>
              <w:bottom w:val="single" w:sz="12" w:space="0" w:color="7F9DB9"/>
              <w:right w:val="single" w:sz="8" w:space="0" w:color="7F9DB9"/>
            </w:tcBorders>
            <w:vAlign w:val="center"/>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0.021493</w:t>
            </w:r>
          </w:p>
        </w:tc>
        <w:tc>
          <w:tcPr>
            <w:tcW w:w="1620" w:type="dxa"/>
            <w:tcBorders>
              <w:top w:val="single" w:sz="8" w:space="0" w:color="7F9DB9"/>
              <w:left w:val="nil"/>
              <w:bottom w:val="single" w:sz="12" w:space="0" w:color="7F9DB9"/>
              <w:right w:val="single" w:sz="8" w:space="0" w:color="7F9DB9"/>
            </w:tcBorders>
            <w:vAlign w:val="center"/>
          </w:tcPr>
          <w:p w:rsidR="00635971" w:rsidRPr="00635971" w:rsidRDefault="00635971" w:rsidP="00635971">
            <w:pPr>
              <w:ind w:firstLine="180"/>
              <w:rPr>
                <w:rFonts w:ascii="Arial" w:eastAsia="Verdana" w:hAnsi="Arial" w:cs="Arial"/>
                <w:color w:val="333333"/>
                <w:sz w:val="18"/>
                <w:szCs w:val="18"/>
              </w:rPr>
            </w:pPr>
            <w:r w:rsidRPr="00635971">
              <w:rPr>
                <w:rFonts w:ascii="Arial" w:eastAsia="Verdana" w:hAnsi="Arial" w:cs="Arial"/>
                <w:sz w:val="18"/>
                <w:szCs w:val="18"/>
              </w:rPr>
              <w:t>0.029833</w:t>
            </w:r>
          </w:p>
        </w:tc>
      </w:tr>
    </w:tbl>
    <w:p w:rsidR="00635971" w:rsidRPr="00850EEF" w:rsidRDefault="00635971" w:rsidP="00635971">
      <w:pPr>
        <w:rPr>
          <w:rFonts w:ascii="Arial Narrow" w:hAnsi="Arial Narrow" w:cs="Arial"/>
          <w:sz w:val="20"/>
          <w:szCs w:val="20"/>
        </w:rPr>
      </w:pPr>
      <w:bookmarkStart w:id="1" w:name="_4i7ojhp" w:colFirst="0" w:colLast="0"/>
      <w:bookmarkEnd w:id="1"/>
      <w:r w:rsidRPr="00850EEF">
        <w:rPr>
          <w:rFonts w:ascii="Arial Narrow" w:hAnsi="Arial Narrow" w:cs="Arial"/>
          <w:sz w:val="20"/>
          <w:szCs w:val="20"/>
        </w:rPr>
        <w:t>*Mortality standards will be calculated by HSCRC staff and disseminated with implementation of v. 37 of the APR DRG grouper.</w:t>
      </w:r>
    </w:p>
    <w:p w:rsidR="004F60CA" w:rsidRPr="00850EEF" w:rsidRDefault="00635971" w:rsidP="00635971">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rFonts w:ascii="Arial Narrow" w:hAnsi="Arial Narrow"/>
          <w:b w:val="0"/>
          <w:color w:val="auto"/>
        </w:rPr>
      </w:pPr>
      <w:bookmarkStart w:id="2" w:name="_2xcytpi" w:colFirst="0" w:colLast="0"/>
      <w:bookmarkEnd w:id="2"/>
      <w:r w:rsidRPr="00850EEF">
        <w:rPr>
          <w:rFonts w:ascii="Arial Narrow" w:hAnsi="Arial Narrow"/>
          <w:b w:val="0"/>
          <w:color w:val="auto"/>
          <w:sz w:val="20"/>
          <w:szCs w:val="20"/>
        </w:rPr>
        <w:t>**THA/TKA standards were published in the CMS Inpatient Prospective Payment System FFY 20 Final Rule.</w:t>
      </w:r>
    </w:p>
    <w:p w:rsidR="00850EEF" w:rsidRDefault="00850EEF" w:rsidP="00850EEF">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p>
    <w:p w:rsidR="00850EEF" w:rsidRDefault="00850EEF" w:rsidP="00850EEF">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auto"/>
          <w:sz w:val="22"/>
          <w:szCs w:val="22"/>
        </w:rPr>
      </w:pPr>
      <w:r>
        <w:rPr>
          <w:b w:val="0"/>
          <w:color w:val="auto"/>
          <w:sz w:val="22"/>
          <w:szCs w:val="22"/>
        </w:rPr>
        <w:lastRenderedPageBreak/>
        <w:t xml:space="preserve">HSCRC staff anticipates that the following will be provided via the CRISP </w:t>
      </w:r>
      <w:r>
        <w:rPr>
          <w:b w:val="0"/>
          <w:color w:val="000000"/>
          <w:sz w:val="22"/>
          <w:szCs w:val="22"/>
        </w:rPr>
        <w:t>Reporting Services (CRS) Portal</w:t>
      </w:r>
      <w:r>
        <w:rPr>
          <w:b w:val="0"/>
          <w:color w:val="auto"/>
          <w:sz w:val="22"/>
          <w:szCs w:val="22"/>
        </w:rPr>
        <w:t xml:space="preserve"> with the February 2020 updates, and will also be posted to the HSCRC Website:</w:t>
      </w:r>
    </w:p>
    <w:p w:rsidR="00850EEF" w:rsidRDefault="00850EEF" w:rsidP="00850EEF">
      <w:pPr>
        <w:pStyle w:val="WP9Heading"/>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b w:val="0"/>
          <w:color w:val="000000"/>
          <w:sz w:val="22"/>
          <w:szCs w:val="22"/>
        </w:rPr>
      </w:pPr>
      <w:r w:rsidRPr="00635971">
        <w:rPr>
          <w:b w:val="0"/>
          <w:color w:val="000000"/>
          <w:sz w:val="22"/>
          <w:szCs w:val="22"/>
        </w:rPr>
        <w:t>An excel workbook with base year data</w:t>
      </w:r>
      <w:r>
        <w:rPr>
          <w:b w:val="0"/>
          <w:color w:val="000000"/>
          <w:sz w:val="22"/>
          <w:szCs w:val="22"/>
        </w:rPr>
        <w:t>.</w:t>
      </w:r>
    </w:p>
    <w:p w:rsidR="00850EEF" w:rsidRPr="00850EEF" w:rsidRDefault="00850EEF" w:rsidP="00850EEF">
      <w:pPr>
        <w:pStyle w:val="WP9Heading"/>
        <w:widowControl/>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b w:val="0"/>
          <w:color w:val="auto"/>
          <w:sz w:val="22"/>
          <w:szCs w:val="22"/>
        </w:rPr>
      </w:pPr>
      <w:r w:rsidRPr="00850EEF">
        <w:rPr>
          <w:b w:val="0"/>
          <w:color w:val="000000"/>
          <w:sz w:val="22"/>
          <w:szCs w:val="22"/>
        </w:rPr>
        <w:t>A score calculation workbook containing a worksheet for each domain for hospitals to use to calculate and monitor their scores</w:t>
      </w:r>
      <w:r>
        <w:rPr>
          <w:b w:val="0"/>
          <w:color w:val="000000"/>
          <w:sz w:val="22"/>
          <w:szCs w:val="22"/>
        </w:rPr>
        <w:t>.</w:t>
      </w:r>
    </w:p>
    <w:p w:rsidR="004F60CA" w:rsidRDefault="00832876"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b w:val="0"/>
          <w:color w:val="auto"/>
          <w:sz w:val="22"/>
          <w:szCs w:val="22"/>
        </w:rPr>
      </w:pPr>
      <w:r>
        <w:rPr>
          <w:b w:val="0"/>
          <w:color w:val="auto"/>
          <w:sz w:val="22"/>
          <w:szCs w:val="22"/>
        </w:rPr>
        <w:t>For</w:t>
      </w:r>
      <w:r w:rsidR="004F60CA" w:rsidRPr="00D95FDB">
        <w:rPr>
          <w:b w:val="0"/>
          <w:color w:val="auto"/>
          <w:sz w:val="22"/>
          <w:szCs w:val="22"/>
        </w:rPr>
        <w:t xml:space="preserve"> any questions, please email </w:t>
      </w:r>
      <w:hyperlink r:id="rId15" w:history="1">
        <w:r w:rsidR="004F60CA" w:rsidRPr="001E15C4">
          <w:rPr>
            <w:rStyle w:val="Hyperlink"/>
            <w:b w:val="0"/>
            <w:sz w:val="22"/>
            <w:szCs w:val="22"/>
          </w:rPr>
          <w:t>hscrc.quality@maryland.gov</w:t>
        </w:r>
      </w:hyperlink>
      <w:r w:rsidR="004F60CA">
        <w:rPr>
          <w:b w:val="0"/>
          <w:color w:val="auto"/>
          <w:sz w:val="22"/>
          <w:szCs w:val="22"/>
        </w:rPr>
        <w:t xml:space="preserve"> or call Dianne Feeney (410-</w:t>
      </w:r>
      <w:r w:rsidR="00985CED">
        <w:rPr>
          <w:b w:val="0"/>
          <w:color w:val="auto"/>
          <w:sz w:val="22"/>
          <w:szCs w:val="22"/>
        </w:rPr>
        <w:t xml:space="preserve">764-2582) or Alyson Schuster </w:t>
      </w:r>
      <w:r w:rsidR="004F60CA">
        <w:rPr>
          <w:b w:val="0"/>
          <w:color w:val="auto"/>
          <w:sz w:val="22"/>
          <w:szCs w:val="22"/>
        </w:rPr>
        <w:t>(410-764-2673).</w:t>
      </w:r>
    </w:p>
    <w:p w:rsidR="004F60CA" w:rsidRDefault="004F60CA" w:rsidP="004F60CA">
      <w:pPr>
        <w:pStyle w:val="WP9Head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jc w:val="left"/>
        <w:rPr>
          <w:bCs w:val="0"/>
          <w:sz w:val="22"/>
          <w:szCs w:val="22"/>
        </w:rPr>
      </w:pPr>
      <w:r>
        <w:rPr>
          <w:b w:val="0"/>
          <w:color w:val="auto"/>
          <w:sz w:val="22"/>
          <w:szCs w:val="22"/>
        </w:rPr>
        <w:tab/>
      </w:r>
      <w:r>
        <w:rPr>
          <w:b w:val="0"/>
          <w:color w:val="auto"/>
          <w:sz w:val="22"/>
          <w:szCs w:val="22"/>
        </w:rPr>
        <w:tab/>
      </w:r>
    </w:p>
    <w:p w:rsidR="004F60CA" w:rsidRPr="008F6F32" w:rsidRDefault="004F60CA" w:rsidP="004F60CA">
      <w:pPr>
        <w:pStyle w:val="Heading2"/>
      </w:pPr>
      <w:r>
        <w:br w:type="page"/>
      </w:r>
      <w:r w:rsidR="00DC2EC9">
        <w:lastRenderedPageBreak/>
        <w:t>Appendix A:  RY 2022</w:t>
      </w:r>
      <w:r>
        <w:t xml:space="preserve"> QBR Preset Payment Scale</w:t>
      </w:r>
    </w:p>
    <w:p w:rsidR="004F60CA" w:rsidRPr="00055826" w:rsidRDefault="004F60CA" w:rsidP="004F60CA">
      <w:pPr>
        <w:rPr>
          <w:rFonts w:ascii="Arial" w:hAnsi="Arial" w:cs="Arial"/>
          <w:sz w:val="22"/>
          <w:szCs w:val="22"/>
        </w:rPr>
      </w:pPr>
      <w:r w:rsidRPr="00055826">
        <w:rPr>
          <w:rFonts w:ascii="Arial" w:hAnsi="Arial" w:cs="Arial"/>
          <w:sz w:val="22"/>
          <w:szCs w:val="22"/>
        </w:rPr>
        <w:t>Please see below for approximate revenue adjustments associated with QBR scores.</w:t>
      </w:r>
    </w:p>
    <w:tbl>
      <w:tblPr>
        <w:tblW w:w="0" w:type="auto"/>
        <w:tblLook w:val="04A0" w:firstRow="1" w:lastRow="0" w:firstColumn="1" w:lastColumn="0" w:noHBand="0" w:noVBand="1"/>
      </w:tblPr>
      <w:tblGrid>
        <w:gridCol w:w="4266"/>
        <w:gridCol w:w="4160"/>
      </w:tblGrid>
      <w:tr w:rsidR="004F60CA" w:rsidTr="00635971">
        <w:trPr>
          <w:trHeight w:val="10222"/>
        </w:trPr>
        <w:tc>
          <w:tcPr>
            <w:tcW w:w="4196" w:type="dxa"/>
            <w:shd w:val="clear" w:color="auto" w:fill="auto"/>
          </w:tcPr>
          <w:p w:rsidR="004F60CA" w:rsidRPr="0054450D" w:rsidRDefault="0013234D" w:rsidP="00635971">
            <w:pPr>
              <w:rPr>
                <w:rFonts w:ascii="Calibri" w:eastAsia="Calibri" w:hAnsi="Calibri"/>
                <w:sz w:val="22"/>
                <w:szCs w:val="22"/>
              </w:rPr>
            </w:pPr>
            <w:r>
              <w:rPr>
                <w:rFonts w:ascii="Calibri" w:eastAsia="Calibri" w:hAnsi="Calibri"/>
                <w:noProof/>
                <w:sz w:val="22"/>
                <w:szCs w:val="22"/>
              </w:rPr>
              <w:drawing>
                <wp:inline distT="0" distB="0" distL="0" distR="0" wp14:anchorId="6424202A" wp14:editId="1E277BEA">
                  <wp:extent cx="2568271" cy="7273644"/>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099" cy="7335463"/>
                          </a:xfrm>
                          <a:prstGeom prst="rect">
                            <a:avLst/>
                          </a:prstGeom>
                          <a:noFill/>
                          <a:ln>
                            <a:noFill/>
                          </a:ln>
                        </pic:spPr>
                      </pic:pic>
                    </a:graphicData>
                  </a:graphic>
                </wp:inline>
              </w:drawing>
            </w:r>
          </w:p>
        </w:tc>
        <w:tc>
          <w:tcPr>
            <w:tcW w:w="4072" w:type="dxa"/>
            <w:shd w:val="clear" w:color="auto" w:fill="auto"/>
          </w:tcPr>
          <w:p w:rsidR="004F60CA" w:rsidRPr="0054450D" w:rsidRDefault="0013234D" w:rsidP="00635971">
            <w:pPr>
              <w:rPr>
                <w:rFonts w:ascii="Calibri" w:eastAsia="Calibri" w:hAnsi="Calibri"/>
                <w:sz w:val="22"/>
                <w:szCs w:val="22"/>
              </w:rPr>
            </w:pPr>
            <w:r>
              <w:rPr>
                <w:rFonts w:ascii="Calibri" w:eastAsia="Calibri" w:hAnsi="Calibri"/>
                <w:noProof/>
                <w:sz w:val="22"/>
                <w:szCs w:val="22"/>
              </w:rPr>
              <w:drawing>
                <wp:inline distT="0" distB="0" distL="0" distR="0" wp14:anchorId="58F2D98D" wp14:editId="317747E1">
                  <wp:extent cx="2504661" cy="7258791"/>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8321" cy="7269399"/>
                          </a:xfrm>
                          <a:prstGeom prst="rect">
                            <a:avLst/>
                          </a:prstGeom>
                          <a:noFill/>
                          <a:ln>
                            <a:noFill/>
                          </a:ln>
                        </pic:spPr>
                      </pic:pic>
                    </a:graphicData>
                  </a:graphic>
                </wp:inline>
              </w:drawing>
            </w:r>
          </w:p>
        </w:tc>
      </w:tr>
    </w:tbl>
    <w:p w:rsidR="004F60CA" w:rsidRDefault="004F60CA" w:rsidP="00100CF9">
      <w:pPr>
        <w:sectPr w:rsidR="004F60CA" w:rsidSect="004F60CA">
          <w:headerReference w:type="default" r:id="rId18"/>
          <w:pgSz w:w="12240" w:h="15840" w:code="1"/>
          <w:pgMar w:top="810" w:right="1440" w:bottom="1080" w:left="1440" w:header="1080" w:footer="1008" w:gutter="0"/>
          <w:cols w:space="720"/>
          <w:formProt w:val="0"/>
          <w:noEndnote/>
        </w:sectPr>
      </w:pPr>
      <w:r w:rsidRPr="00542591">
        <w:rPr>
          <w:rFonts w:ascii="Arial" w:hAnsi="Arial" w:cs="Arial"/>
          <w:color w:val="000000"/>
          <w:sz w:val="20"/>
          <w:szCs w:val="20"/>
        </w:rPr>
        <w:t xml:space="preserve">*For </w:t>
      </w:r>
      <w:r w:rsidR="006F635F">
        <w:rPr>
          <w:rFonts w:ascii="Arial" w:hAnsi="Arial" w:cs="Arial"/>
          <w:color w:val="000000"/>
          <w:sz w:val="20"/>
          <w:szCs w:val="20"/>
        </w:rPr>
        <w:t>RY 2022</w:t>
      </w:r>
      <w:r>
        <w:rPr>
          <w:rFonts w:ascii="Arial" w:hAnsi="Arial" w:cs="Arial"/>
          <w:color w:val="000000"/>
          <w:sz w:val="20"/>
          <w:szCs w:val="20"/>
        </w:rPr>
        <w:t>, hospitals receiving a score from 0.00 to 0.40 will receive a penalty, and hospitals receiving 0.42 and above will receive a reward. Any hospital receiving a score of 0.80 or higher will receive the maximum reward.</w:t>
      </w:r>
    </w:p>
    <w:p w:rsidR="004F60CA" w:rsidRPr="00055826" w:rsidRDefault="004F60CA" w:rsidP="004F60CA">
      <w:pPr>
        <w:widowControl/>
        <w:autoSpaceDE/>
        <w:autoSpaceDN/>
        <w:adjustRightInd/>
        <w:spacing w:after="160" w:line="259" w:lineRule="auto"/>
        <w:rPr>
          <w:rFonts w:ascii="Arial" w:hAnsi="Arial" w:cs="Arial"/>
          <w:sz w:val="22"/>
          <w:szCs w:val="22"/>
        </w:rPr>
        <w:sectPr w:rsidR="004F60CA" w:rsidRPr="00055826" w:rsidSect="00635971">
          <w:type w:val="continuous"/>
          <w:pgSz w:w="12240" w:h="15840" w:code="1"/>
          <w:pgMar w:top="1080" w:right="1440" w:bottom="1440" w:left="1440" w:header="1080" w:footer="1008" w:gutter="0"/>
          <w:cols w:space="720"/>
          <w:formProt w:val="0"/>
          <w:noEndnote/>
        </w:sectPr>
      </w:pPr>
    </w:p>
    <w:p w:rsidR="004F60CA" w:rsidRPr="004C6AED" w:rsidRDefault="00875FC6" w:rsidP="004F60CA">
      <w:pPr>
        <w:pStyle w:val="Heading2"/>
        <w:rPr>
          <w:b/>
        </w:rPr>
      </w:pPr>
      <w:r>
        <w:lastRenderedPageBreak/>
        <w:t>Appendix B</w:t>
      </w:r>
      <w:r w:rsidR="006F635F">
        <w:t>:  RY 2022</w:t>
      </w:r>
      <w:r w:rsidR="004F60CA" w:rsidRPr="004C6AED">
        <w:t xml:space="preserve"> QBR Methodology</w:t>
      </w:r>
      <w:r>
        <w:t>: Converting Performance Scores to Payment Adj</w:t>
      </w:r>
      <w:r w:rsidR="00100CF9">
        <w:t>u</w:t>
      </w:r>
      <w:r>
        <w:t>stments</w:t>
      </w:r>
    </w:p>
    <w:p w:rsidR="004F60CA" w:rsidRDefault="004F60CA" w:rsidP="004F60CA"/>
    <w:p w:rsidR="00875FC6" w:rsidRDefault="00875FC6" w:rsidP="004F60CA"/>
    <w:p w:rsidR="00875FC6" w:rsidRDefault="00875FC6" w:rsidP="004F60CA">
      <w:pPr>
        <w:sectPr w:rsidR="00875FC6" w:rsidSect="00635971">
          <w:pgSz w:w="15840" w:h="12240" w:orient="landscape" w:code="1"/>
          <w:pgMar w:top="1440" w:right="1080" w:bottom="1440" w:left="1440" w:header="1080" w:footer="1008" w:gutter="0"/>
          <w:cols w:space="720"/>
          <w:formProt w:val="0"/>
          <w:noEndnote/>
          <w:docGrid w:linePitch="326"/>
        </w:sectPr>
      </w:pPr>
      <w:r>
        <w:rPr>
          <w:noProof/>
        </w:rPr>
        <w:drawing>
          <wp:inline distT="0" distB="0" distL="0" distR="0" wp14:anchorId="6FB1CC19" wp14:editId="6700932F">
            <wp:extent cx="8382586" cy="4588814"/>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96480" cy="4596420"/>
                    </a:xfrm>
                    <a:prstGeom prst="rect">
                      <a:avLst/>
                    </a:prstGeom>
                    <a:noFill/>
                  </pic:spPr>
                </pic:pic>
              </a:graphicData>
            </a:graphic>
          </wp:inline>
        </w:drawing>
      </w:r>
    </w:p>
    <w:p w:rsidR="004F60CA" w:rsidRDefault="004F60CA" w:rsidP="004F60CA">
      <w:pPr>
        <w:pStyle w:val="Heading2"/>
        <w:rPr>
          <w:b/>
        </w:rPr>
      </w:pPr>
      <w:r>
        <w:lastRenderedPageBreak/>
        <w:t>A</w:t>
      </w:r>
      <w:r w:rsidR="00F877AD">
        <w:t xml:space="preserve">ppendix </w:t>
      </w:r>
      <w:r w:rsidR="00875FC6">
        <w:t>C</w:t>
      </w:r>
      <w:r w:rsidR="00F877AD">
        <w:t>:  RY 2022</w:t>
      </w:r>
      <w:r>
        <w:t xml:space="preserve"> Maryland Mortality Measure Specifications</w:t>
      </w:r>
    </w:p>
    <w:p w:rsidR="004F60CA" w:rsidRDefault="004F60CA" w:rsidP="004F60CA"/>
    <w:p w:rsidR="004F60CA" w:rsidRPr="00055826" w:rsidRDefault="004F60CA" w:rsidP="004F60CA">
      <w:pPr>
        <w:rPr>
          <w:rFonts w:ascii="Arial" w:hAnsi="Arial" w:cs="Arial"/>
          <w:b/>
          <w:sz w:val="22"/>
          <w:szCs w:val="22"/>
        </w:rPr>
      </w:pPr>
      <w:r w:rsidRPr="00055826">
        <w:rPr>
          <w:rFonts w:ascii="Arial" w:hAnsi="Arial" w:cs="Arial"/>
          <w:b/>
          <w:sz w:val="22"/>
          <w:szCs w:val="22"/>
        </w:rPr>
        <w:t>Inpatient Mortality Rates using 3M, Health Information Systems Risk of Mortality Adjustment</w:t>
      </w:r>
    </w:p>
    <w:p w:rsidR="004F60CA" w:rsidRPr="00055826" w:rsidRDefault="004F60CA" w:rsidP="004F60CA">
      <w:pPr>
        <w:pStyle w:val="ListParagraph"/>
        <w:ind w:left="0"/>
        <w:rPr>
          <w:rFonts w:ascii="Arial" w:hAnsi="Arial" w:cs="Arial"/>
          <w:sz w:val="22"/>
          <w:szCs w:val="22"/>
        </w:rPr>
      </w:pPr>
    </w:p>
    <w:p w:rsidR="004F60CA" w:rsidRPr="00055826" w:rsidRDefault="004F60CA" w:rsidP="004F60CA">
      <w:pPr>
        <w:pStyle w:val="ListParagraph"/>
        <w:ind w:left="0"/>
        <w:rPr>
          <w:rFonts w:ascii="Arial" w:hAnsi="Arial" w:cs="Arial"/>
          <w:sz w:val="22"/>
          <w:szCs w:val="22"/>
        </w:rPr>
      </w:pPr>
      <w:r w:rsidRPr="00055826">
        <w:rPr>
          <w:rFonts w:ascii="Arial" w:hAnsi="Arial" w:cs="Arial"/>
          <w:sz w:val="22"/>
          <w:szCs w:val="22"/>
        </w:rPr>
        <w:t>As 3M Risk of Mortality (ROM) categories--which comprise four levels similar to severity of illness classifications used in the All Patient Refined Diagnosis Related Group (APR DRG) payment classification system-- account for risk adjustment for deaths in the hospital, the ROM may provide an appropriate measure of hospital mortality with a broader focus. 3M APR DRGs and ROM are also used as the risk adjustment methodology for other mortality measures, such as those developed by the Agency for Healthcare Research and Quality.</w:t>
      </w:r>
    </w:p>
    <w:p w:rsidR="004F60CA" w:rsidRPr="00055826" w:rsidRDefault="004F60CA" w:rsidP="004F60CA">
      <w:pPr>
        <w:pStyle w:val="ListParagraph"/>
        <w:ind w:left="0"/>
        <w:rPr>
          <w:rFonts w:ascii="Arial" w:hAnsi="Arial" w:cs="Arial"/>
          <w:sz w:val="22"/>
          <w:szCs w:val="22"/>
        </w:rPr>
      </w:pPr>
    </w:p>
    <w:p w:rsidR="004F60CA" w:rsidRDefault="004F60CA" w:rsidP="004F60CA">
      <w:pPr>
        <w:pStyle w:val="ListParagraph"/>
        <w:ind w:left="0"/>
        <w:rPr>
          <w:rFonts w:ascii="Arial" w:hAnsi="Arial" w:cs="Arial"/>
          <w:b/>
          <w:sz w:val="22"/>
          <w:szCs w:val="22"/>
        </w:rPr>
      </w:pPr>
      <w:r w:rsidRPr="00055826">
        <w:rPr>
          <w:rFonts w:ascii="Arial" w:hAnsi="Arial" w:cs="Arial"/>
          <w:b/>
          <w:sz w:val="22"/>
          <w:szCs w:val="22"/>
        </w:rPr>
        <w:t>Exclusions</w:t>
      </w:r>
    </w:p>
    <w:p w:rsidR="004F60CA" w:rsidRPr="00055826" w:rsidRDefault="004F60CA" w:rsidP="004F60CA">
      <w:pPr>
        <w:pStyle w:val="ListParagraph"/>
        <w:ind w:left="0"/>
        <w:rPr>
          <w:rFonts w:ascii="Arial" w:hAnsi="Arial" w:cs="Arial"/>
          <w:b/>
          <w:sz w:val="22"/>
          <w:szCs w:val="22"/>
        </w:rPr>
      </w:pPr>
    </w:p>
    <w:p w:rsidR="004F60CA" w:rsidRPr="00985CED" w:rsidRDefault="004F60CA" w:rsidP="004F60CA">
      <w:pPr>
        <w:rPr>
          <w:rFonts w:ascii="Arial" w:hAnsi="Arial" w:cs="Arial"/>
          <w:b/>
          <w:sz w:val="22"/>
          <w:szCs w:val="22"/>
        </w:rPr>
      </w:pPr>
      <w:r w:rsidRPr="00985CED">
        <w:rPr>
          <w:rFonts w:ascii="Arial" w:hAnsi="Arial" w:cs="Arial"/>
          <w:sz w:val="22"/>
          <w:szCs w:val="22"/>
        </w:rPr>
        <w:t>The following categories are removed from the denominators</w:t>
      </w:r>
      <w:r w:rsidRPr="00985CED">
        <w:rPr>
          <w:rFonts w:ascii="Arial" w:hAnsi="Arial" w:cs="Arial"/>
          <w:b/>
          <w:sz w:val="22"/>
          <w:szCs w:val="22"/>
        </w:rPr>
        <w:t xml:space="preserve"> </w:t>
      </w:r>
      <w:r w:rsidRPr="00985CED">
        <w:rPr>
          <w:rFonts w:ascii="Arial" w:hAnsi="Arial" w:cs="Arial"/>
          <w:sz w:val="22"/>
          <w:szCs w:val="22"/>
        </w:rPr>
        <w:t>and</w:t>
      </w:r>
      <w:r w:rsidRPr="00985CED">
        <w:rPr>
          <w:rFonts w:ascii="Arial" w:hAnsi="Arial" w:cs="Arial"/>
          <w:b/>
          <w:sz w:val="22"/>
          <w:szCs w:val="22"/>
        </w:rPr>
        <w:t xml:space="preserve"> </w:t>
      </w:r>
      <w:r w:rsidRPr="00985CED">
        <w:rPr>
          <w:rFonts w:ascii="Arial" w:hAnsi="Arial" w:cs="Arial"/>
          <w:sz w:val="22"/>
          <w:szCs w:val="22"/>
        </w:rPr>
        <w:t>therefore not included in the mortality rate calculations (excluded from both mortality counts and denominator)</w:t>
      </w:r>
      <w:r w:rsidRPr="00985CED">
        <w:rPr>
          <w:rFonts w:ascii="Arial" w:hAnsi="Arial" w:cs="Arial"/>
          <w:b/>
          <w:sz w:val="22"/>
          <w:szCs w:val="22"/>
        </w:rPr>
        <w:t>:</w:t>
      </w:r>
    </w:p>
    <w:p w:rsidR="00F356D0" w:rsidRPr="00985CED" w:rsidRDefault="00F356D0" w:rsidP="004F60CA">
      <w:pPr>
        <w:rPr>
          <w:rFonts w:ascii="Arial" w:hAnsi="Arial" w:cs="Arial"/>
          <w:b/>
          <w:sz w:val="22"/>
          <w:szCs w:val="22"/>
        </w:rPr>
      </w:pPr>
    </w:p>
    <w:p w:rsidR="00F356D0" w:rsidRPr="00985CED" w:rsidRDefault="00F356D0" w:rsidP="00F356D0">
      <w:pPr>
        <w:pStyle w:val="ListParagraph"/>
        <w:widowControl/>
        <w:numPr>
          <w:ilvl w:val="0"/>
          <w:numId w:val="6"/>
        </w:numPr>
        <w:autoSpaceDE/>
        <w:autoSpaceDN/>
        <w:adjustRightInd/>
        <w:spacing w:after="160" w:line="259" w:lineRule="auto"/>
        <w:ind w:right="-1170"/>
        <w:contextualSpacing/>
        <w:rPr>
          <w:rFonts w:ascii="Arial" w:hAnsi="Arial" w:cs="Arial"/>
          <w:sz w:val="22"/>
          <w:szCs w:val="22"/>
        </w:rPr>
      </w:pPr>
      <w:r w:rsidRPr="00985CED">
        <w:rPr>
          <w:rFonts w:ascii="Arial" w:hAnsi="Arial" w:cs="Arial"/>
          <w:sz w:val="22"/>
          <w:szCs w:val="22"/>
        </w:rPr>
        <w:t>APR-DRGs that are NOT in the 80% of cumulative deaths after removing all the exclusions.  DRGs are chosen without palliative care discharges and then discharges with palliative care for selected DRGs are added back.  In RY2022 the logic is adjusted to get all DRGs that have same number of observed deaths when selecting the 80%</w:t>
      </w:r>
      <w:r w:rsidRPr="00985CED">
        <w:rPr>
          <w:rFonts w:ascii="Arial" w:hAnsi="Arial" w:cs="Arial"/>
          <w:sz w:val="22"/>
          <w:szCs w:val="22"/>
        </w:rPr>
        <w:tab/>
      </w:r>
      <w:r w:rsidRPr="00985CED">
        <w:rPr>
          <w:rFonts w:ascii="Arial" w:hAnsi="Arial" w:cs="Arial"/>
          <w:sz w:val="22"/>
          <w:szCs w:val="22"/>
        </w:rPr>
        <w:tab/>
      </w:r>
    </w:p>
    <w:p w:rsidR="00F356D0" w:rsidRPr="00985CED" w:rsidRDefault="00F356D0" w:rsidP="00985CED">
      <w:pPr>
        <w:pStyle w:val="ListParagraph"/>
        <w:widowControl/>
        <w:autoSpaceDE/>
        <w:autoSpaceDN/>
        <w:adjustRightInd/>
        <w:spacing w:after="160" w:line="259" w:lineRule="auto"/>
        <w:ind w:right="-1170"/>
        <w:contextualSpacing/>
        <w:rPr>
          <w:rFonts w:ascii="Arial" w:hAnsi="Arial" w:cs="Arial"/>
          <w:sz w:val="22"/>
          <w:szCs w:val="22"/>
        </w:rPr>
      </w:pP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F356D0" w:rsidRPr="00985CED" w:rsidRDefault="00F356D0" w:rsidP="00F356D0">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APR-DRG ROM with a state-wide cell sizes below 20 after removing all the exclusions</w:t>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F356D0" w:rsidRPr="00985CED" w:rsidRDefault="00F356D0" w:rsidP="00F356D0">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Rehab hospitals (provider ids that start with 213)</w:t>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F356D0" w:rsidRPr="00985CED" w:rsidRDefault="00F356D0" w:rsidP="00F356D0">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Hospitals without HCAHPS (RY 2019:  Levindale, UMROI, McCready)</w:t>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F356D0" w:rsidRPr="00985CED" w:rsidRDefault="00F356D0" w:rsidP="00F356D0">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Transfers to other acute hospitals (discharge destination= 40 BEFORE July 1st 2018 02,05,07 AFTER July 1st 2018)</w:t>
      </w:r>
    </w:p>
    <w:p w:rsidR="00F356D0" w:rsidRPr="00985CED" w:rsidRDefault="00F356D0" w:rsidP="00985CED">
      <w:pPr>
        <w:pStyle w:val="ListParagraph"/>
        <w:widowControl/>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F356D0" w:rsidRPr="00985CED" w:rsidRDefault="00F356D0" w:rsidP="00F356D0">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Age and sex unknown</w:t>
      </w:r>
      <w:r w:rsidRPr="00985CED">
        <w:rPr>
          <w:rFonts w:ascii="Arial" w:hAnsi="Arial" w:cs="Arial"/>
          <w:sz w:val="22"/>
          <w:szCs w:val="22"/>
        </w:rPr>
        <w:tab/>
      </w:r>
      <w:r w:rsidRPr="00985CED">
        <w:rPr>
          <w:rFonts w:ascii="Arial" w:hAnsi="Arial" w:cs="Arial"/>
          <w:sz w:val="22"/>
          <w:szCs w:val="22"/>
        </w:rPr>
        <w:tab/>
      </w:r>
    </w:p>
    <w:p w:rsidR="00F356D0" w:rsidRPr="00985CED" w:rsidRDefault="00F356D0" w:rsidP="00985CED">
      <w:pPr>
        <w:pStyle w:val="ListParagraph"/>
        <w:widowControl/>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F356D0" w:rsidRPr="00985CED" w:rsidRDefault="00F356D0" w:rsidP="00F356D0">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Hospice  Daily service=10</w:t>
      </w:r>
      <w:r w:rsidRPr="00985CED">
        <w:rPr>
          <w:rFonts w:ascii="Arial" w:hAnsi="Arial" w:cs="Arial"/>
          <w:sz w:val="22"/>
          <w:szCs w:val="22"/>
        </w:rPr>
        <w:tab/>
      </w:r>
      <w:r w:rsidRPr="00985CED">
        <w:rPr>
          <w:rFonts w:ascii="Arial" w:hAnsi="Arial" w:cs="Arial"/>
          <w:sz w:val="22"/>
          <w:szCs w:val="22"/>
        </w:rPr>
        <w:tab/>
      </w:r>
    </w:p>
    <w:p w:rsidR="00F356D0" w:rsidRPr="00985CED" w:rsidRDefault="00F356D0" w:rsidP="00985CED">
      <w:pPr>
        <w:pStyle w:val="ListParagraph"/>
        <w:widowControl/>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F356D0" w:rsidRPr="00985CED" w:rsidRDefault="00F356D0" w:rsidP="00F356D0">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University of Maryland Shock Trauma Patients (daily service=02, and trauma days&gt;0)</w:t>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F356D0" w:rsidRPr="00985CED" w:rsidRDefault="00F356D0" w:rsidP="00F356D0">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Left Against Medical Advice admissions: (discharge destination=71)</w:t>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F356D0" w:rsidRPr="00985CED" w:rsidRDefault="00F356D0" w:rsidP="00985CED">
      <w:pPr>
        <w:pStyle w:val="ListParagraph"/>
        <w:widowControl/>
        <w:numPr>
          <w:ilvl w:val="0"/>
          <w:numId w:val="6"/>
        </w:numPr>
        <w:autoSpaceDE/>
        <w:autoSpaceDN/>
        <w:adjustRightInd/>
        <w:spacing w:after="160" w:line="259" w:lineRule="auto"/>
        <w:ind w:right="-900"/>
        <w:contextualSpacing/>
        <w:rPr>
          <w:rFonts w:ascii="Arial" w:hAnsi="Arial" w:cs="Arial"/>
          <w:sz w:val="22"/>
          <w:szCs w:val="22"/>
        </w:rPr>
      </w:pPr>
      <w:r w:rsidRPr="00985CED">
        <w:rPr>
          <w:rFonts w:ascii="Arial" w:hAnsi="Arial" w:cs="Arial"/>
          <w:sz w:val="22"/>
          <w:szCs w:val="22"/>
        </w:rPr>
        <w:t xml:space="preserve">Trauma and Burn admissions: Admissions for multiple significant trauma (MDC=25) or extensive 3rd degree burn (APR DRG = 841 “Extensive 3rd degree burns with skin graft” or 843 “Extensive 3rd degree or full thickness burns w/o skin graft”) </w:t>
      </w:r>
    </w:p>
    <w:p w:rsidR="00F356D0" w:rsidRPr="00985CED" w:rsidRDefault="00F356D0" w:rsidP="00985CED">
      <w:pPr>
        <w:pStyle w:val="ListParagraph"/>
        <w:widowControl/>
        <w:autoSpaceDE/>
        <w:autoSpaceDN/>
        <w:adjustRightInd/>
        <w:spacing w:after="160" w:line="259" w:lineRule="auto"/>
        <w:ind w:right="-900"/>
        <w:contextualSpacing/>
        <w:rPr>
          <w:rFonts w:ascii="Arial" w:hAnsi="Arial" w:cs="Arial"/>
          <w:sz w:val="22"/>
          <w:szCs w:val="22"/>
        </w:rPr>
      </w:pPr>
    </w:p>
    <w:p w:rsidR="00F356D0" w:rsidRPr="00985CED" w:rsidRDefault="00F356D0" w:rsidP="00F356D0">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 xml:space="preserve"> Error DRG: Admissions assigned to an error DRG 955 or 956</w:t>
      </w:r>
    </w:p>
    <w:p w:rsidR="00F356D0" w:rsidRPr="00985CED" w:rsidRDefault="00F356D0" w:rsidP="00985CED">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t>Other DRG: Admissions assigned to DRG 589 (Neonate BWT &lt;500G or GA &lt;24 weeks), 591 (NEONATE BIRTHWT 500-749G W/O MAJOR PROCEDURE), 196 (cardiac arrest) due to high risk of mortality in these conditions</w:t>
      </w:r>
    </w:p>
    <w:p w:rsidR="00F356D0" w:rsidRPr="00985CED" w:rsidRDefault="00F356D0" w:rsidP="00985CED">
      <w:pPr>
        <w:pStyle w:val="ListParagraph"/>
        <w:widowControl/>
        <w:autoSpaceDE/>
        <w:autoSpaceDN/>
        <w:adjustRightInd/>
        <w:spacing w:after="160" w:line="259" w:lineRule="auto"/>
        <w:contextualSpacing/>
        <w:rPr>
          <w:rFonts w:ascii="Arial" w:hAnsi="Arial" w:cs="Arial"/>
          <w:sz w:val="22"/>
          <w:szCs w:val="22"/>
        </w:rPr>
      </w:pPr>
    </w:p>
    <w:p w:rsidR="00F356D0" w:rsidRPr="00985CED" w:rsidRDefault="00F356D0" w:rsidP="00985CED">
      <w:pPr>
        <w:pStyle w:val="ListParagraph"/>
        <w:widowControl/>
        <w:numPr>
          <w:ilvl w:val="0"/>
          <w:numId w:val="6"/>
        </w:numPr>
        <w:autoSpaceDE/>
        <w:autoSpaceDN/>
        <w:adjustRightInd/>
        <w:spacing w:after="160" w:line="259" w:lineRule="auto"/>
        <w:contextualSpacing/>
        <w:rPr>
          <w:rFonts w:ascii="Arial" w:hAnsi="Arial" w:cs="Arial"/>
          <w:sz w:val="22"/>
          <w:szCs w:val="22"/>
        </w:rPr>
      </w:pPr>
      <w:r w:rsidRPr="00985CED">
        <w:rPr>
          <w:rFonts w:ascii="Arial" w:hAnsi="Arial" w:cs="Arial"/>
          <w:sz w:val="22"/>
          <w:szCs w:val="22"/>
        </w:rPr>
        <w:lastRenderedPageBreak/>
        <w:t>"APR DRG 004 (Tracheostomy w MV 96+ hours w extensive procedure or ECMO) due to low cell size; starting in RY 2022 will also remove discharges with primary or secondary procedure code for ECMO (""5A1522F"", ""5A1522G"", ""5A1522H"",""5A15223""))</w:t>
      </w:r>
      <w:r w:rsidRPr="00985CED">
        <w:rPr>
          <w:rFonts w:ascii="Arial" w:hAnsi="Arial" w:cs="Arial"/>
          <w:sz w:val="22"/>
          <w:szCs w:val="22"/>
        </w:rPr>
        <w:tab/>
      </w:r>
    </w:p>
    <w:p w:rsidR="00F356D0" w:rsidRPr="00985CED" w:rsidRDefault="00F356D0" w:rsidP="00985CED">
      <w:pPr>
        <w:pStyle w:val="ListParagraph"/>
        <w:rPr>
          <w:rFonts w:ascii="Arial" w:hAnsi="Arial" w:cs="Arial"/>
          <w:sz w:val="22"/>
          <w:szCs w:val="22"/>
        </w:rPr>
      </w:pPr>
    </w:p>
    <w:p w:rsidR="00E37F2B" w:rsidRPr="00985CED" w:rsidRDefault="00F356D0" w:rsidP="00E37F2B">
      <w:pPr>
        <w:rPr>
          <w:rFonts w:ascii="Arial" w:hAnsi="Arial" w:cs="Arial"/>
          <w:b/>
          <w:sz w:val="22"/>
          <w:szCs w:val="22"/>
        </w:rPr>
      </w:pPr>
      <w:r w:rsidRPr="00985CED">
        <w:rPr>
          <w:rFonts w:ascii="Arial" w:hAnsi="Arial" w:cs="Arial"/>
          <w:sz w:val="22"/>
          <w:szCs w:val="22"/>
        </w:rPr>
        <w:t>Medical (non-surgical) Malignancy admissions:  Medical admissions with a principal diagnosis of a major metastatic malignancy (see below)</w:t>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r w:rsidRPr="00985CED">
        <w:rPr>
          <w:rFonts w:ascii="Arial" w:hAnsi="Arial" w:cs="Arial"/>
          <w:sz w:val="22"/>
          <w:szCs w:val="22"/>
        </w:rPr>
        <w:tab/>
      </w:r>
    </w:p>
    <w:p w:rsidR="00E37F2B" w:rsidRPr="00985CED" w:rsidRDefault="00E37F2B" w:rsidP="00E37F2B">
      <w:pPr>
        <w:rPr>
          <w:rFonts w:ascii="Arial" w:hAnsi="Arial" w:cs="Arial"/>
          <w:b/>
          <w:sz w:val="22"/>
          <w:szCs w:val="22"/>
        </w:rPr>
      </w:pPr>
    </w:p>
    <w:p w:rsidR="004F60CA" w:rsidRPr="00985CED" w:rsidRDefault="004F60CA" w:rsidP="00E37F2B">
      <w:pPr>
        <w:rPr>
          <w:rFonts w:ascii="Arial" w:hAnsi="Arial" w:cs="Arial"/>
          <w:b/>
          <w:sz w:val="22"/>
          <w:szCs w:val="22"/>
        </w:rPr>
      </w:pPr>
      <w:r w:rsidRPr="00985CED">
        <w:rPr>
          <w:rFonts w:ascii="Arial" w:hAnsi="Arial" w:cs="Arial"/>
          <w:b/>
          <w:sz w:val="22"/>
          <w:szCs w:val="22"/>
        </w:rPr>
        <w:t>Adjustments</w:t>
      </w:r>
    </w:p>
    <w:p w:rsidR="004F60CA" w:rsidRPr="00985CED" w:rsidRDefault="004F60CA" w:rsidP="004F60CA">
      <w:pPr>
        <w:rPr>
          <w:rFonts w:ascii="Arial" w:hAnsi="Arial" w:cs="Arial"/>
          <w:b/>
          <w:sz w:val="22"/>
          <w:szCs w:val="22"/>
        </w:rPr>
      </w:pPr>
    </w:p>
    <w:p w:rsidR="004F60CA" w:rsidRPr="00985CED" w:rsidRDefault="004F60CA" w:rsidP="004F60CA">
      <w:pPr>
        <w:rPr>
          <w:rFonts w:ascii="Arial" w:hAnsi="Arial" w:cs="Arial"/>
          <w:b/>
          <w:sz w:val="22"/>
          <w:szCs w:val="22"/>
        </w:rPr>
      </w:pPr>
      <w:r w:rsidRPr="00985CED">
        <w:rPr>
          <w:rFonts w:ascii="Arial" w:hAnsi="Arial" w:cs="Arial"/>
          <w:sz w:val="22"/>
          <w:szCs w:val="22"/>
        </w:rPr>
        <w:t>The Maryland inpatient hospital mortality measure was developed in conjunction with Performance Measurement workgroup and other stakeholders.  Based on this stakeholder input mortality is assessed using a regression model that adjusts for the following variables:</w:t>
      </w:r>
    </w:p>
    <w:p w:rsidR="004F60CA" w:rsidRPr="00985CED" w:rsidRDefault="004F60CA" w:rsidP="004F60CA">
      <w:pPr>
        <w:pStyle w:val="ListParagraph"/>
        <w:widowControl/>
        <w:numPr>
          <w:ilvl w:val="0"/>
          <w:numId w:val="7"/>
        </w:numPr>
        <w:autoSpaceDE/>
        <w:autoSpaceDN/>
        <w:adjustRightInd/>
        <w:spacing w:before="240" w:after="200" w:line="276" w:lineRule="auto"/>
        <w:contextualSpacing/>
        <w:rPr>
          <w:rFonts w:ascii="Arial" w:hAnsi="Arial" w:cs="Arial"/>
          <w:sz w:val="22"/>
          <w:szCs w:val="22"/>
        </w:rPr>
      </w:pPr>
      <w:r w:rsidRPr="00985CED">
        <w:rPr>
          <w:rFonts w:ascii="Arial" w:hAnsi="Arial" w:cs="Arial"/>
          <w:sz w:val="22"/>
          <w:szCs w:val="22"/>
        </w:rPr>
        <w:t>Admission APR DRG with Risk of Mortality (ROM)</w:t>
      </w:r>
    </w:p>
    <w:p w:rsidR="004F60CA" w:rsidRPr="00985CED" w:rsidRDefault="004F60CA" w:rsidP="004F60CA">
      <w:pPr>
        <w:pStyle w:val="ListParagraph"/>
        <w:ind w:left="768"/>
        <w:rPr>
          <w:rFonts w:ascii="Arial" w:hAnsi="Arial" w:cs="Arial"/>
          <w:sz w:val="22"/>
          <w:szCs w:val="22"/>
        </w:rPr>
      </w:pPr>
    </w:p>
    <w:p w:rsidR="004F60CA" w:rsidRPr="00985CED" w:rsidRDefault="004F60CA" w:rsidP="004F60CA">
      <w:pPr>
        <w:pStyle w:val="ListParagraph"/>
        <w:widowControl/>
        <w:numPr>
          <w:ilvl w:val="0"/>
          <w:numId w:val="7"/>
        </w:numPr>
        <w:autoSpaceDE/>
        <w:autoSpaceDN/>
        <w:adjustRightInd/>
        <w:spacing w:before="240" w:after="200" w:line="276" w:lineRule="auto"/>
        <w:contextualSpacing/>
        <w:rPr>
          <w:rFonts w:ascii="Arial" w:hAnsi="Arial" w:cs="Arial"/>
          <w:sz w:val="22"/>
          <w:szCs w:val="22"/>
        </w:rPr>
      </w:pPr>
      <w:r w:rsidRPr="00985CED">
        <w:rPr>
          <w:rFonts w:ascii="Arial" w:hAnsi="Arial" w:cs="Arial"/>
          <w:sz w:val="22"/>
          <w:szCs w:val="22"/>
        </w:rPr>
        <w:t>Age (as a continuous variable) and age squared</w:t>
      </w:r>
    </w:p>
    <w:p w:rsidR="004F60CA" w:rsidRPr="00985CED" w:rsidRDefault="004F60CA" w:rsidP="004F60CA">
      <w:pPr>
        <w:pStyle w:val="ListParagraph"/>
        <w:rPr>
          <w:rFonts w:ascii="Arial" w:hAnsi="Arial" w:cs="Arial"/>
          <w:sz w:val="22"/>
          <w:szCs w:val="22"/>
        </w:rPr>
      </w:pPr>
    </w:p>
    <w:p w:rsidR="004F60CA" w:rsidRPr="00985CED" w:rsidRDefault="004F60CA" w:rsidP="004F60CA">
      <w:pPr>
        <w:pStyle w:val="ListParagraph"/>
        <w:widowControl/>
        <w:numPr>
          <w:ilvl w:val="0"/>
          <w:numId w:val="7"/>
        </w:numPr>
        <w:autoSpaceDE/>
        <w:autoSpaceDN/>
        <w:adjustRightInd/>
        <w:spacing w:before="240" w:after="200" w:line="276" w:lineRule="auto"/>
        <w:contextualSpacing/>
        <w:rPr>
          <w:rFonts w:ascii="Arial" w:hAnsi="Arial" w:cs="Arial"/>
          <w:sz w:val="22"/>
          <w:szCs w:val="22"/>
        </w:rPr>
      </w:pPr>
      <w:r w:rsidRPr="00985CED">
        <w:rPr>
          <w:rFonts w:ascii="Arial" w:hAnsi="Arial" w:cs="Arial"/>
          <w:sz w:val="22"/>
          <w:szCs w:val="22"/>
        </w:rPr>
        <w:t>Gender</w:t>
      </w:r>
    </w:p>
    <w:p w:rsidR="004F60CA" w:rsidRPr="00985CED" w:rsidRDefault="004F60CA" w:rsidP="004F60CA">
      <w:pPr>
        <w:pStyle w:val="ListParagraph"/>
        <w:rPr>
          <w:rFonts w:ascii="Arial" w:hAnsi="Arial" w:cs="Arial"/>
          <w:sz w:val="22"/>
          <w:szCs w:val="22"/>
        </w:rPr>
      </w:pPr>
    </w:p>
    <w:p w:rsidR="004F60CA" w:rsidRPr="00985CED" w:rsidRDefault="004F60CA" w:rsidP="004F60CA">
      <w:pPr>
        <w:pStyle w:val="ListParagraph"/>
        <w:widowControl/>
        <w:numPr>
          <w:ilvl w:val="0"/>
          <w:numId w:val="7"/>
        </w:numPr>
        <w:autoSpaceDE/>
        <w:autoSpaceDN/>
        <w:adjustRightInd/>
        <w:spacing w:before="240" w:after="200" w:line="276" w:lineRule="auto"/>
        <w:contextualSpacing/>
        <w:rPr>
          <w:rFonts w:ascii="Arial" w:hAnsi="Arial" w:cs="Arial"/>
          <w:sz w:val="22"/>
          <w:szCs w:val="22"/>
        </w:rPr>
      </w:pPr>
      <w:r w:rsidRPr="00985CED">
        <w:rPr>
          <w:rFonts w:ascii="Arial" w:hAnsi="Arial" w:cs="Arial"/>
          <w:sz w:val="22"/>
          <w:szCs w:val="22"/>
        </w:rPr>
        <w:t>Palliative Care Status (ICD-10 code = Z51.5)</w:t>
      </w:r>
    </w:p>
    <w:p w:rsidR="004F60CA" w:rsidRPr="00985CED" w:rsidRDefault="004F60CA" w:rsidP="004F60CA">
      <w:pPr>
        <w:pStyle w:val="ListParagraph"/>
        <w:ind w:left="768"/>
        <w:rPr>
          <w:rFonts w:ascii="Arial" w:hAnsi="Arial" w:cs="Arial"/>
          <w:sz w:val="22"/>
          <w:szCs w:val="22"/>
        </w:rPr>
      </w:pPr>
    </w:p>
    <w:p w:rsidR="007B4CD4" w:rsidRPr="00985CED" w:rsidRDefault="004F60CA" w:rsidP="007B4CD4">
      <w:pPr>
        <w:pStyle w:val="ListParagraph"/>
        <w:widowControl/>
        <w:numPr>
          <w:ilvl w:val="0"/>
          <w:numId w:val="7"/>
        </w:numPr>
        <w:autoSpaceDE/>
        <w:autoSpaceDN/>
        <w:adjustRightInd/>
        <w:spacing w:before="240" w:after="200" w:line="276" w:lineRule="auto"/>
        <w:contextualSpacing/>
        <w:rPr>
          <w:rFonts w:ascii="Arial" w:hAnsi="Arial" w:cs="Arial"/>
          <w:sz w:val="22"/>
          <w:szCs w:val="22"/>
        </w:rPr>
      </w:pPr>
      <w:r w:rsidRPr="00985CED">
        <w:rPr>
          <w:rFonts w:ascii="Arial" w:hAnsi="Arial" w:cs="Arial"/>
          <w:sz w:val="22"/>
          <w:szCs w:val="22"/>
        </w:rPr>
        <w:t>Transfers from another institution defined as source of admission codes of</w:t>
      </w:r>
    </w:p>
    <w:p w:rsidR="007B4CD4" w:rsidRPr="00985CED" w:rsidRDefault="007B4CD4" w:rsidP="00985CED">
      <w:pPr>
        <w:pStyle w:val="ListParagraph"/>
        <w:rPr>
          <w:rFonts w:ascii="Arial" w:hAnsi="Arial" w:cs="Arial"/>
          <w:sz w:val="22"/>
          <w:szCs w:val="22"/>
        </w:rPr>
      </w:pPr>
    </w:p>
    <w:p w:rsidR="007B4CD4" w:rsidRPr="00985CED" w:rsidRDefault="007B4CD4" w:rsidP="00985CED">
      <w:pPr>
        <w:pStyle w:val="ListParagraph"/>
        <w:widowControl/>
        <w:autoSpaceDE/>
        <w:autoSpaceDN/>
        <w:adjustRightInd/>
        <w:spacing w:before="240" w:after="200" w:line="276" w:lineRule="auto"/>
        <w:ind w:left="768"/>
        <w:contextualSpacing/>
        <w:rPr>
          <w:rFonts w:ascii="Arial" w:hAnsi="Arial" w:cs="Arial"/>
          <w:sz w:val="22"/>
          <w:szCs w:val="22"/>
        </w:rPr>
      </w:pPr>
    </w:p>
    <w:p w:rsidR="007B4CD4" w:rsidRPr="00985CED" w:rsidRDefault="007B4CD4" w:rsidP="00985CED">
      <w:pPr>
        <w:pStyle w:val="ListParagraph"/>
        <w:spacing w:before="240" w:after="200" w:line="276" w:lineRule="auto"/>
        <w:ind w:left="768"/>
        <w:contextualSpacing/>
        <w:rPr>
          <w:rFonts w:ascii="Arial" w:hAnsi="Arial" w:cs="Arial"/>
          <w:sz w:val="22"/>
          <w:szCs w:val="22"/>
        </w:rPr>
      </w:pPr>
      <w:r w:rsidRPr="00985CED">
        <w:rPr>
          <w:rFonts w:ascii="Arial" w:hAnsi="Arial" w:cs="Arial"/>
          <w:sz w:val="22"/>
          <w:szCs w:val="22"/>
        </w:rPr>
        <w:t>04 = FROM (TRANSFER) A DIFFERENT HOSPITAL FACILITY (INCLUDES TRANSFERS FROM ANOTHER ACUTE CARE HOSPITAL (ANY UNIT), FREESTANDING EMERGENCY DEPARTMENT, MIEMSS-DESIGNATED FACILITY). NOT LIMITED TO ONLY IP SERVICES.</w:t>
      </w:r>
    </w:p>
    <w:p w:rsidR="004F60CA" w:rsidRPr="00985CED" w:rsidRDefault="004F60CA" w:rsidP="002B558B">
      <w:pPr>
        <w:pStyle w:val="ListParagraph"/>
        <w:ind w:left="2160" w:hanging="672"/>
        <w:rPr>
          <w:rFonts w:ascii="Arial" w:hAnsi="Arial" w:cs="Arial"/>
          <w:sz w:val="22"/>
          <w:szCs w:val="22"/>
        </w:rPr>
      </w:pPr>
    </w:p>
    <w:p w:rsidR="004F60CA" w:rsidRPr="00985CED" w:rsidRDefault="004F60CA" w:rsidP="004F60CA">
      <w:pPr>
        <w:pStyle w:val="ListParagraph"/>
        <w:ind w:left="2160" w:hanging="672"/>
        <w:rPr>
          <w:rFonts w:ascii="Arial" w:hAnsi="Arial" w:cs="Arial"/>
          <w:sz w:val="22"/>
          <w:szCs w:val="22"/>
        </w:rPr>
      </w:pPr>
    </w:p>
    <w:p w:rsidR="004F60CA" w:rsidRPr="00985CED" w:rsidRDefault="004F60CA" w:rsidP="004F60CA">
      <w:pPr>
        <w:rPr>
          <w:rFonts w:ascii="Arial" w:hAnsi="Arial" w:cs="Arial"/>
          <w:b/>
          <w:sz w:val="22"/>
          <w:szCs w:val="22"/>
        </w:rPr>
      </w:pPr>
      <w:r w:rsidRPr="00985CED">
        <w:rPr>
          <w:rFonts w:ascii="Arial" w:hAnsi="Arial" w:cs="Arial"/>
          <w:b/>
          <w:sz w:val="22"/>
          <w:szCs w:val="22"/>
        </w:rPr>
        <w:t>Mortality Reporting</w:t>
      </w:r>
    </w:p>
    <w:p w:rsidR="004F60CA" w:rsidRPr="00985CED" w:rsidRDefault="004F60CA" w:rsidP="004F60CA">
      <w:pPr>
        <w:rPr>
          <w:rFonts w:ascii="Arial" w:hAnsi="Arial" w:cs="Arial"/>
          <w:b/>
          <w:sz w:val="22"/>
          <w:szCs w:val="22"/>
        </w:rPr>
      </w:pPr>
    </w:p>
    <w:p w:rsidR="004F60CA" w:rsidRPr="00985CED" w:rsidRDefault="004F60CA" w:rsidP="004F60CA">
      <w:pPr>
        <w:rPr>
          <w:rFonts w:ascii="Arial" w:hAnsi="Arial" w:cs="Arial"/>
          <w:sz w:val="22"/>
          <w:szCs w:val="22"/>
        </w:rPr>
      </w:pPr>
      <w:r w:rsidRPr="00985CED">
        <w:rPr>
          <w:rFonts w:ascii="Arial" w:hAnsi="Arial" w:cs="Arial"/>
          <w:sz w:val="22"/>
          <w:szCs w:val="22"/>
        </w:rPr>
        <w:t xml:space="preserve">Hospitals will be provided with summary level quarterly reports based on preliminary and final HSCRC case-mix data.  In addition, case level detailed files will be provided to each hospital.  These summary and case level reports will be posted through the CRISP Reporting Services portal.  </w:t>
      </w:r>
    </w:p>
    <w:p w:rsidR="004F60CA" w:rsidRPr="00985CED" w:rsidRDefault="004F60CA" w:rsidP="004F60CA">
      <w:pPr>
        <w:rPr>
          <w:rFonts w:ascii="Arial" w:hAnsi="Arial" w:cs="Arial"/>
          <w:sz w:val="22"/>
          <w:szCs w:val="22"/>
        </w:rPr>
      </w:pPr>
    </w:p>
    <w:p w:rsidR="004F60CA" w:rsidRPr="00985CED" w:rsidRDefault="004F60CA" w:rsidP="004F60CA">
      <w:pPr>
        <w:rPr>
          <w:rFonts w:ascii="Arial" w:hAnsi="Arial" w:cs="Arial"/>
          <w:sz w:val="22"/>
          <w:szCs w:val="22"/>
        </w:rPr>
      </w:pPr>
    </w:p>
    <w:p w:rsidR="004F60CA" w:rsidRPr="00985CED" w:rsidRDefault="004F60CA" w:rsidP="004F60CA">
      <w:pPr>
        <w:rPr>
          <w:rFonts w:ascii="Arial" w:hAnsi="Arial" w:cs="Arial"/>
          <w:sz w:val="22"/>
          <w:szCs w:val="22"/>
        </w:rPr>
      </w:pPr>
    </w:p>
    <w:p w:rsidR="00382567" w:rsidRPr="00985CED" w:rsidRDefault="00382567" w:rsidP="00FC137B">
      <w:pPr>
        <w:rPr>
          <w:rFonts w:ascii="Arial" w:hAnsi="Arial" w:cs="Arial"/>
          <w:sz w:val="22"/>
          <w:szCs w:val="22"/>
        </w:rPr>
      </w:pPr>
    </w:p>
    <w:sectPr w:rsidR="00382567" w:rsidRPr="00985CED" w:rsidSect="00382567">
      <w:pgSz w:w="12240" w:h="15840"/>
      <w:pgMar w:top="1440" w:right="1440" w:bottom="1440" w:left="1440" w:header="144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11F" w:rsidRDefault="00A0211F">
      <w:r>
        <w:separator/>
      </w:r>
    </w:p>
  </w:endnote>
  <w:endnote w:type="continuationSeparator" w:id="0">
    <w:p w:rsidR="00A0211F" w:rsidRDefault="00A0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New Roman TUR">
    <w:altName w:val="Times New Roman"/>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971" w:rsidRDefault="00635971">
    <w:pPr>
      <w:pStyle w:val="Footer"/>
      <w:jc w:val="center"/>
    </w:pPr>
    <w:r>
      <w:fldChar w:fldCharType="begin"/>
    </w:r>
    <w:r>
      <w:instrText xml:space="preserve"> PAGE   \* MERGEFORMAT </w:instrText>
    </w:r>
    <w:r>
      <w:fldChar w:fldCharType="separate"/>
    </w:r>
    <w:r w:rsidR="002433DA">
      <w:rPr>
        <w:noProof/>
      </w:rPr>
      <w:t>3</w:t>
    </w:r>
    <w:r>
      <w:rPr>
        <w:noProof/>
      </w:rPr>
      <w:fldChar w:fldCharType="end"/>
    </w:r>
  </w:p>
  <w:p w:rsidR="00635971" w:rsidRDefault="00635971" w:rsidP="00B823A9">
    <w:pPr>
      <w:pStyle w:val="Footer"/>
      <w:tabs>
        <w:tab w:val="clear" w:pos="4320"/>
        <w:tab w:val="clear" w:pos="8640"/>
        <w:tab w:val="left" w:pos="622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971" w:rsidRDefault="00635971">
    <w:pPr>
      <w:pStyle w:val="Footer"/>
      <w:jc w:val="center"/>
    </w:pPr>
  </w:p>
  <w:p w:rsidR="00635971" w:rsidRPr="0019420C" w:rsidRDefault="00635971" w:rsidP="00124C87">
    <w:pPr>
      <w:pStyle w:val="Footer"/>
      <w:jc w:val="center"/>
      <w:rPr>
        <w:rFonts w:ascii="Calibri" w:hAnsi="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11F" w:rsidRDefault="00A0211F">
      <w:r>
        <w:separator/>
      </w:r>
    </w:p>
  </w:footnote>
  <w:footnote w:type="continuationSeparator" w:id="0">
    <w:p w:rsidR="00A0211F" w:rsidRDefault="00A0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971" w:rsidRDefault="006359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712F"/>
    <w:multiLevelType w:val="hybridMultilevel"/>
    <w:tmpl w:val="E3249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16FB1"/>
    <w:multiLevelType w:val="hybridMultilevel"/>
    <w:tmpl w:val="9870865E"/>
    <w:lvl w:ilvl="0" w:tplc="E146B4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B68F5"/>
    <w:multiLevelType w:val="hybridMultilevel"/>
    <w:tmpl w:val="ED36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77590"/>
    <w:multiLevelType w:val="hybridMultilevel"/>
    <w:tmpl w:val="D45699CC"/>
    <w:lvl w:ilvl="0" w:tplc="0972A344">
      <w:start w:val="1"/>
      <w:numFmt w:val="decimal"/>
      <w:lvlText w:val="%1."/>
      <w:lvlJc w:val="left"/>
      <w:pPr>
        <w:ind w:left="-99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4" w15:restartNumberingAfterBreak="0">
    <w:nsid w:val="2EB875DD"/>
    <w:multiLevelType w:val="hybridMultilevel"/>
    <w:tmpl w:val="D1D6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26702"/>
    <w:multiLevelType w:val="multilevel"/>
    <w:tmpl w:val="D47AED9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BB72A7B"/>
    <w:multiLevelType w:val="hybridMultilevel"/>
    <w:tmpl w:val="E4A8A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BD60F1"/>
    <w:multiLevelType w:val="hybridMultilevel"/>
    <w:tmpl w:val="F780A2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2742CA"/>
    <w:multiLevelType w:val="multilevel"/>
    <w:tmpl w:val="D47AED9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2754669"/>
    <w:multiLevelType w:val="hybridMultilevel"/>
    <w:tmpl w:val="356CD13C"/>
    <w:lvl w:ilvl="0" w:tplc="68DE9D28">
      <w:start w:val="1"/>
      <w:numFmt w:val="decimal"/>
      <w:lvlText w:val="%1."/>
      <w:lvlJc w:val="left"/>
      <w:pPr>
        <w:ind w:left="720" w:hanging="360"/>
      </w:pPr>
      <w:rPr>
        <w:rFonts w:ascii="Times New Roman" w:hAnsi="Times New Roman" w:cs="Times New Roman" w:hint="default"/>
        <w:b/>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E2267D"/>
    <w:multiLevelType w:val="hybridMultilevel"/>
    <w:tmpl w:val="82D83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343808"/>
    <w:multiLevelType w:val="hybridMultilevel"/>
    <w:tmpl w:val="DE62EA40"/>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num w:numId="1">
    <w:abstractNumId w:val="9"/>
  </w:num>
  <w:num w:numId="2">
    <w:abstractNumId w:val="8"/>
  </w:num>
  <w:num w:numId="3">
    <w:abstractNumId w:val="6"/>
  </w:num>
  <w:num w:numId="4">
    <w:abstractNumId w:val="5"/>
  </w:num>
  <w:num w:numId="5">
    <w:abstractNumId w:val="1"/>
  </w:num>
  <w:num w:numId="6">
    <w:abstractNumId w:val="10"/>
  </w:num>
  <w:num w:numId="7">
    <w:abstractNumId w:val="11"/>
  </w:num>
  <w:num w:numId="8">
    <w:abstractNumId w:val="7"/>
  </w:num>
  <w:num w:numId="9">
    <w:abstractNumId w:val="0"/>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8F"/>
    <w:rsid w:val="00000FD7"/>
    <w:rsid w:val="00005ADB"/>
    <w:rsid w:val="00012E7F"/>
    <w:rsid w:val="00025740"/>
    <w:rsid w:val="00030E94"/>
    <w:rsid w:val="00032238"/>
    <w:rsid w:val="00036F18"/>
    <w:rsid w:val="00063898"/>
    <w:rsid w:val="0006560B"/>
    <w:rsid w:val="0006734C"/>
    <w:rsid w:val="00077778"/>
    <w:rsid w:val="000838A3"/>
    <w:rsid w:val="00087C0A"/>
    <w:rsid w:val="000902BF"/>
    <w:rsid w:val="0009384F"/>
    <w:rsid w:val="00093CB8"/>
    <w:rsid w:val="000A774C"/>
    <w:rsid w:val="000B1DC6"/>
    <w:rsid w:val="000B56A6"/>
    <w:rsid w:val="000D68B5"/>
    <w:rsid w:val="000E6C73"/>
    <w:rsid w:val="000F694A"/>
    <w:rsid w:val="0010025A"/>
    <w:rsid w:val="00100CF9"/>
    <w:rsid w:val="001059E8"/>
    <w:rsid w:val="00105E0D"/>
    <w:rsid w:val="001216B6"/>
    <w:rsid w:val="00124C87"/>
    <w:rsid w:val="001253C6"/>
    <w:rsid w:val="00127604"/>
    <w:rsid w:val="0013234D"/>
    <w:rsid w:val="00133ADC"/>
    <w:rsid w:val="001340D0"/>
    <w:rsid w:val="00134C48"/>
    <w:rsid w:val="00135034"/>
    <w:rsid w:val="00141F8F"/>
    <w:rsid w:val="00142032"/>
    <w:rsid w:val="0014500A"/>
    <w:rsid w:val="001513AF"/>
    <w:rsid w:val="00162540"/>
    <w:rsid w:val="00167CD3"/>
    <w:rsid w:val="00172FCF"/>
    <w:rsid w:val="001845BC"/>
    <w:rsid w:val="00185140"/>
    <w:rsid w:val="00185A28"/>
    <w:rsid w:val="0019420C"/>
    <w:rsid w:val="001A5E83"/>
    <w:rsid w:val="001B1DD8"/>
    <w:rsid w:val="001C26EC"/>
    <w:rsid w:val="001C3642"/>
    <w:rsid w:val="001C6448"/>
    <w:rsid w:val="001D098B"/>
    <w:rsid w:val="001D58B0"/>
    <w:rsid w:val="001D7F4F"/>
    <w:rsid w:val="001E11A7"/>
    <w:rsid w:val="001E4D41"/>
    <w:rsid w:val="001E673F"/>
    <w:rsid w:val="001F2373"/>
    <w:rsid w:val="001F69FD"/>
    <w:rsid w:val="001F7E7B"/>
    <w:rsid w:val="0020256A"/>
    <w:rsid w:val="00204183"/>
    <w:rsid w:val="00206565"/>
    <w:rsid w:val="00213740"/>
    <w:rsid w:val="00223B01"/>
    <w:rsid w:val="00223E16"/>
    <w:rsid w:val="0023135F"/>
    <w:rsid w:val="00232E55"/>
    <w:rsid w:val="00233193"/>
    <w:rsid w:val="00233C98"/>
    <w:rsid w:val="00240D68"/>
    <w:rsid w:val="002433DA"/>
    <w:rsid w:val="002444E4"/>
    <w:rsid w:val="00247993"/>
    <w:rsid w:val="002501B8"/>
    <w:rsid w:val="0025211E"/>
    <w:rsid w:val="002673F1"/>
    <w:rsid w:val="00273073"/>
    <w:rsid w:val="00273B90"/>
    <w:rsid w:val="00280CBD"/>
    <w:rsid w:val="002824C3"/>
    <w:rsid w:val="00287345"/>
    <w:rsid w:val="0029709D"/>
    <w:rsid w:val="002B051A"/>
    <w:rsid w:val="002B558B"/>
    <w:rsid w:val="002C6053"/>
    <w:rsid w:val="002D5F28"/>
    <w:rsid w:val="002E2E3C"/>
    <w:rsid w:val="002F28AA"/>
    <w:rsid w:val="002F3EF1"/>
    <w:rsid w:val="003048CF"/>
    <w:rsid w:val="003107BD"/>
    <w:rsid w:val="00312776"/>
    <w:rsid w:val="00313752"/>
    <w:rsid w:val="00324CAC"/>
    <w:rsid w:val="00326530"/>
    <w:rsid w:val="00327FC0"/>
    <w:rsid w:val="003312AC"/>
    <w:rsid w:val="003361DC"/>
    <w:rsid w:val="00346A30"/>
    <w:rsid w:val="003506BB"/>
    <w:rsid w:val="0035102E"/>
    <w:rsid w:val="00382567"/>
    <w:rsid w:val="00393BC4"/>
    <w:rsid w:val="00394312"/>
    <w:rsid w:val="003A6DE4"/>
    <w:rsid w:val="003B1834"/>
    <w:rsid w:val="003B4657"/>
    <w:rsid w:val="003B5246"/>
    <w:rsid w:val="003C6E04"/>
    <w:rsid w:val="003D122B"/>
    <w:rsid w:val="003D6636"/>
    <w:rsid w:val="003E17B0"/>
    <w:rsid w:val="003F0474"/>
    <w:rsid w:val="0041168E"/>
    <w:rsid w:val="00423FB3"/>
    <w:rsid w:val="004270DE"/>
    <w:rsid w:val="0043126C"/>
    <w:rsid w:val="00435CB0"/>
    <w:rsid w:val="00440C57"/>
    <w:rsid w:val="00441750"/>
    <w:rsid w:val="00444FBE"/>
    <w:rsid w:val="00447A2D"/>
    <w:rsid w:val="004568E1"/>
    <w:rsid w:val="00467059"/>
    <w:rsid w:val="00470F01"/>
    <w:rsid w:val="00480738"/>
    <w:rsid w:val="004828AE"/>
    <w:rsid w:val="00491C25"/>
    <w:rsid w:val="00495ADD"/>
    <w:rsid w:val="004A4408"/>
    <w:rsid w:val="004A58F1"/>
    <w:rsid w:val="004B340C"/>
    <w:rsid w:val="004B4C4E"/>
    <w:rsid w:val="004B5462"/>
    <w:rsid w:val="004C1EDD"/>
    <w:rsid w:val="004C2500"/>
    <w:rsid w:val="004C4EA5"/>
    <w:rsid w:val="004D1C3D"/>
    <w:rsid w:val="004D5E6F"/>
    <w:rsid w:val="004E3010"/>
    <w:rsid w:val="004F46A7"/>
    <w:rsid w:val="004F5EED"/>
    <w:rsid w:val="004F60CA"/>
    <w:rsid w:val="004F6146"/>
    <w:rsid w:val="004F6D67"/>
    <w:rsid w:val="005015EA"/>
    <w:rsid w:val="00503F50"/>
    <w:rsid w:val="005104D4"/>
    <w:rsid w:val="005134D7"/>
    <w:rsid w:val="005150D5"/>
    <w:rsid w:val="0051764F"/>
    <w:rsid w:val="00532120"/>
    <w:rsid w:val="00534203"/>
    <w:rsid w:val="00535EA2"/>
    <w:rsid w:val="00547224"/>
    <w:rsid w:val="005500EF"/>
    <w:rsid w:val="00556796"/>
    <w:rsid w:val="00565119"/>
    <w:rsid w:val="005654FD"/>
    <w:rsid w:val="00565ECB"/>
    <w:rsid w:val="00572C6E"/>
    <w:rsid w:val="00587E40"/>
    <w:rsid w:val="00594658"/>
    <w:rsid w:val="005A45A8"/>
    <w:rsid w:val="005C15F9"/>
    <w:rsid w:val="005C4DEF"/>
    <w:rsid w:val="005D4C88"/>
    <w:rsid w:val="005D546A"/>
    <w:rsid w:val="005E017D"/>
    <w:rsid w:val="005E4EF6"/>
    <w:rsid w:val="005F1DEE"/>
    <w:rsid w:val="005F24CB"/>
    <w:rsid w:val="005F3A69"/>
    <w:rsid w:val="005F7B6A"/>
    <w:rsid w:val="006177F3"/>
    <w:rsid w:val="0061780D"/>
    <w:rsid w:val="00621109"/>
    <w:rsid w:val="00624437"/>
    <w:rsid w:val="00635971"/>
    <w:rsid w:val="0064199F"/>
    <w:rsid w:val="00662CE4"/>
    <w:rsid w:val="00664AC7"/>
    <w:rsid w:val="00664F77"/>
    <w:rsid w:val="00665ABD"/>
    <w:rsid w:val="006A0BC6"/>
    <w:rsid w:val="006A2175"/>
    <w:rsid w:val="006A6BF2"/>
    <w:rsid w:val="006B3DF6"/>
    <w:rsid w:val="006B4AC0"/>
    <w:rsid w:val="006D0226"/>
    <w:rsid w:val="006E79C5"/>
    <w:rsid w:val="006F635F"/>
    <w:rsid w:val="006F65A8"/>
    <w:rsid w:val="006F6757"/>
    <w:rsid w:val="007065CD"/>
    <w:rsid w:val="00713A23"/>
    <w:rsid w:val="00715BFA"/>
    <w:rsid w:val="00720553"/>
    <w:rsid w:val="00722A47"/>
    <w:rsid w:val="00733DC3"/>
    <w:rsid w:val="00736D89"/>
    <w:rsid w:val="0075424B"/>
    <w:rsid w:val="00754DE6"/>
    <w:rsid w:val="0076312E"/>
    <w:rsid w:val="0076673A"/>
    <w:rsid w:val="0076776C"/>
    <w:rsid w:val="0078101D"/>
    <w:rsid w:val="007A17E3"/>
    <w:rsid w:val="007A28CC"/>
    <w:rsid w:val="007A3BD4"/>
    <w:rsid w:val="007A7E75"/>
    <w:rsid w:val="007B10E7"/>
    <w:rsid w:val="007B2E6D"/>
    <w:rsid w:val="007B4CD4"/>
    <w:rsid w:val="007F0DFD"/>
    <w:rsid w:val="007F43A9"/>
    <w:rsid w:val="007F718D"/>
    <w:rsid w:val="00800BF6"/>
    <w:rsid w:val="00807D7A"/>
    <w:rsid w:val="008132A9"/>
    <w:rsid w:val="00816364"/>
    <w:rsid w:val="00832876"/>
    <w:rsid w:val="008369BA"/>
    <w:rsid w:val="00846165"/>
    <w:rsid w:val="00847BA4"/>
    <w:rsid w:val="00850EEF"/>
    <w:rsid w:val="00853345"/>
    <w:rsid w:val="00856651"/>
    <w:rsid w:val="00860CA7"/>
    <w:rsid w:val="008636E6"/>
    <w:rsid w:val="00865C10"/>
    <w:rsid w:val="00875FC6"/>
    <w:rsid w:val="0088432C"/>
    <w:rsid w:val="00884862"/>
    <w:rsid w:val="0089623B"/>
    <w:rsid w:val="008A1D3F"/>
    <w:rsid w:val="008A6E40"/>
    <w:rsid w:val="008B4238"/>
    <w:rsid w:val="008B5923"/>
    <w:rsid w:val="008C38F6"/>
    <w:rsid w:val="008C66FE"/>
    <w:rsid w:val="008C6E0D"/>
    <w:rsid w:val="008C6E7D"/>
    <w:rsid w:val="008D4099"/>
    <w:rsid w:val="008D59BE"/>
    <w:rsid w:val="008E1283"/>
    <w:rsid w:val="008F21CD"/>
    <w:rsid w:val="008F49C9"/>
    <w:rsid w:val="008F4D12"/>
    <w:rsid w:val="008F66BF"/>
    <w:rsid w:val="00900978"/>
    <w:rsid w:val="00901B72"/>
    <w:rsid w:val="00907636"/>
    <w:rsid w:val="009176D2"/>
    <w:rsid w:val="00921379"/>
    <w:rsid w:val="00921534"/>
    <w:rsid w:val="00925AF8"/>
    <w:rsid w:val="00930237"/>
    <w:rsid w:val="009317FD"/>
    <w:rsid w:val="00936B2C"/>
    <w:rsid w:val="009511A6"/>
    <w:rsid w:val="00951C76"/>
    <w:rsid w:val="00953832"/>
    <w:rsid w:val="00954972"/>
    <w:rsid w:val="009614C7"/>
    <w:rsid w:val="00961636"/>
    <w:rsid w:val="009665EF"/>
    <w:rsid w:val="00967648"/>
    <w:rsid w:val="00985CED"/>
    <w:rsid w:val="00986FB8"/>
    <w:rsid w:val="00991A0A"/>
    <w:rsid w:val="009920BA"/>
    <w:rsid w:val="009922B9"/>
    <w:rsid w:val="00994964"/>
    <w:rsid w:val="00995D84"/>
    <w:rsid w:val="009969B2"/>
    <w:rsid w:val="009A5BCB"/>
    <w:rsid w:val="009B6B57"/>
    <w:rsid w:val="009C05EA"/>
    <w:rsid w:val="009C31C2"/>
    <w:rsid w:val="009C5EBC"/>
    <w:rsid w:val="009C6E8B"/>
    <w:rsid w:val="009D0501"/>
    <w:rsid w:val="009D0EB5"/>
    <w:rsid w:val="009D7B71"/>
    <w:rsid w:val="009E63D5"/>
    <w:rsid w:val="009E7E34"/>
    <w:rsid w:val="009F05F4"/>
    <w:rsid w:val="009F0F79"/>
    <w:rsid w:val="00A0211F"/>
    <w:rsid w:val="00A0255C"/>
    <w:rsid w:val="00A0531C"/>
    <w:rsid w:val="00A068D0"/>
    <w:rsid w:val="00A07B5F"/>
    <w:rsid w:val="00A12637"/>
    <w:rsid w:val="00A216EE"/>
    <w:rsid w:val="00A266C0"/>
    <w:rsid w:val="00A36E4D"/>
    <w:rsid w:val="00A448CB"/>
    <w:rsid w:val="00A500B6"/>
    <w:rsid w:val="00A608FD"/>
    <w:rsid w:val="00A67C95"/>
    <w:rsid w:val="00A7168E"/>
    <w:rsid w:val="00A717B0"/>
    <w:rsid w:val="00A778EA"/>
    <w:rsid w:val="00A87281"/>
    <w:rsid w:val="00A925EE"/>
    <w:rsid w:val="00AA238C"/>
    <w:rsid w:val="00AA4F54"/>
    <w:rsid w:val="00AA6645"/>
    <w:rsid w:val="00AB2E2C"/>
    <w:rsid w:val="00AC250F"/>
    <w:rsid w:val="00AC38F2"/>
    <w:rsid w:val="00AD55E8"/>
    <w:rsid w:val="00AD7675"/>
    <w:rsid w:val="00AE5591"/>
    <w:rsid w:val="00AE6F4D"/>
    <w:rsid w:val="00AF00FA"/>
    <w:rsid w:val="00AF19A0"/>
    <w:rsid w:val="00AF7BFB"/>
    <w:rsid w:val="00B0200E"/>
    <w:rsid w:val="00B06A99"/>
    <w:rsid w:val="00B0789F"/>
    <w:rsid w:val="00B13E8A"/>
    <w:rsid w:val="00B156C4"/>
    <w:rsid w:val="00B26662"/>
    <w:rsid w:val="00B408E7"/>
    <w:rsid w:val="00B42D51"/>
    <w:rsid w:val="00B43465"/>
    <w:rsid w:val="00B4560C"/>
    <w:rsid w:val="00B530A8"/>
    <w:rsid w:val="00B737BE"/>
    <w:rsid w:val="00B823A9"/>
    <w:rsid w:val="00B82F9C"/>
    <w:rsid w:val="00B85020"/>
    <w:rsid w:val="00B90648"/>
    <w:rsid w:val="00B969DC"/>
    <w:rsid w:val="00BA3FBE"/>
    <w:rsid w:val="00BB097A"/>
    <w:rsid w:val="00BB1E8C"/>
    <w:rsid w:val="00BB2EE8"/>
    <w:rsid w:val="00BB6065"/>
    <w:rsid w:val="00BC1565"/>
    <w:rsid w:val="00BC175B"/>
    <w:rsid w:val="00BC2D4A"/>
    <w:rsid w:val="00BD2C5F"/>
    <w:rsid w:val="00BE0419"/>
    <w:rsid w:val="00BE1F42"/>
    <w:rsid w:val="00BE6BA9"/>
    <w:rsid w:val="00BE6D9A"/>
    <w:rsid w:val="00BF73D8"/>
    <w:rsid w:val="00C06800"/>
    <w:rsid w:val="00C124B6"/>
    <w:rsid w:val="00C43AC8"/>
    <w:rsid w:val="00C516C5"/>
    <w:rsid w:val="00C530F3"/>
    <w:rsid w:val="00C555E8"/>
    <w:rsid w:val="00C56687"/>
    <w:rsid w:val="00C566C2"/>
    <w:rsid w:val="00C629EC"/>
    <w:rsid w:val="00C62A9A"/>
    <w:rsid w:val="00C66584"/>
    <w:rsid w:val="00C71916"/>
    <w:rsid w:val="00C73904"/>
    <w:rsid w:val="00C82C3A"/>
    <w:rsid w:val="00C834A7"/>
    <w:rsid w:val="00C871DC"/>
    <w:rsid w:val="00C9600A"/>
    <w:rsid w:val="00C97BF7"/>
    <w:rsid w:val="00CA698F"/>
    <w:rsid w:val="00CA7996"/>
    <w:rsid w:val="00CC65DB"/>
    <w:rsid w:val="00CD6F78"/>
    <w:rsid w:val="00CE16B4"/>
    <w:rsid w:val="00CE37AC"/>
    <w:rsid w:val="00CE4E0C"/>
    <w:rsid w:val="00CE7204"/>
    <w:rsid w:val="00CE755D"/>
    <w:rsid w:val="00CF366B"/>
    <w:rsid w:val="00CF5A90"/>
    <w:rsid w:val="00D01C92"/>
    <w:rsid w:val="00D046B2"/>
    <w:rsid w:val="00D11EA0"/>
    <w:rsid w:val="00D16BC3"/>
    <w:rsid w:val="00D21F83"/>
    <w:rsid w:val="00D23D68"/>
    <w:rsid w:val="00D41530"/>
    <w:rsid w:val="00D645EA"/>
    <w:rsid w:val="00D97BE5"/>
    <w:rsid w:val="00DA53EE"/>
    <w:rsid w:val="00DC2EC9"/>
    <w:rsid w:val="00DC42FC"/>
    <w:rsid w:val="00DD3765"/>
    <w:rsid w:val="00DD68EC"/>
    <w:rsid w:val="00DD6F89"/>
    <w:rsid w:val="00E03992"/>
    <w:rsid w:val="00E0438F"/>
    <w:rsid w:val="00E15342"/>
    <w:rsid w:val="00E15AD3"/>
    <w:rsid w:val="00E230B0"/>
    <w:rsid w:val="00E25E5D"/>
    <w:rsid w:val="00E2769E"/>
    <w:rsid w:val="00E34284"/>
    <w:rsid w:val="00E37F2B"/>
    <w:rsid w:val="00E45309"/>
    <w:rsid w:val="00E475CE"/>
    <w:rsid w:val="00E61DEC"/>
    <w:rsid w:val="00E669CB"/>
    <w:rsid w:val="00E70490"/>
    <w:rsid w:val="00E70A30"/>
    <w:rsid w:val="00E82C18"/>
    <w:rsid w:val="00E90A16"/>
    <w:rsid w:val="00E925B0"/>
    <w:rsid w:val="00EA52B0"/>
    <w:rsid w:val="00EA59BA"/>
    <w:rsid w:val="00EA5FF3"/>
    <w:rsid w:val="00EE3CDB"/>
    <w:rsid w:val="00EE4A5D"/>
    <w:rsid w:val="00EF2A78"/>
    <w:rsid w:val="00EF4764"/>
    <w:rsid w:val="00EF7D95"/>
    <w:rsid w:val="00F026D6"/>
    <w:rsid w:val="00F02F2F"/>
    <w:rsid w:val="00F05583"/>
    <w:rsid w:val="00F071C2"/>
    <w:rsid w:val="00F10213"/>
    <w:rsid w:val="00F106D0"/>
    <w:rsid w:val="00F16CD8"/>
    <w:rsid w:val="00F2427B"/>
    <w:rsid w:val="00F25EAB"/>
    <w:rsid w:val="00F34A19"/>
    <w:rsid w:val="00F356D0"/>
    <w:rsid w:val="00F47DE8"/>
    <w:rsid w:val="00F51FC0"/>
    <w:rsid w:val="00F6228B"/>
    <w:rsid w:val="00F839EC"/>
    <w:rsid w:val="00F86165"/>
    <w:rsid w:val="00F877AD"/>
    <w:rsid w:val="00F95278"/>
    <w:rsid w:val="00FA391D"/>
    <w:rsid w:val="00FB3900"/>
    <w:rsid w:val="00FB5090"/>
    <w:rsid w:val="00FC0599"/>
    <w:rsid w:val="00FC137B"/>
    <w:rsid w:val="00FC15AB"/>
    <w:rsid w:val="00FC3D52"/>
    <w:rsid w:val="00FD055F"/>
    <w:rsid w:val="00FE4667"/>
    <w:rsid w:val="00FE5C30"/>
    <w:rsid w:val="00FF43D8"/>
    <w:rsid w:val="00FF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76DCB3AA-4B73-423F-8D18-76B2A00F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BA9"/>
    <w:pPr>
      <w:widowControl w:val="0"/>
      <w:autoSpaceDE w:val="0"/>
      <w:autoSpaceDN w:val="0"/>
      <w:adjustRightInd w:val="0"/>
    </w:pPr>
    <w:rPr>
      <w:sz w:val="24"/>
      <w:szCs w:val="24"/>
    </w:rPr>
  </w:style>
  <w:style w:type="paragraph" w:styleId="Heading2">
    <w:name w:val="heading 2"/>
    <w:basedOn w:val="Normal"/>
    <w:next w:val="Normal"/>
    <w:link w:val="Heading2Char"/>
    <w:uiPriority w:val="9"/>
    <w:unhideWhenUsed/>
    <w:qFormat/>
    <w:rsid w:val="004F60CA"/>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4F60CA"/>
    <w:pPr>
      <w:keepNext/>
      <w:keepLines/>
      <w:spacing w:before="40"/>
      <w:outlineLvl w:val="2"/>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E6BA9"/>
  </w:style>
  <w:style w:type="paragraph" w:customStyle="1" w:styleId="WP9Heading">
    <w:name w:val="WP9_Heading"/>
    <w:basedOn w:val="Normal"/>
    <w:rsid w:val="00BE6BA9"/>
    <w:pPr>
      <w:jc w:val="center"/>
    </w:pPr>
    <w:rPr>
      <w:rFonts w:ascii="Arial" w:hAnsi="Arial" w:cs="Arial"/>
      <w:b/>
      <w:bCs/>
      <w:color w:val="000080"/>
      <w:sz w:val="18"/>
      <w:szCs w:val="18"/>
    </w:rPr>
  </w:style>
  <w:style w:type="paragraph" w:styleId="Header">
    <w:name w:val="header"/>
    <w:basedOn w:val="Normal"/>
    <w:link w:val="HeaderChar"/>
    <w:rsid w:val="00C71916"/>
    <w:pPr>
      <w:tabs>
        <w:tab w:val="center" w:pos="4320"/>
        <w:tab w:val="right" w:pos="8640"/>
      </w:tabs>
    </w:pPr>
  </w:style>
  <w:style w:type="paragraph" w:styleId="Footer">
    <w:name w:val="footer"/>
    <w:basedOn w:val="Normal"/>
    <w:link w:val="FooterChar"/>
    <w:uiPriority w:val="99"/>
    <w:rsid w:val="00C71916"/>
    <w:pPr>
      <w:tabs>
        <w:tab w:val="center" w:pos="4320"/>
        <w:tab w:val="right" w:pos="8640"/>
      </w:tabs>
    </w:pPr>
  </w:style>
  <w:style w:type="character" w:customStyle="1" w:styleId="FooterChar">
    <w:name w:val="Footer Char"/>
    <w:link w:val="Footer"/>
    <w:uiPriority w:val="99"/>
    <w:rsid w:val="00B13E8A"/>
    <w:rPr>
      <w:sz w:val="24"/>
      <w:szCs w:val="24"/>
    </w:rPr>
  </w:style>
  <w:style w:type="paragraph" w:styleId="BalloonText">
    <w:name w:val="Balloon Text"/>
    <w:basedOn w:val="Normal"/>
    <w:link w:val="BalloonTextChar"/>
    <w:rsid w:val="00BF73D8"/>
    <w:rPr>
      <w:rFonts w:ascii="Tahoma" w:hAnsi="Tahoma" w:cs="Tahoma"/>
      <w:sz w:val="16"/>
      <w:szCs w:val="16"/>
    </w:rPr>
  </w:style>
  <w:style w:type="character" w:customStyle="1" w:styleId="BalloonTextChar">
    <w:name w:val="Balloon Text Char"/>
    <w:link w:val="BalloonText"/>
    <w:rsid w:val="00BF73D8"/>
    <w:rPr>
      <w:rFonts w:ascii="Tahoma" w:hAnsi="Tahoma" w:cs="Tahoma"/>
      <w:sz w:val="16"/>
      <w:szCs w:val="16"/>
    </w:rPr>
  </w:style>
  <w:style w:type="character" w:styleId="PlaceholderText">
    <w:name w:val="Placeholder Text"/>
    <w:uiPriority w:val="99"/>
    <w:semiHidden/>
    <w:rsid w:val="00C97BF7"/>
    <w:rPr>
      <w:color w:val="808080"/>
    </w:rPr>
  </w:style>
  <w:style w:type="paragraph" w:styleId="ListParagraph">
    <w:name w:val="List Paragraph"/>
    <w:basedOn w:val="Normal"/>
    <w:link w:val="ListParagraphChar"/>
    <w:uiPriority w:val="34"/>
    <w:qFormat/>
    <w:rsid w:val="00F47DE8"/>
    <w:pPr>
      <w:ind w:left="720"/>
    </w:pPr>
  </w:style>
  <w:style w:type="character" w:styleId="Hyperlink">
    <w:name w:val="Hyperlink"/>
    <w:uiPriority w:val="99"/>
    <w:rsid w:val="001C6448"/>
    <w:rPr>
      <w:color w:val="0000FF"/>
      <w:u w:val="single"/>
    </w:rPr>
  </w:style>
  <w:style w:type="character" w:customStyle="1" w:styleId="Heading2Char">
    <w:name w:val="Heading 2 Char"/>
    <w:basedOn w:val="DefaultParagraphFont"/>
    <w:link w:val="Heading2"/>
    <w:uiPriority w:val="9"/>
    <w:rsid w:val="004F60CA"/>
    <w:rPr>
      <w:rFonts w:ascii="Calibri Light" w:hAnsi="Calibri Light"/>
      <w:color w:val="2E74B5"/>
      <w:sz w:val="26"/>
      <w:szCs w:val="26"/>
    </w:rPr>
  </w:style>
  <w:style w:type="character" w:customStyle="1" w:styleId="Heading3Char">
    <w:name w:val="Heading 3 Char"/>
    <w:basedOn w:val="DefaultParagraphFont"/>
    <w:link w:val="Heading3"/>
    <w:uiPriority w:val="9"/>
    <w:rsid w:val="004F60CA"/>
    <w:rPr>
      <w:rFonts w:ascii="Calibri Light" w:hAnsi="Calibri Light"/>
      <w:color w:val="1F4D78"/>
      <w:sz w:val="24"/>
      <w:szCs w:val="24"/>
    </w:rPr>
  </w:style>
  <w:style w:type="character" w:customStyle="1" w:styleId="HeaderChar">
    <w:name w:val="Header Char"/>
    <w:link w:val="Header"/>
    <w:rsid w:val="004F60CA"/>
    <w:rPr>
      <w:sz w:val="24"/>
      <w:szCs w:val="24"/>
    </w:rPr>
  </w:style>
  <w:style w:type="character" w:customStyle="1" w:styleId="ListParagraphChar">
    <w:name w:val="List Paragraph Char"/>
    <w:link w:val="ListParagraph"/>
    <w:uiPriority w:val="34"/>
    <w:rsid w:val="004F60CA"/>
    <w:rPr>
      <w:sz w:val="24"/>
      <w:szCs w:val="24"/>
    </w:rPr>
  </w:style>
  <w:style w:type="character" w:styleId="Emphasis">
    <w:name w:val="Emphasis"/>
    <w:qFormat/>
    <w:rsid w:val="004F60CA"/>
    <w:rPr>
      <w:i/>
      <w:iCs/>
    </w:rPr>
  </w:style>
  <w:style w:type="character" w:styleId="CommentReference">
    <w:name w:val="annotation reference"/>
    <w:uiPriority w:val="99"/>
    <w:semiHidden/>
    <w:unhideWhenUsed/>
    <w:rsid w:val="004F60CA"/>
    <w:rPr>
      <w:sz w:val="16"/>
      <w:szCs w:val="16"/>
    </w:rPr>
  </w:style>
  <w:style w:type="paragraph" w:styleId="CommentText">
    <w:name w:val="annotation text"/>
    <w:basedOn w:val="Normal"/>
    <w:link w:val="CommentTextChar"/>
    <w:uiPriority w:val="99"/>
    <w:unhideWhenUsed/>
    <w:rsid w:val="004F60CA"/>
    <w:rPr>
      <w:sz w:val="20"/>
      <w:szCs w:val="20"/>
    </w:rPr>
  </w:style>
  <w:style w:type="character" w:customStyle="1" w:styleId="CommentTextChar">
    <w:name w:val="Comment Text Char"/>
    <w:basedOn w:val="DefaultParagraphFont"/>
    <w:link w:val="CommentText"/>
    <w:uiPriority w:val="99"/>
    <w:rsid w:val="004F60CA"/>
  </w:style>
  <w:style w:type="paragraph" w:styleId="CommentSubject">
    <w:name w:val="annotation subject"/>
    <w:basedOn w:val="CommentText"/>
    <w:next w:val="CommentText"/>
    <w:link w:val="CommentSubjectChar"/>
    <w:semiHidden/>
    <w:unhideWhenUsed/>
    <w:rsid w:val="00C62A9A"/>
    <w:rPr>
      <w:b/>
      <w:bCs/>
    </w:rPr>
  </w:style>
  <w:style w:type="character" w:customStyle="1" w:styleId="CommentSubjectChar">
    <w:name w:val="Comment Subject Char"/>
    <w:basedOn w:val="CommentTextChar"/>
    <w:link w:val="CommentSubject"/>
    <w:semiHidden/>
    <w:rsid w:val="00C62A9A"/>
    <w:rPr>
      <w:b/>
      <w:bCs/>
    </w:rPr>
  </w:style>
  <w:style w:type="paragraph" w:styleId="Revision">
    <w:name w:val="Revision"/>
    <w:hidden/>
    <w:uiPriority w:val="99"/>
    <w:semiHidden/>
    <w:rsid w:val="00FC15AB"/>
    <w:rPr>
      <w:sz w:val="24"/>
      <w:szCs w:val="24"/>
    </w:rPr>
  </w:style>
  <w:style w:type="paragraph" w:styleId="Subtitle">
    <w:name w:val="Subtitle"/>
    <w:basedOn w:val="Normal"/>
    <w:next w:val="Normal"/>
    <w:link w:val="SubtitleChar"/>
    <w:rsid w:val="00635971"/>
    <w:pPr>
      <w:keepNext/>
      <w:keepLines/>
      <w:widowControl/>
      <w:autoSpaceDE/>
      <w:autoSpaceDN/>
      <w:adjustRightInd/>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35971"/>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290219">
      <w:bodyDiv w:val="1"/>
      <w:marLeft w:val="0"/>
      <w:marRight w:val="0"/>
      <w:marTop w:val="0"/>
      <w:marBottom w:val="0"/>
      <w:divBdr>
        <w:top w:val="none" w:sz="0" w:space="0" w:color="auto"/>
        <w:left w:val="none" w:sz="0" w:space="0" w:color="auto"/>
        <w:bottom w:val="none" w:sz="0" w:space="0" w:color="auto"/>
        <w:right w:val="none" w:sz="0" w:space="0" w:color="auto"/>
      </w:divBdr>
    </w:div>
    <w:div w:id="654455401">
      <w:bodyDiv w:val="1"/>
      <w:marLeft w:val="0"/>
      <w:marRight w:val="0"/>
      <w:marTop w:val="0"/>
      <w:marBottom w:val="0"/>
      <w:divBdr>
        <w:top w:val="none" w:sz="0" w:space="0" w:color="auto"/>
        <w:left w:val="none" w:sz="0" w:space="0" w:color="auto"/>
        <w:bottom w:val="none" w:sz="0" w:space="0" w:color="auto"/>
        <w:right w:val="none" w:sz="0" w:space="0" w:color="auto"/>
      </w:divBdr>
    </w:div>
    <w:div w:id="1822579956">
      <w:bodyDiv w:val="1"/>
      <w:marLeft w:val="0"/>
      <w:marRight w:val="0"/>
      <w:marTop w:val="0"/>
      <w:marBottom w:val="0"/>
      <w:divBdr>
        <w:top w:val="none" w:sz="0" w:space="0" w:color="auto"/>
        <w:left w:val="none" w:sz="0" w:space="0" w:color="auto"/>
        <w:bottom w:val="none" w:sz="0" w:space="0" w:color="auto"/>
        <w:right w:val="none" w:sz="0" w:space="0" w:color="auto"/>
      </w:divBdr>
    </w:div>
    <w:div w:id="2101295679">
      <w:bodyDiv w:val="1"/>
      <w:marLeft w:val="0"/>
      <w:marRight w:val="0"/>
      <w:marTop w:val="0"/>
      <w:marBottom w:val="0"/>
      <w:divBdr>
        <w:top w:val="none" w:sz="0" w:space="0" w:color="auto"/>
        <w:left w:val="none" w:sz="0" w:space="0" w:color="auto"/>
        <w:bottom w:val="none" w:sz="0" w:space="0" w:color="auto"/>
        <w:right w:val="none" w:sz="0" w:space="0" w:color="auto"/>
      </w:divBdr>
    </w:div>
    <w:div w:id="211793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crc.maryland.gov"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hscrc.quality@maryland.gov" TargetMode="External"/><Relationship Id="rId23" Type="http://schemas.openxmlformats.org/officeDocument/2006/relationships/customXml" Target="../customXml/item3.xml"/><Relationship Id="rId10" Type="http://schemas.openxmlformats.org/officeDocument/2006/relationships/hyperlink" Target="http://www.hscrc.maryland.gov"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02B3E9DD09034DA5211586A3544BC5" ma:contentTypeVersion="1" ma:contentTypeDescription="Create a new document." ma:contentTypeScope="" ma:versionID="43757e3708807329d095c0c4118e68d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CABF2-D785-4BB7-BC1C-0EAB7B17E25B}"/>
</file>

<file path=customXml/itemProps2.xml><?xml version="1.0" encoding="utf-8"?>
<ds:datastoreItem xmlns:ds="http://schemas.openxmlformats.org/officeDocument/2006/customXml" ds:itemID="{69EBEA7B-1043-4EEB-9142-9363D3D3ACF6}"/>
</file>

<file path=customXml/itemProps3.xml><?xml version="1.0" encoding="utf-8"?>
<ds:datastoreItem xmlns:ds="http://schemas.openxmlformats.org/officeDocument/2006/customXml" ds:itemID="{65920D20-624F-4168-BE6B-D2A16194C3E6}"/>
</file>

<file path=customXml/itemProps4.xml><?xml version="1.0" encoding="utf-8"?>
<ds:datastoreItem xmlns:ds="http://schemas.openxmlformats.org/officeDocument/2006/customXml" ds:itemID="{4C77B503-7B81-4CC9-B71A-450FFF8DD7CA}"/>
</file>

<file path=docProps/app.xml><?xml version="1.0" encoding="utf-8"?>
<Properties xmlns="http://schemas.openxmlformats.org/officeDocument/2006/extended-properties" xmlns:vt="http://schemas.openxmlformats.org/officeDocument/2006/docPropsVTypes">
  <Template>Normal</Template>
  <TotalTime>1</TotalTime>
  <Pages>9</Pages>
  <Words>1924</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12814</CharactersWithSpaces>
  <SharedDoc>false</SharedDoc>
  <HLinks>
    <vt:vector size="6" baseType="variant">
      <vt:variant>
        <vt:i4>3145843</vt:i4>
      </vt:variant>
      <vt:variant>
        <vt:i4>0</vt:i4>
      </vt:variant>
      <vt:variant>
        <vt:i4>0</vt:i4>
      </vt:variant>
      <vt:variant>
        <vt:i4>5</vt:i4>
      </vt:variant>
      <vt:variant>
        <vt:lpwstr>http://www.hscrc.maryland.gov/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Feeney</dc:creator>
  <cp:keywords/>
  <dc:description/>
  <cp:lastModifiedBy>Dianne Feeney</cp:lastModifiedBy>
  <cp:revision>2</cp:revision>
  <cp:lastPrinted>2019-02-08T19:26:00Z</cp:lastPrinted>
  <dcterms:created xsi:type="dcterms:W3CDTF">2020-01-06T19:25:00Z</dcterms:created>
  <dcterms:modified xsi:type="dcterms:W3CDTF">2020-01-06T19:25:00Z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0x0101000902B3E9DD09034DA5211586A3544BC5</vt:lpwstr>
  </property>
</Properties>
</file>