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8E7" w:rsidRPr="00624EED" w:rsidRDefault="003142B6" w:rsidP="00E838B4">
      <w:pPr>
        <w:pStyle w:val="NoSpacing"/>
        <w:jc w:val="center"/>
        <w:rPr>
          <w:b/>
          <w:sz w:val="28"/>
          <w:szCs w:val="28"/>
        </w:rPr>
      </w:pPr>
      <w:bookmarkStart w:id="0" w:name="_GoBack"/>
      <w:bookmarkEnd w:id="0"/>
      <w:r>
        <w:rPr>
          <w:b/>
          <w:sz w:val="28"/>
          <w:szCs w:val="28"/>
        </w:rPr>
        <w:t>EFFICIENCY-RELATED MEASURES</w:t>
      </w:r>
    </w:p>
    <w:p w:rsidR="00FE5B87" w:rsidRPr="00624EED" w:rsidRDefault="00FE5B87" w:rsidP="00E838B4">
      <w:pPr>
        <w:pStyle w:val="NoSpacing"/>
        <w:jc w:val="center"/>
        <w:rPr>
          <w:i/>
          <w:sz w:val="28"/>
          <w:szCs w:val="28"/>
        </w:rPr>
      </w:pPr>
      <w:r w:rsidRPr="00624EED">
        <w:rPr>
          <w:i/>
          <w:sz w:val="28"/>
          <w:szCs w:val="28"/>
        </w:rPr>
        <w:t>Initial Scan</w:t>
      </w:r>
    </w:p>
    <w:p w:rsidR="00EB18E7" w:rsidRPr="00E838B4" w:rsidRDefault="00EB18E7" w:rsidP="00EB18E7">
      <w:pPr>
        <w:pStyle w:val="NoSpacing"/>
        <w:rPr>
          <w:b/>
          <w:sz w:val="28"/>
          <w:szCs w:val="28"/>
        </w:rPr>
      </w:pPr>
    </w:p>
    <w:p w:rsidR="00E838B4" w:rsidRDefault="00E838B4" w:rsidP="00E838B4">
      <w:pPr>
        <w:pStyle w:val="NoSpacing"/>
      </w:pPr>
    </w:p>
    <w:p w:rsidR="00504E72" w:rsidRPr="00624EED" w:rsidRDefault="00FC27C9" w:rsidP="00B41174">
      <w:pPr>
        <w:pStyle w:val="NoSpacing"/>
        <w:rPr>
          <w:b/>
          <w:sz w:val="28"/>
          <w:szCs w:val="28"/>
        </w:rPr>
      </w:pPr>
      <w:r>
        <w:rPr>
          <w:b/>
          <w:sz w:val="28"/>
          <w:szCs w:val="28"/>
        </w:rPr>
        <w:t>COST AND RESOURCE USE MEASURES</w:t>
      </w:r>
    </w:p>
    <w:tbl>
      <w:tblPr>
        <w:tblStyle w:val="TableGrid"/>
        <w:tblW w:w="10512" w:type="dxa"/>
        <w:tblInd w:w="-162" w:type="dxa"/>
        <w:tblLayout w:type="fixed"/>
        <w:tblLook w:val="04A0" w:firstRow="1" w:lastRow="0" w:firstColumn="1" w:lastColumn="0" w:noHBand="0" w:noVBand="1"/>
      </w:tblPr>
      <w:tblGrid>
        <w:gridCol w:w="936"/>
        <w:gridCol w:w="1742"/>
        <w:gridCol w:w="17"/>
        <w:gridCol w:w="1111"/>
        <w:gridCol w:w="28"/>
        <w:gridCol w:w="2031"/>
        <w:gridCol w:w="39"/>
        <w:gridCol w:w="2700"/>
        <w:gridCol w:w="19"/>
        <w:gridCol w:w="1889"/>
      </w:tblGrid>
      <w:tr w:rsidR="00624EED" w:rsidTr="00624EED">
        <w:trPr>
          <w:tblHeader/>
        </w:trPr>
        <w:tc>
          <w:tcPr>
            <w:tcW w:w="936" w:type="dxa"/>
          </w:tcPr>
          <w:p w:rsidR="00624EED" w:rsidRPr="00181E01" w:rsidRDefault="00624EED" w:rsidP="00AE62AB">
            <w:pPr>
              <w:pStyle w:val="NoSpacing"/>
              <w:rPr>
                <w:b/>
              </w:rPr>
            </w:pPr>
            <w:r>
              <w:rPr>
                <w:b/>
              </w:rPr>
              <w:t>Row #</w:t>
            </w:r>
          </w:p>
        </w:tc>
        <w:tc>
          <w:tcPr>
            <w:tcW w:w="1742" w:type="dxa"/>
          </w:tcPr>
          <w:p w:rsidR="00624EED" w:rsidRPr="00181E01" w:rsidRDefault="00624EED" w:rsidP="00AE62AB">
            <w:pPr>
              <w:pStyle w:val="NoSpacing"/>
              <w:rPr>
                <w:b/>
              </w:rPr>
            </w:pPr>
            <w:r w:rsidRPr="00181E01">
              <w:rPr>
                <w:b/>
              </w:rPr>
              <w:t>Steward</w:t>
            </w:r>
          </w:p>
        </w:tc>
        <w:tc>
          <w:tcPr>
            <w:tcW w:w="1128" w:type="dxa"/>
            <w:gridSpan w:val="2"/>
          </w:tcPr>
          <w:p w:rsidR="00624EED" w:rsidRPr="00181E01" w:rsidRDefault="00624EED" w:rsidP="00AE62AB">
            <w:pPr>
              <w:pStyle w:val="NoSpacing"/>
              <w:rPr>
                <w:b/>
              </w:rPr>
            </w:pPr>
            <w:r w:rsidRPr="00181E01">
              <w:rPr>
                <w:b/>
              </w:rPr>
              <w:t>NQF #</w:t>
            </w:r>
          </w:p>
        </w:tc>
        <w:tc>
          <w:tcPr>
            <w:tcW w:w="2059" w:type="dxa"/>
            <w:gridSpan w:val="2"/>
          </w:tcPr>
          <w:p w:rsidR="00624EED" w:rsidRPr="00181E01" w:rsidRDefault="00624EED" w:rsidP="00AE62AB">
            <w:pPr>
              <w:pStyle w:val="NoSpacing"/>
              <w:rPr>
                <w:b/>
              </w:rPr>
            </w:pPr>
            <w:r w:rsidRPr="00181E01">
              <w:rPr>
                <w:b/>
              </w:rPr>
              <w:t>Title</w:t>
            </w:r>
          </w:p>
        </w:tc>
        <w:tc>
          <w:tcPr>
            <w:tcW w:w="2758" w:type="dxa"/>
            <w:gridSpan w:val="3"/>
          </w:tcPr>
          <w:p w:rsidR="00624EED" w:rsidRPr="00181E01" w:rsidRDefault="00624EED" w:rsidP="00AE62AB">
            <w:pPr>
              <w:pStyle w:val="NoSpacing"/>
              <w:rPr>
                <w:b/>
              </w:rPr>
            </w:pPr>
            <w:r w:rsidRPr="00181E01">
              <w:rPr>
                <w:b/>
              </w:rPr>
              <w:t xml:space="preserve">Description </w:t>
            </w:r>
          </w:p>
        </w:tc>
        <w:tc>
          <w:tcPr>
            <w:tcW w:w="1889" w:type="dxa"/>
          </w:tcPr>
          <w:p w:rsidR="00624EED" w:rsidRPr="00181E01" w:rsidRDefault="00624EED" w:rsidP="00AE62AB">
            <w:pPr>
              <w:pStyle w:val="NoSpacing"/>
              <w:rPr>
                <w:b/>
              </w:rPr>
            </w:pPr>
            <w:r w:rsidRPr="00181E01">
              <w:rPr>
                <w:b/>
              </w:rPr>
              <w:t>Notes</w:t>
            </w:r>
          </w:p>
        </w:tc>
      </w:tr>
      <w:tr w:rsidR="00624EED" w:rsidTr="003D2931">
        <w:tc>
          <w:tcPr>
            <w:tcW w:w="10512" w:type="dxa"/>
            <w:gridSpan w:val="10"/>
          </w:tcPr>
          <w:p w:rsidR="00624EED" w:rsidRPr="00624EED" w:rsidRDefault="00624EED" w:rsidP="00AE62AB">
            <w:pPr>
              <w:pStyle w:val="NoSpacing"/>
              <w:rPr>
                <w:b/>
                <w:sz w:val="28"/>
                <w:szCs w:val="28"/>
              </w:rPr>
            </w:pPr>
            <w:r w:rsidRPr="00624EED">
              <w:rPr>
                <w:b/>
                <w:sz w:val="28"/>
                <w:szCs w:val="28"/>
              </w:rPr>
              <w:t>UTILIZATION</w:t>
            </w:r>
          </w:p>
        </w:tc>
      </w:tr>
      <w:tr w:rsidR="00624EED" w:rsidTr="00624EED">
        <w:tc>
          <w:tcPr>
            <w:tcW w:w="936" w:type="dxa"/>
          </w:tcPr>
          <w:p w:rsidR="00624EED" w:rsidRDefault="00624EED" w:rsidP="00AE62AB">
            <w:pPr>
              <w:pStyle w:val="NoSpacing"/>
            </w:pPr>
            <w:r>
              <w:t>1</w:t>
            </w:r>
          </w:p>
        </w:tc>
        <w:tc>
          <w:tcPr>
            <w:tcW w:w="1742" w:type="dxa"/>
          </w:tcPr>
          <w:p w:rsidR="00624EED" w:rsidRDefault="00624EED" w:rsidP="00AE62AB">
            <w:pPr>
              <w:pStyle w:val="NoSpacing"/>
            </w:pPr>
            <w:r>
              <w:t>United Health Group</w:t>
            </w:r>
          </w:p>
        </w:tc>
        <w:tc>
          <w:tcPr>
            <w:tcW w:w="1128" w:type="dxa"/>
            <w:gridSpan w:val="2"/>
          </w:tcPr>
          <w:p w:rsidR="00624EED" w:rsidRDefault="00624EED" w:rsidP="00AE62AB">
            <w:pPr>
              <w:pStyle w:val="NoSpacing"/>
            </w:pPr>
            <w:r>
              <w:t>0328</w:t>
            </w:r>
          </w:p>
        </w:tc>
        <w:tc>
          <w:tcPr>
            <w:tcW w:w="2059" w:type="dxa"/>
            <w:gridSpan w:val="2"/>
          </w:tcPr>
          <w:p w:rsidR="00624EED" w:rsidRDefault="00624EED" w:rsidP="00AE62AB">
            <w:pPr>
              <w:pStyle w:val="NoSpacing"/>
            </w:pPr>
            <w:r>
              <w:t>Casemix-Adjusted Inpatient Hospital Average Length of Stay</w:t>
            </w:r>
          </w:p>
        </w:tc>
        <w:tc>
          <w:tcPr>
            <w:tcW w:w="2758" w:type="dxa"/>
            <w:gridSpan w:val="3"/>
          </w:tcPr>
          <w:p w:rsidR="00624EED" w:rsidRDefault="00624EED" w:rsidP="00AE62AB">
            <w:pPr>
              <w:pStyle w:val="NoSpacing"/>
            </w:pPr>
            <w:r>
              <w:t>This measure calculates a casemix-adjusted inpatient average length of stay (ALOS) for medical and surgical admissions for Commercial and Medicare populations. The measure can be reported at the hospital level or the service category level (medical vs. surgical).</w:t>
            </w:r>
          </w:p>
        </w:tc>
        <w:tc>
          <w:tcPr>
            <w:tcW w:w="1889" w:type="dxa"/>
          </w:tcPr>
          <w:p w:rsidR="00624EED" w:rsidRDefault="00624EED" w:rsidP="00AE62AB">
            <w:pPr>
              <w:pStyle w:val="NoSpacing"/>
            </w:pPr>
          </w:p>
        </w:tc>
      </w:tr>
      <w:tr w:rsidR="00624EED" w:rsidTr="00624EED">
        <w:tc>
          <w:tcPr>
            <w:tcW w:w="936" w:type="dxa"/>
          </w:tcPr>
          <w:p w:rsidR="00624EED" w:rsidRDefault="00624EED" w:rsidP="00AE62AB">
            <w:pPr>
              <w:pStyle w:val="NoSpacing"/>
              <w:rPr>
                <w:rStyle w:val="qps-blocker-label-detail-text"/>
              </w:rPr>
            </w:pPr>
            <w:r>
              <w:rPr>
                <w:rStyle w:val="qps-blocker-label-detail-text"/>
              </w:rPr>
              <w:t>2</w:t>
            </w:r>
          </w:p>
        </w:tc>
        <w:tc>
          <w:tcPr>
            <w:tcW w:w="1742" w:type="dxa"/>
          </w:tcPr>
          <w:p w:rsidR="00624EED" w:rsidRDefault="00624EED" w:rsidP="00AE62AB">
            <w:pPr>
              <w:pStyle w:val="NoSpacing"/>
            </w:pPr>
            <w:r>
              <w:rPr>
                <w:rStyle w:val="qps-blocker-label-detail-text"/>
              </w:rPr>
              <w:t>Philip R. Lee Institute for Health Policy Studies</w:t>
            </w:r>
          </w:p>
        </w:tc>
        <w:tc>
          <w:tcPr>
            <w:tcW w:w="1128" w:type="dxa"/>
            <w:gridSpan w:val="2"/>
          </w:tcPr>
          <w:p w:rsidR="00624EED" w:rsidRDefault="00624EED" w:rsidP="00AE62AB">
            <w:pPr>
              <w:pStyle w:val="NoSpacing"/>
            </w:pPr>
            <w:r>
              <w:t>0702</w:t>
            </w:r>
          </w:p>
        </w:tc>
        <w:tc>
          <w:tcPr>
            <w:tcW w:w="2059" w:type="dxa"/>
            <w:gridSpan w:val="2"/>
          </w:tcPr>
          <w:p w:rsidR="00624EED" w:rsidRDefault="00624EED" w:rsidP="00AE62AB">
            <w:pPr>
              <w:pStyle w:val="NoSpacing"/>
            </w:pPr>
            <w:r>
              <w:t>Intensive Care Unit (ICU) Length-of-Stay (LOS)</w:t>
            </w:r>
          </w:p>
        </w:tc>
        <w:tc>
          <w:tcPr>
            <w:tcW w:w="2758" w:type="dxa"/>
            <w:gridSpan w:val="3"/>
          </w:tcPr>
          <w:p w:rsidR="00624EED" w:rsidRDefault="00624EED" w:rsidP="00AE62AB">
            <w:pPr>
              <w:pStyle w:val="NoSpacing"/>
            </w:pPr>
            <w:r>
              <w:t>For all patients admitted to the ICU, total duration of time spent in the ICU until time of discharge; both observed and risk-adjusted LOS reported with the predicted LOS measured using the Intensive Care Outcomes Model - Length-of-Stay (ICOMLOS).</w:t>
            </w:r>
          </w:p>
        </w:tc>
        <w:tc>
          <w:tcPr>
            <w:tcW w:w="1889" w:type="dxa"/>
          </w:tcPr>
          <w:p w:rsidR="00624EED" w:rsidRDefault="00624EED" w:rsidP="00AE62AB">
            <w:pPr>
              <w:pStyle w:val="NoSpacing"/>
            </w:pPr>
          </w:p>
        </w:tc>
      </w:tr>
      <w:tr w:rsidR="00624EED" w:rsidTr="00624EED">
        <w:tc>
          <w:tcPr>
            <w:tcW w:w="936" w:type="dxa"/>
          </w:tcPr>
          <w:p w:rsidR="00624EED" w:rsidRDefault="00624EED" w:rsidP="00AE62AB">
            <w:pPr>
              <w:pStyle w:val="NoSpacing"/>
            </w:pPr>
            <w:r>
              <w:t>3</w:t>
            </w:r>
          </w:p>
        </w:tc>
        <w:tc>
          <w:tcPr>
            <w:tcW w:w="1742" w:type="dxa"/>
          </w:tcPr>
          <w:p w:rsidR="00624EED" w:rsidRDefault="00624EED" w:rsidP="00AE62AB">
            <w:pPr>
              <w:pStyle w:val="NoSpacing"/>
            </w:pPr>
            <w:r>
              <w:t>AHRQ</w:t>
            </w:r>
          </w:p>
        </w:tc>
        <w:tc>
          <w:tcPr>
            <w:tcW w:w="1128" w:type="dxa"/>
            <w:gridSpan w:val="2"/>
          </w:tcPr>
          <w:p w:rsidR="00624EED" w:rsidRDefault="00624EED" w:rsidP="00AE62AB">
            <w:pPr>
              <w:pStyle w:val="NoSpacing"/>
            </w:pPr>
            <w:r>
              <w:t>0340</w:t>
            </w:r>
          </w:p>
        </w:tc>
        <w:tc>
          <w:tcPr>
            <w:tcW w:w="2059" w:type="dxa"/>
            <w:gridSpan w:val="2"/>
          </w:tcPr>
          <w:p w:rsidR="00624EED" w:rsidRDefault="00624EED" w:rsidP="00AE62AB">
            <w:pPr>
              <w:pStyle w:val="NoSpacing"/>
            </w:pPr>
            <w:r>
              <w:t>Pediatric Heart Surgery Volume (PDI 7)</w:t>
            </w:r>
          </w:p>
        </w:tc>
        <w:tc>
          <w:tcPr>
            <w:tcW w:w="2758" w:type="dxa"/>
            <w:gridSpan w:val="3"/>
          </w:tcPr>
          <w:p w:rsidR="00624EED" w:rsidRDefault="00624EED" w:rsidP="00AE62AB">
            <w:pPr>
              <w:pStyle w:val="NoSpacing"/>
            </w:pPr>
            <w:r>
              <w:t>Number of discharges with procedure for pediatric heart surgery</w:t>
            </w:r>
          </w:p>
        </w:tc>
        <w:tc>
          <w:tcPr>
            <w:tcW w:w="1889" w:type="dxa"/>
          </w:tcPr>
          <w:p w:rsidR="00624EED" w:rsidRDefault="00624EED" w:rsidP="00AE62AB">
            <w:pPr>
              <w:pStyle w:val="NoSpacing"/>
            </w:pPr>
          </w:p>
        </w:tc>
      </w:tr>
      <w:tr w:rsidR="00624EED" w:rsidTr="00624EED">
        <w:tc>
          <w:tcPr>
            <w:tcW w:w="936" w:type="dxa"/>
          </w:tcPr>
          <w:p w:rsidR="00624EED" w:rsidRPr="00AE6F11" w:rsidRDefault="00624EED" w:rsidP="00AE62AB">
            <w:pPr>
              <w:rPr>
                <w:rFonts w:eastAsia="Times New Roman" w:cs="Times New Roman"/>
              </w:rPr>
            </w:pPr>
            <w:r>
              <w:rPr>
                <w:rFonts w:eastAsia="Times New Roman" w:cs="Times New Roman"/>
              </w:rPr>
              <w:t>4</w:t>
            </w:r>
          </w:p>
        </w:tc>
        <w:tc>
          <w:tcPr>
            <w:tcW w:w="1742" w:type="dxa"/>
          </w:tcPr>
          <w:p w:rsidR="00624EED" w:rsidRPr="00AE6F11" w:rsidRDefault="00624EED" w:rsidP="00AE62AB">
            <w:pPr>
              <w:rPr>
                <w:rFonts w:eastAsia="Times New Roman" w:cs="Times New Roman"/>
              </w:rPr>
            </w:pPr>
            <w:r w:rsidRPr="00AE6F11">
              <w:rPr>
                <w:rFonts w:eastAsia="Times New Roman" w:cs="Times New Roman"/>
              </w:rPr>
              <w:t xml:space="preserve">Virtual PICU Systems, LLC </w:t>
            </w:r>
          </w:p>
          <w:p w:rsidR="00624EED" w:rsidRDefault="00624EED" w:rsidP="00AE62AB">
            <w:pPr>
              <w:pStyle w:val="NoSpacing"/>
            </w:pPr>
          </w:p>
        </w:tc>
        <w:tc>
          <w:tcPr>
            <w:tcW w:w="1128" w:type="dxa"/>
            <w:gridSpan w:val="2"/>
          </w:tcPr>
          <w:p w:rsidR="00624EED" w:rsidRDefault="00624EED" w:rsidP="00AE62AB">
            <w:pPr>
              <w:pStyle w:val="NoSpacing"/>
            </w:pPr>
            <w:r>
              <w:t>0334</w:t>
            </w:r>
          </w:p>
        </w:tc>
        <w:tc>
          <w:tcPr>
            <w:tcW w:w="2059" w:type="dxa"/>
            <w:gridSpan w:val="2"/>
          </w:tcPr>
          <w:p w:rsidR="00624EED" w:rsidRDefault="00624EED" w:rsidP="00AE62AB">
            <w:pPr>
              <w:pStyle w:val="NoSpacing"/>
            </w:pPr>
            <w:r>
              <w:t>PICU Severity-adjusted Length of Stay</w:t>
            </w:r>
          </w:p>
        </w:tc>
        <w:tc>
          <w:tcPr>
            <w:tcW w:w="2758" w:type="dxa"/>
            <w:gridSpan w:val="3"/>
          </w:tcPr>
          <w:p w:rsidR="00624EED" w:rsidRDefault="00624EED" w:rsidP="00AE62AB">
            <w:pPr>
              <w:pStyle w:val="NoSpacing"/>
            </w:pPr>
            <w:r>
              <w:t>The number of days between PICU admission and PICU discharge.</w:t>
            </w:r>
          </w:p>
        </w:tc>
        <w:tc>
          <w:tcPr>
            <w:tcW w:w="1889" w:type="dxa"/>
          </w:tcPr>
          <w:p w:rsidR="00624EED" w:rsidRDefault="00624EED" w:rsidP="00AE62AB">
            <w:pPr>
              <w:pStyle w:val="NoSpacing"/>
            </w:pPr>
          </w:p>
        </w:tc>
      </w:tr>
      <w:tr w:rsidR="00624EED" w:rsidTr="00624EED">
        <w:tc>
          <w:tcPr>
            <w:tcW w:w="936" w:type="dxa"/>
          </w:tcPr>
          <w:p w:rsidR="00624EED" w:rsidRDefault="00624EED" w:rsidP="00AE62AB">
            <w:pPr>
              <w:pStyle w:val="NoSpacing"/>
            </w:pPr>
            <w:r>
              <w:t>5</w:t>
            </w:r>
          </w:p>
        </w:tc>
        <w:tc>
          <w:tcPr>
            <w:tcW w:w="1742" w:type="dxa"/>
          </w:tcPr>
          <w:p w:rsidR="00624EED" w:rsidRDefault="00624EED" w:rsidP="00AE62AB">
            <w:pPr>
              <w:pStyle w:val="NoSpacing"/>
            </w:pPr>
            <w:r>
              <w:t>Premier, Inc.</w:t>
            </w:r>
          </w:p>
        </w:tc>
        <w:tc>
          <w:tcPr>
            <w:tcW w:w="1128" w:type="dxa"/>
            <w:gridSpan w:val="2"/>
          </w:tcPr>
          <w:p w:rsidR="00624EED" w:rsidRDefault="00624EED" w:rsidP="00AE62AB">
            <w:pPr>
              <w:pStyle w:val="NoSpacing"/>
            </w:pPr>
            <w:r>
              <w:t>0327</w:t>
            </w:r>
          </w:p>
        </w:tc>
        <w:tc>
          <w:tcPr>
            <w:tcW w:w="2059" w:type="dxa"/>
            <w:gridSpan w:val="2"/>
          </w:tcPr>
          <w:p w:rsidR="00624EED" w:rsidRDefault="00624EED" w:rsidP="00AE62AB">
            <w:pPr>
              <w:pStyle w:val="NoSpacing"/>
            </w:pPr>
            <w:r>
              <w:t>Risk-Adjusted Average Length of Inpatient Hospital Stay</w:t>
            </w:r>
          </w:p>
        </w:tc>
        <w:tc>
          <w:tcPr>
            <w:tcW w:w="2758" w:type="dxa"/>
            <w:gridSpan w:val="3"/>
          </w:tcPr>
          <w:p w:rsidR="00624EED" w:rsidRDefault="00624EED" w:rsidP="00AE62AB">
            <w:pPr>
              <w:pStyle w:val="NoSpacing"/>
            </w:pPr>
            <w:r>
              <w:t>Percentage of inpatient &amp; outpatients with excessive in-hospital days</w:t>
            </w:r>
          </w:p>
        </w:tc>
        <w:tc>
          <w:tcPr>
            <w:tcW w:w="1889" w:type="dxa"/>
          </w:tcPr>
          <w:p w:rsidR="00624EED" w:rsidRDefault="00624EED" w:rsidP="00AE62AB">
            <w:pPr>
              <w:pStyle w:val="NoSpacing"/>
            </w:pPr>
          </w:p>
        </w:tc>
      </w:tr>
      <w:tr w:rsidR="00624EED" w:rsidTr="00624EED">
        <w:tc>
          <w:tcPr>
            <w:tcW w:w="936" w:type="dxa"/>
          </w:tcPr>
          <w:p w:rsidR="00624EED" w:rsidRDefault="00624EED" w:rsidP="00AE62AB">
            <w:pPr>
              <w:pStyle w:val="NoSpacing"/>
            </w:pPr>
            <w:r>
              <w:t>6</w:t>
            </w:r>
          </w:p>
        </w:tc>
        <w:tc>
          <w:tcPr>
            <w:tcW w:w="1742" w:type="dxa"/>
          </w:tcPr>
          <w:p w:rsidR="00624EED" w:rsidRDefault="00624EED" w:rsidP="00AE62AB">
            <w:pPr>
              <w:pStyle w:val="NoSpacing"/>
            </w:pPr>
            <w:r>
              <w:t>Leapfrog Group</w:t>
            </w:r>
          </w:p>
        </w:tc>
        <w:tc>
          <w:tcPr>
            <w:tcW w:w="1128" w:type="dxa"/>
            <w:gridSpan w:val="2"/>
          </w:tcPr>
          <w:p w:rsidR="00624EED" w:rsidRDefault="00624EED" w:rsidP="00AE62AB">
            <w:pPr>
              <w:pStyle w:val="NoSpacing"/>
            </w:pPr>
            <w:r>
              <w:t>0331 (though no longer endorsed)</w:t>
            </w:r>
          </w:p>
        </w:tc>
        <w:tc>
          <w:tcPr>
            <w:tcW w:w="2059" w:type="dxa"/>
            <w:gridSpan w:val="2"/>
          </w:tcPr>
          <w:p w:rsidR="00624EED" w:rsidRDefault="00624EED" w:rsidP="00AE62AB">
            <w:pPr>
              <w:pStyle w:val="NoSpacing"/>
            </w:pPr>
            <w:r>
              <w:t>Severity-Standardized Average Length of Stay -- Routine Care (risk adjusted)</w:t>
            </w:r>
          </w:p>
        </w:tc>
        <w:tc>
          <w:tcPr>
            <w:tcW w:w="2758" w:type="dxa"/>
            <w:gridSpan w:val="3"/>
          </w:tcPr>
          <w:p w:rsidR="00624EED" w:rsidRDefault="00624EED" w:rsidP="00AE62AB">
            <w:pPr>
              <w:pStyle w:val="NoSpacing"/>
            </w:pPr>
            <w:r>
              <w:t>Standardized average length of hospital stay (ALOS) for routine inpatient care (i.e., care provided outside of intensive care units).</w:t>
            </w:r>
          </w:p>
        </w:tc>
        <w:tc>
          <w:tcPr>
            <w:tcW w:w="1889" w:type="dxa"/>
          </w:tcPr>
          <w:p w:rsidR="00624EED" w:rsidRDefault="00624EED" w:rsidP="00AE62AB">
            <w:pPr>
              <w:pStyle w:val="NoSpacing"/>
            </w:pPr>
          </w:p>
        </w:tc>
      </w:tr>
      <w:tr w:rsidR="00624EED" w:rsidTr="00624EED">
        <w:tc>
          <w:tcPr>
            <w:tcW w:w="936" w:type="dxa"/>
          </w:tcPr>
          <w:p w:rsidR="00624EED" w:rsidRDefault="00624EED" w:rsidP="00AE62AB">
            <w:pPr>
              <w:pStyle w:val="NoSpacing"/>
              <w:rPr>
                <w:rStyle w:val="qps-blocker-label-detail-text"/>
              </w:rPr>
            </w:pPr>
            <w:r>
              <w:rPr>
                <w:rStyle w:val="qps-blocker-label-detail-text"/>
              </w:rPr>
              <w:t>7</w:t>
            </w:r>
          </w:p>
        </w:tc>
        <w:tc>
          <w:tcPr>
            <w:tcW w:w="1742" w:type="dxa"/>
          </w:tcPr>
          <w:p w:rsidR="00624EED" w:rsidRDefault="00624EED" w:rsidP="00AE62AB">
            <w:pPr>
              <w:pStyle w:val="NoSpacing"/>
            </w:pPr>
            <w:r>
              <w:rPr>
                <w:rStyle w:val="qps-blocker-label-detail-text"/>
              </w:rPr>
              <w:t xml:space="preserve">The Society of Thoracic </w:t>
            </w:r>
            <w:r>
              <w:rPr>
                <w:rStyle w:val="qps-blocker-label-detail-text"/>
              </w:rPr>
              <w:lastRenderedPageBreak/>
              <w:t>Surgeons</w:t>
            </w:r>
          </w:p>
        </w:tc>
        <w:tc>
          <w:tcPr>
            <w:tcW w:w="1128" w:type="dxa"/>
            <w:gridSpan w:val="2"/>
          </w:tcPr>
          <w:p w:rsidR="00624EED" w:rsidRDefault="00624EED" w:rsidP="00AE62AB">
            <w:pPr>
              <w:pStyle w:val="NoSpacing"/>
            </w:pPr>
            <w:r>
              <w:lastRenderedPageBreak/>
              <w:t>0732</w:t>
            </w:r>
          </w:p>
        </w:tc>
        <w:tc>
          <w:tcPr>
            <w:tcW w:w="2059" w:type="dxa"/>
            <w:gridSpan w:val="2"/>
          </w:tcPr>
          <w:p w:rsidR="00624EED" w:rsidRDefault="00624EED" w:rsidP="00AE62AB">
            <w:pPr>
              <w:pStyle w:val="NoSpacing"/>
            </w:pPr>
            <w:r>
              <w:t xml:space="preserve">Surgical Volume for Pediatric and </w:t>
            </w:r>
            <w:r>
              <w:lastRenderedPageBreak/>
              <w:t>Congenital Heart Surgery: Total Programmatic Volume and Programmatic Volume Stratified by the Five STS-EACTS Mortality Categories</w:t>
            </w:r>
          </w:p>
        </w:tc>
        <w:tc>
          <w:tcPr>
            <w:tcW w:w="2758" w:type="dxa"/>
            <w:gridSpan w:val="3"/>
          </w:tcPr>
          <w:p w:rsidR="00624EED" w:rsidRDefault="00624EED" w:rsidP="00AE62AB">
            <w:pPr>
              <w:pStyle w:val="NoSpacing"/>
            </w:pPr>
            <w:r>
              <w:lastRenderedPageBreak/>
              <w:t xml:space="preserve">Surgical volume for pediatric and congenital </w:t>
            </w:r>
            <w:r>
              <w:lastRenderedPageBreak/>
              <w:t>heart surgery: total programmatic volume and programmatic volume stratified by the five STS-EACTS Mortality Levels, a multi-institutional validated complexity stratification tool</w:t>
            </w:r>
          </w:p>
        </w:tc>
        <w:tc>
          <w:tcPr>
            <w:tcW w:w="1889" w:type="dxa"/>
          </w:tcPr>
          <w:p w:rsidR="00624EED" w:rsidRDefault="00624EED" w:rsidP="00AE62AB">
            <w:pPr>
              <w:pStyle w:val="NoSpacing"/>
            </w:pPr>
          </w:p>
        </w:tc>
      </w:tr>
      <w:tr w:rsidR="00624EED" w:rsidTr="00446405">
        <w:tc>
          <w:tcPr>
            <w:tcW w:w="10512" w:type="dxa"/>
            <w:gridSpan w:val="10"/>
          </w:tcPr>
          <w:p w:rsidR="00624EED" w:rsidRPr="00624EED" w:rsidRDefault="00624EED" w:rsidP="00624EED">
            <w:pPr>
              <w:pStyle w:val="NoSpacing"/>
              <w:rPr>
                <w:b/>
                <w:sz w:val="28"/>
                <w:szCs w:val="28"/>
              </w:rPr>
            </w:pPr>
            <w:r w:rsidRPr="00624EED">
              <w:rPr>
                <w:b/>
                <w:sz w:val="28"/>
                <w:szCs w:val="28"/>
              </w:rPr>
              <w:lastRenderedPageBreak/>
              <w:t>CONDITION- OR PROCEDURE-SPECIFIC</w:t>
            </w:r>
          </w:p>
        </w:tc>
      </w:tr>
      <w:tr w:rsidR="00C4271B" w:rsidTr="00624EED">
        <w:tc>
          <w:tcPr>
            <w:tcW w:w="936" w:type="dxa"/>
          </w:tcPr>
          <w:p w:rsidR="00C4271B" w:rsidRDefault="00C4271B" w:rsidP="00AE62AB">
            <w:pPr>
              <w:pStyle w:val="NoSpacing"/>
            </w:pPr>
            <w:r>
              <w:t>8</w:t>
            </w:r>
          </w:p>
        </w:tc>
        <w:tc>
          <w:tcPr>
            <w:tcW w:w="1742" w:type="dxa"/>
            <w:vMerge w:val="restart"/>
          </w:tcPr>
          <w:p w:rsidR="00C4271B" w:rsidRDefault="00C4271B" w:rsidP="00AE62AB">
            <w:pPr>
              <w:pStyle w:val="NoSpacing"/>
            </w:pPr>
          </w:p>
        </w:tc>
        <w:tc>
          <w:tcPr>
            <w:tcW w:w="1156" w:type="dxa"/>
            <w:gridSpan w:val="3"/>
          </w:tcPr>
          <w:p w:rsidR="00C4271B" w:rsidRDefault="00C4271B" w:rsidP="00AE62AB">
            <w:pPr>
              <w:pStyle w:val="NoSpacing"/>
            </w:pPr>
            <w:r>
              <w:t>1560</w:t>
            </w:r>
          </w:p>
        </w:tc>
        <w:tc>
          <w:tcPr>
            <w:tcW w:w="2031" w:type="dxa"/>
          </w:tcPr>
          <w:p w:rsidR="00C4271B" w:rsidRDefault="00C4271B" w:rsidP="004A165C">
            <w:pPr>
              <w:pStyle w:val="NoSpacing"/>
            </w:pPr>
            <w:r>
              <w:t>Relative Resource Use (RRU) for People with Asthma</w:t>
            </w:r>
          </w:p>
        </w:tc>
        <w:tc>
          <w:tcPr>
            <w:tcW w:w="2758" w:type="dxa"/>
            <w:gridSpan w:val="3"/>
          </w:tcPr>
          <w:p w:rsidR="00C4271B" w:rsidRDefault="00C4271B" w:rsidP="004A165C">
            <w:pPr>
              <w:pStyle w:val="NoSpacing"/>
            </w:pPr>
            <w:r>
              <w:t>The risk-adjusted relative resource use by patients with asthma during the measurement year.</w:t>
            </w:r>
          </w:p>
        </w:tc>
        <w:tc>
          <w:tcPr>
            <w:tcW w:w="1889" w:type="dxa"/>
            <w:vMerge w:val="restart"/>
          </w:tcPr>
          <w:p w:rsidR="00C4271B" w:rsidRDefault="00C4271B" w:rsidP="004A165C">
            <w:pPr>
              <w:pStyle w:val="NoSpacing"/>
            </w:pPr>
            <w:r w:rsidRPr="00AE62AB">
              <w:t>NCQA computes a relative resource use index and a quality index (derived from the NCQA quality measures for each specific condition) to allow for comparison of plans on both resource use and quality at the same time.</w:t>
            </w:r>
          </w:p>
          <w:p w:rsidR="00C4271B" w:rsidRDefault="00C4271B" w:rsidP="004A165C">
            <w:pPr>
              <w:pStyle w:val="NoSpacing"/>
            </w:pPr>
          </w:p>
          <w:p w:rsidR="00C4271B" w:rsidRDefault="00C4271B" w:rsidP="004A165C">
            <w:pPr>
              <w:pStyle w:val="NoSpacing"/>
              <w:rPr>
                <w:rFonts w:ascii="Calibri" w:hAnsi="Calibri"/>
                <w:color w:val="1F497D"/>
              </w:rPr>
            </w:pPr>
            <w:r>
              <w:t xml:space="preserve">The RRU measures are population based measures that are used to compare health plans or ACOs </w:t>
            </w:r>
            <w:r w:rsidRPr="00B74152">
              <w:rPr>
                <w:rFonts w:ascii="Calibri" w:hAnsi="Calibri"/>
              </w:rPr>
              <w:t>on resources used to care for beneficiaries with six conditions.</w:t>
            </w:r>
          </w:p>
          <w:p w:rsidR="00C4271B" w:rsidRDefault="00C4271B" w:rsidP="004A165C">
            <w:pPr>
              <w:pStyle w:val="NoSpacing"/>
            </w:pPr>
          </w:p>
          <w:p w:rsidR="00C4271B" w:rsidRPr="007C4F44" w:rsidRDefault="00C4271B" w:rsidP="004A165C">
            <w:pPr>
              <w:pStyle w:val="NoSpacing"/>
              <w:rPr>
                <w:rFonts w:ascii="Calibri" w:hAnsi="Calibri"/>
              </w:rPr>
            </w:pPr>
            <w:r>
              <w:t xml:space="preserve">Published tables allow organizations to match severity-adjusted resource use within service categories </w:t>
            </w:r>
            <w:r w:rsidRPr="00B74152">
              <w:t>(</w:t>
            </w:r>
            <w:r w:rsidRPr="00B74152">
              <w:rPr>
                <w:rFonts w:ascii="Calibri" w:hAnsi="Calibri"/>
              </w:rPr>
              <w:t xml:space="preserve">Inpatient Facility, Surgery and Procedure, </w:t>
            </w:r>
            <w:r w:rsidRPr="00B74152">
              <w:rPr>
                <w:rFonts w:ascii="Calibri" w:hAnsi="Calibri"/>
              </w:rPr>
              <w:lastRenderedPageBreak/>
              <w:t>Evaluation and Management (E&amp;M), and Pharmacy)</w:t>
            </w:r>
            <w:r>
              <w:rPr>
                <w:rFonts w:ascii="Calibri" w:hAnsi="Calibri"/>
              </w:rPr>
              <w:t xml:space="preserve"> to a standardized allowed payment in order to calculate total standard costs for their eligible members across different areas of clinical care.</w:t>
            </w:r>
          </w:p>
        </w:tc>
      </w:tr>
      <w:tr w:rsidR="00C4271B" w:rsidTr="00624EED">
        <w:tc>
          <w:tcPr>
            <w:tcW w:w="936" w:type="dxa"/>
          </w:tcPr>
          <w:p w:rsidR="00C4271B" w:rsidRDefault="00C4271B" w:rsidP="00AE62AB">
            <w:pPr>
              <w:pStyle w:val="NoSpacing"/>
            </w:pPr>
            <w:r>
              <w:t>9</w:t>
            </w:r>
          </w:p>
        </w:tc>
        <w:tc>
          <w:tcPr>
            <w:tcW w:w="1742" w:type="dxa"/>
            <w:vMerge/>
          </w:tcPr>
          <w:p w:rsidR="00C4271B" w:rsidRDefault="00C4271B" w:rsidP="00AE62AB">
            <w:pPr>
              <w:pStyle w:val="NoSpacing"/>
            </w:pPr>
          </w:p>
        </w:tc>
        <w:tc>
          <w:tcPr>
            <w:tcW w:w="1156" w:type="dxa"/>
            <w:gridSpan w:val="3"/>
          </w:tcPr>
          <w:p w:rsidR="00C4271B" w:rsidRDefault="00C4271B" w:rsidP="004A165C">
            <w:pPr>
              <w:pStyle w:val="NoSpacing"/>
            </w:pPr>
            <w:r>
              <w:t>1557</w:t>
            </w:r>
          </w:p>
        </w:tc>
        <w:tc>
          <w:tcPr>
            <w:tcW w:w="2031" w:type="dxa"/>
          </w:tcPr>
          <w:p w:rsidR="00C4271B" w:rsidRDefault="00C4271B" w:rsidP="004A165C">
            <w:pPr>
              <w:pStyle w:val="NoSpacing"/>
            </w:pPr>
            <w:r>
              <w:t>Relative Resource Use for People with Diabetes</w:t>
            </w:r>
          </w:p>
        </w:tc>
        <w:tc>
          <w:tcPr>
            <w:tcW w:w="2758" w:type="dxa"/>
            <w:gridSpan w:val="3"/>
          </w:tcPr>
          <w:p w:rsidR="00C4271B" w:rsidRDefault="00C4271B" w:rsidP="004A165C">
            <w:pPr>
              <w:pStyle w:val="NoSpacing"/>
            </w:pPr>
            <w:r>
              <w:t>The risk-adjusted relative resource use by patients with diabetes (type 1 and type 2) during the measurement year.</w:t>
            </w:r>
          </w:p>
        </w:tc>
        <w:tc>
          <w:tcPr>
            <w:tcW w:w="1889" w:type="dxa"/>
            <w:vMerge/>
          </w:tcPr>
          <w:p w:rsidR="00C4271B" w:rsidRDefault="00C4271B" w:rsidP="00AE62AB">
            <w:pPr>
              <w:pStyle w:val="NoSpacing"/>
            </w:pPr>
          </w:p>
        </w:tc>
      </w:tr>
      <w:tr w:rsidR="00C4271B" w:rsidTr="00624EED">
        <w:tc>
          <w:tcPr>
            <w:tcW w:w="936" w:type="dxa"/>
          </w:tcPr>
          <w:p w:rsidR="00C4271B" w:rsidRDefault="00C4271B" w:rsidP="00AE62AB">
            <w:pPr>
              <w:pStyle w:val="NoSpacing"/>
            </w:pPr>
            <w:r>
              <w:t>10</w:t>
            </w:r>
          </w:p>
        </w:tc>
        <w:tc>
          <w:tcPr>
            <w:tcW w:w="1742" w:type="dxa"/>
            <w:vMerge/>
          </w:tcPr>
          <w:p w:rsidR="00C4271B" w:rsidRDefault="00C4271B" w:rsidP="00AE62AB">
            <w:pPr>
              <w:pStyle w:val="NoSpacing"/>
            </w:pPr>
          </w:p>
        </w:tc>
        <w:tc>
          <w:tcPr>
            <w:tcW w:w="1156" w:type="dxa"/>
            <w:gridSpan w:val="3"/>
          </w:tcPr>
          <w:p w:rsidR="00C4271B" w:rsidRDefault="00C4271B" w:rsidP="004A165C">
            <w:pPr>
              <w:pStyle w:val="NoSpacing"/>
            </w:pPr>
            <w:r>
              <w:t>1558</w:t>
            </w:r>
          </w:p>
        </w:tc>
        <w:tc>
          <w:tcPr>
            <w:tcW w:w="2031" w:type="dxa"/>
          </w:tcPr>
          <w:p w:rsidR="00C4271B" w:rsidRDefault="00C4271B" w:rsidP="004A165C">
            <w:pPr>
              <w:pStyle w:val="NoSpacing"/>
            </w:pPr>
            <w:r>
              <w:t>Relative Resource Use for People with Cardiovascular Conditions</w:t>
            </w:r>
          </w:p>
        </w:tc>
        <w:tc>
          <w:tcPr>
            <w:tcW w:w="2758" w:type="dxa"/>
            <w:gridSpan w:val="3"/>
          </w:tcPr>
          <w:p w:rsidR="00C4271B" w:rsidRDefault="00C4271B" w:rsidP="004A165C">
            <w:pPr>
              <w:pStyle w:val="NoSpacing"/>
            </w:pPr>
            <w:r>
              <w:t>The risk-adjusted relative resource use by patients with specific cardiovascular conditions during the measurement year.</w:t>
            </w:r>
          </w:p>
        </w:tc>
        <w:tc>
          <w:tcPr>
            <w:tcW w:w="1889" w:type="dxa"/>
            <w:vMerge/>
          </w:tcPr>
          <w:p w:rsidR="00C4271B" w:rsidRDefault="00C4271B" w:rsidP="00AE62AB">
            <w:pPr>
              <w:pStyle w:val="NoSpacing"/>
            </w:pPr>
          </w:p>
        </w:tc>
      </w:tr>
      <w:tr w:rsidR="00C4271B" w:rsidTr="00624EED">
        <w:tc>
          <w:tcPr>
            <w:tcW w:w="936" w:type="dxa"/>
          </w:tcPr>
          <w:p w:rsidR="00C4271B" w:rsidRDefault="00C4271B" w:rsidP="00AE62AB">
            <w:pPr>
              <w:pStyle w:val="NoSpacing"/>
            </w:pPr>
            <w:r>
              <w:t>11</w:t>
            </w:r>
          </w:p>
        </w:tc>
        <w:tc>
          <w:tcPr>
            <w:tcW w:w="1742" w:type="dxa"/>
            <w:vMerge/>
          </w:tcPr>
          <w:p w:rsidR="00C4271B" w:rsidRDefault="00C4271B" w:rsidP="00AE62AB">
            <w:pPr>
              <w:pStyle w:val="NoSpacing"/>
            </w:pPr>
          </w:p>
        </w:tc>
        <w:tc>
          <w:tcPr>
            <w:tcW w:w="1156" w:type="dxa"/>
            <w:gridSpan w:val="3"/>
          </w:tcPr>
          <w:p w:rsidR="00C4271B" w:rsidRDefault="00C4271B" w:rsidP="004A165C">
            <w:pPr>
              <w:pStyle w:val="NoSpacing"/>
            </w:pPr>
            <w:r>
              <w:t>1561</w:t>
            </w:r>
          </w:p>
        </w:tc>
        <w:tc>
          <w:tcPr>
            <w:tcW w:w="2031" w:type="dxa"/>
          </w:tcPr>
          <w:p w:rsidR="00C4271B" w:rsidRDefault="00C4271B" w:rsidP="004A165C">
            <w:pPr>
              <w:pStyle w:val="NoSpacing"/>
            </w:pPr>
            <w:r>
              <w:t>Relative Resource Use for People with Chronic Obstructive Pulmonary Disease</w:t>
            </w:r>
          </w:p>
        </w:tc>
        <w:tc>
          <w:tcPr>
            <w:tcW w:w="2758" w:type="dxa"/>
            <w:gridSpan w:val="3"/>
          </w:tcPr>
          <w:p w:rsidR="00C4271B" w:rsidRDefault="00C4271B" w:rsidP="004A165C">
            <w:pPr>
              <w:pStyle w:val="NoSpacing"/>
            </w:pPr>
            <w:r>
              <w:t>The risk-adjusted relative resource use by patients with COPD during the measurement year.</w:t>
            </w:r>
          </w:p>
        </w:tc>
        <w:tc>
          <w:tcPr>
            <w:tcW w:w="1889" w:type="dxa"/>
            <w:vMerge/>
          </w:tcPr>
          <w:p w:rsidR="00C4271B" w:rsidRDefault="00C4271B" w:rsidP="00AE62AB">
            <w:pPr>
              <w:pStyle w:val="NoSpacing"/>
            </w:pPr>
          </w:p>
        </w:tc>
      </w:tr>
      <w:tr w:rsidR="00C4271B" w:rsidTr="00624EED">
        <w:tc>
          <w:tcPr>
            <w:tcW w:w="936" w:type="dxa"/>
          </w:tcPr>
          <w:p w:rsidR="00C4271B" w:rsidRDefault="00C4271B" w:rsidP="00AE62AB">
            <w:pPr>
              <w:pStyle w:val="NoSpacing"/>
            </w:pPr>
            <w:r>
              <w:t>12</w:t>
            </w:r>
          </w:p>
        </w:tc>
        <w:tc>
          <w:tcPr>
            <w:tcW w:w="1742" w:type="dxa"/>
            <w:vMerge/>
          </w:tcPr>
          <w:p w:rsidR="00C4271B" w:rsidRDefault="00C4271B" w:rsidP="00AE62AB">
            <w:pPr>
              <w:pStyle w:val="NoSpacing"/>
            </w:pPr>
          </w:p>
        </w:tc>
        <w:tc>
          <w:tcPr>
            <w:tcW w:w="1156" w:type="dxa"/>
            <w:gridSpan w:val="3"/>
          </w:tcPr>
          <w:p w:rsidR="00C4271B" w:rsidRDefault="00C4271B" w:rsidP="004A165C">
            <w:pPr>
              <w:pStyle w:val="NoSpacing"/>
            </w:pPr>
          </w:p>
        </w:tc>
        <w:tc>
          <w:tcPr>
            <w:tcW w:w="2031" w:type="dxa"/>
          </w:tcPr>
          <w:p w:rsidR="00C4271B" w:rsidRDefault="00C4271B" w:rsidP="004A165C">
            <w:pPr>
              <w:pStyle w:val="NoSpacing"/>
            </w:pPr>
            <w:r>
              <w:t>Relative Resource Use for People with Hypertension</w:t>
            </w:r>
          </w:p>
        </w:tc>
        <w:tc>
          <w:tcPr>
            <w:tcW w:w="2758" w:type="dxa"/>
            <w:gridSpan w:val="3"/>
          </w:tcPr>
          <w:p w:rsidR="00C4271B" w:rsidRDefault="00C4271B" w:rsidP="004A165C">
            <w:pPr>
              <w:pStyle w:val="NoSpacing"/>
            </w:pPr>
            <w:r>
              <w:t>The risk-adjusted relative resource use by patients with hypertension during the measurement year.</w:t>
            </w:r>
          </w:p>
        </w:tc>
        <w:tc>
          <w:tcPr>
            <w:tcW w:w="1889" w:type="dxa"/>
            <w:vMerge/>
          </w:tcPr>
          <w:p w:rsidR="00C4271B" w:rsidRDefault="00C4271B" w:rsidP="00AE62AB">
            <w:pPr>
              <w:pStyle w:val="NoSpacing"/>
            </w:pPr>
          </w:p>
        </w:tc>
      </w:tr>
      <w:tr w:rsidR="00C4271B" w:rsidTr="00624EED">
        <w:tc>
          <w:tcPr>
            <w:tcW w:w="936" w:type="dxa"/>
          </w:tcPr>
          <w:p w:rsidR="00C4271B" w:rsidRDefault="00C4271B" w:rsidP="00AE62AB">
            <w:pPr>
              <w:pStyle w:val="NoSpacing"/>
            </w:pPr>
            <w:r>
              <w:t>13</w:t>
            </w:r>
          </w:p>
        </w:tc>
        <w:tc>
          <w:tcPr>
            <w:tcW w:w="1742" w:type="dxa"/>
            <w:vMerge/>
          </w:tcPr>
          <w:p w:rsidR="00C4271B" w:rsidRDefault="00C4271B" w:rsidP="00AE62AB">
            <w:pPr>
              <w:pStyle w:val="NoSpacing"/>
            </w:pPr>
          </w:p>
        </w:tc>
        <w:tc>
          <w:tcPr>
            <w:tcW w:w="1156" w:type="dxa"/>
            <w:gridSpan w:val="3"/>
          </w:tcPr>
          <w:p w:rsidR="00C4271B" w:rsidRDefault="00C4271B" w:rsidP="004A165C">
            <w:pPr>
              <w:pStyle w:val="NoSpacing"/>
            </w:pPr>
          </w:p>
        </w:tc>
        <w:tc>
          <w:tcPr>
            <w:tcW w:w="2031" w:type="dxa"/>
          </w:tcPr>
          <w:p w:rsidR="00C4271B" w:rsidRDefault="00C4271B" w:rsidP="004A165C">
            <w:pPr>
              <w:pStyle w:val="NoSpacing"/>
            </w:pPr>
            <w:r>
              <w:t>Relative Resource Use for People with Low Back Pain</w:t>
            </w:r>
          </w:p>
        </w:tc>
        <w:tc>
          <w:tcPr>
            <w:tcW w:w="2758" w:type="dxa"/>
            <w:gridSpan w:val="3"/>
          </w:tcPr>
          <w:p w:rsidR="00C4271B" w:rsidRDefault="00C4271B" w:rsidP="004A165C">
            <w:pPr>
              <w:pStyle w:val="NoSpacing"/>
            </w:pPr>
            <w:r>
              <w:t>The risk-adjusted relative resource use by patients with low back pain during the measurement year.</w:t>
            </w:r>
          </w:p>
        </w:tc>
        <w:tc>
          <w:tcPr>
            <w:tcW w:w="1889" w:type="dxa"/>
            <w:vMerge/>
          </w:tcPr>
          <w:p w:rsidR="00C4271B" w:rsidRDefault="00C4271B" w:rsidP="00AE62AB">
            <w:pPr>
              <w:pStyle w:val="NoSpacing"/>
            </w:pPr>
          </w:p>
        </w:tc>
      </w:tr>
      <w:tr w:rsidR="00C4271B" w:rsidTr="00624EED">
        <w:tc>
          <w:tcPr>
            <w:tcW w:w="936" w:type="dxa"/>
          </w:tcPr>
          <w:p w:rsidR="00C4271B" w:rsidRDefault="00C4271B" w:rsidP="00AE62AB">
            <w:pPr>
              <w:pStyle w:val="NoSpacing"/>
            </w:pPr>
            <w:r>
              <w:lastRenderedPageBreak/>
              <w:t>14</w:t>
            </w:r>
          </w:p>
        </w:tc>
        <w:tc>
          <w:tcPr>
            <w:tcW w:w="1742" w:type="dxa"/>
          </w:tcPr>
          <w:p w:rsidR="00C4271B" w:rsidRDefault="00C4271B" w:rsidP="00AE62AB">
            <w:pPr>
              <w:pStyle w:val="NoSpacing"/>
            </w:pPr>
            <w:r>
              <w:t>Optum</w:t>
            </w:r>
          </w:p>
        </w:tc>
        <w:tc>
          <w:tcPr>
            <w:tcW w:w="1156" w:type="dxa"/>
            <w:gridSpan w:val="3"/>
          </w:tcPr>
          <w:p w:rsidR="00C4271B" w:rsidRDefault="00C4271B" w:rsidP="00AE62AB">
            <w:pPr>
              <w:pStyle w:val="NoSpacing"/>
            </w:pPr>
            <w:r>
              <w:t>1609</w:t>
            </w:r>
          </w:p>
        </w:tc>
        <w:tc>
          <w:tcPr>
            <w:tcW w:w="2031" w:type="dxa"/>
          </w:tcPr>
          <w:p w:rsidR="00C4271B" w:rsidRDefault="00C4271B" w:rsidP="00AE62AB">
            <w:pPr>
              <w:pStyle w:val="NoSpacing"/>
            </w:pPr>
            <w:r>
              <w:t>ETG Based HIP/KNEE REPLACEMENT cost of care measure</w:t>
            </w:r>
          </w:p>
        </w:tc>
        <w:tc>
          <w:tcPr>
            <w:tcW w:w="2758" w:type="dxa"/>
            <w:gridSpan w:val="3"/>
          </w:tcPr>
          <w:p w:rsidR="00C4271B" w:rsidRDefault="00C4271B" w:rsidP="00181E01">
            <w:pPr>
              <w:pStyle w:val="NoSpacing"/>
            </w:pPr>
            <w:r>
              <w:t>The measure focuses on resources used to deliver episodes of care for patients who have undergone a Hip/Knee Replacement. Hip Replacement and Knee Replacement episodes are initially defined using the Episode Treatment Groups (ETG) methodology and presence describe the unique of the condition for a patient and the services involved in diagnosing, managing and treating the condition.</w:t>
            </w:r>
          </w:p>
        </w:tc>
        <w:tc>
          <w:tcPr>
            <w:tcW w:w="1889" w:type="dxa"/>
          </w:tcPr>
          <w:p w:rsidR="00C4271B" w:rsidRDefault="00C4271B" w:rsidP="00AE62AB">
            <w:pPr>
              <w:pStyle w:val="NoSpacing"/>
            </w:pPr>
            <w:r>
              <w:t>This measure is a per episode evaluation.  A number of resource use measures are defined for Hip/Knee Replacement episodes, including overall cost of care, cost of care by type of service, and the utilization of specific types of services.</w:t>
            </w:r>
          </w:p>
        </w:tc>
      </w:tr>
      <w:tr w:rsidR="00C4271B" w:rsidTr="00624EED">
        <w:tc>
          <w:tcPr>
            <w:tcW w:w="936" w:type="dxa"/>
          </w:tcPr>
          <w:p w:rsidR="00C4271B" w:rsidRDefault="00C4271B" w:rsidP="00AE62AB">
            <w:pPr>
              <w:pStyle w:val="NoSpacing"/>
            </w:pPr>
            <w:r>
              <w:t>15</w:t>
            </w:r>
          </w:p>
        </w:tc>
        <w:tc>
          <w:tcPr>
            <w:tcW w:w="1742" w:type="dxa"/>
          </w:tcPr>
          <w:p w:rsidR="00C4271B" w:rsidRDefault="00C4271B" w:rsidP="00AE62AB">
            <w:pPr>
              <w:pStyle w:val="NoSpacing"/>
            </w:pPr>
            <w:r>
              <w:t>Optum</w:t>
            </w:r>
          </w:p>
        </w:tc>
        <w:tc>
          <w:tcPr>
            <w:tcW w:w="1156" w:type="dxa"/>
            <w:gridSpan w:val="3"/>
          </w:tcPr>
          <w:p w:rsidR="00C4271B" w:rsidRDefault="00C4271B" w:rsidP="00AE62AB">
            <w:pPr>
              <w:pStyle w:val="NoSpacing"/>
            </w:pPr>
            <w:r>
              <w:t>1611</w:t>
            </w:r>
          </w:p>
        </w:tc>
        <w:tc>
          <w:tcPr>
            <w:tcW w:w="2031" w:type="dxa"/>
          </w:tcPr>
          <w:p w:rsidR="00C4271B" w:rsidRDefault="00C4271B" w:rsidP="00AE62AB">
            <w:pPr>
              <w:pStyle w:val="NoSpacing"/>
            </w:pPr>
            <w:r>
              <w:t>ETG Based PNEUMONIA cost of care measure</w:t>
            </w:r>
          </w:p>
        </w:tc>
        <w:tc>
          <w:tcPr>
            <w:tcW w:w="2758" w:type="dxa"/>
            <w:gridSpan w:val="3"/>
          </w:tcPr>
          <w:p w:rsidR="00C4271B" w:rsidRDefault="00C4271B" w:rsidP="00AE62AB">
            <w:pPr>
              <w:pStyle w:val="NoSpacing"/>
            </w:pPr>
            <w:r>
              <w:t>The measure focuses on resources used to deliver episodes of care for patients with pneumonia. Pneumonia episodes are defined using the Episode Treatment Groups (ETG) methodology and describe the unique presence of the condition for a patient and the services involved in diagnosing, managing and treating pneumonia.</w:t>
            </w:r>
          </w:p>
        </w:tc>
        <w:tc>
          <w:tcPr>
            <w:tcW w:w="1889" w:type="dxa"/>
          </w:tcPr>
          <w:p w:rsidR="00C4271B" w:rsidRDefault="00C4271B" w:rsidP="00AE62AB">
            <w:pPr>
              <w:pStyle w:val="NoSpacing"/>
            </w:pPr>
            <w:r>
              <w:t xml:space="preserve">A number of resource use measures are defined for pneumonia episodes, including overall cost of care, cost of care by type of service, and the utilization of specific types of services. Each resource use measure is expressed as a cost or a </w:t>
            </w:r>
            <w:r>
              <w:lastRenderedPageBreak/>
              <w:t>utilization count per episode and comparisons with internal and external benchmarks are made using risk adjustment to support valid comparisons.</w:t>
            </w:r>
          </w:p>
        </w:tc>
      </w:tr>
      <w:tr w:rsidR="00C4271B" w:rsidTr="00624EED">
        <w:tc>
          <w:tcPr>
            <w:tcW w:w="936" w:type="dxa"/>
          </w:tcPr>
          <w:p w:rsidR="00C4271B" w:rsidRDefault="00C4271B" w:rsidP="00AE62AB">
            <w:pPr>
              <w:pStyle w:val="NoSpacing"/>
            </w:pPr>
            <w:r>
              <w:lastRenderedPageBreak/>
              <w:t>16</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pStyle w:val="NoSpacing"/>
            </w:pPr>
            <w:r w:rsidRPr="00C73082">
              <w:t>Condition-specific per capita cost measures for COPD, diabetes, HF, and CAD</w:t>
            </w:r>
          </w:p>
        </w:tc>
        <w:tc>
          <w:tcPr>
            <w:tcW w:w="2758" w:type="dxa"/>
            <w:gridSpan w:val="3"/>
          </w:tcPr>
          <w:p w:rsidR="00C4271B" w:rsidRDefault="00C4271B" w:rsidP="00AE62AB">
            <w:pPr>
              <w:pStyle w:val="NoSpacing"/>
            </w:pPr>
            <w:r w:rsidRPr="00C73082">
              <w:t>The ratio of all actual Medicare FFS Parts A and B payments to a physician or medical group for beneficiaries attributed to them over a calendar year with one of four specific chronic health conditions—diabetes, coronary artery disease, chronic obstructive pulmonary disease, and heart failure— to all expected payments to the physician or medical group for those beneficiaries, multiplied by the payment for the average beneficiary in the sample.</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t>17</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pStyle w:val="NoSpacing"/>
            </w:pPr>
            <w:r w:rsidRPr="00B038F5">
              <w:t>Draft: Ischemic Heart Disease Condition Episode for CMS Episode Grouper</w:t>
            </w:r>
          </w:p>
        </w:tc>
        <w:tc>
          <w:tcPr>
            <w:tcW w:w="2758" w:type="dxa"/>
            <w:gridSpan w:val="3"/>
          </w:tcPr>
          <w:p w:rsidR="00C4271B" w:rsidRDefault="00C4271B" w:rsidP="00AE62AB">
            <w:pPr>
              <w:pStyle w:val="NoSpacing"/>
            </w:pPr>
            <w:r w:rsidRPr="00B038F5">
              <w:t>Draft: Resources used in caring for the condition (duration TBD)</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t>18</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pStyle w:val="NoSpacing"/>
            </w:pPr>
            <w:r w:rsidRPr="00B038F5">
              <w:t>Draft: Acute Myocardial Infarction Condition Phase Episode for CMS Episode Grouper</w:t>
            </w:r>
          </w:p>
        </w:tc>
        <w:tc>
          <w:tcPr>
            <w:tcW w:w="2758" w:type="dxa"/>
            <w:gridSpan w:val="3"/>
          </w:tcPr>
          <w:p w:rsidR="00C4271B" w:rsidRDefault="00C4271B" w:rsidP="00AE62AB">
            <w:pPr>
              <w:pStyle w:val="NoSpacing"/>
            </w:pPr>
            <w:r w:rsidRPr="00B038F5">
              <w:t>Draft: Resources used in caring for the condition (duration TBD)</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t>19</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pStyle w:val="NoSpacing"/>
            </w:pPr>
            <w:r w:rsidRPr="00B038F5">
              <w:t>Draft: Coronary Artery Bypass Graft Treatment Episode for CMS Episode Grouper</w:t>
            </w:r>
          </w:p>
        </w:tc>
        <w:tc>
          <w:tcPr>
            <w:tcW w:w="2758" w:type="dxa"/>
            <w:gridSpan w:val="3"/>
          </w:tcPr>
          <w:p w:rsidR="00C4271B" w:rsidRDefault="00C4271B" w:rsidP="00AE62AB">
            <w:pPr>
              <w:pStyle w:val="NoSpacing"/>
            </w:pPr>
            <w:r w:rsidRPr="00B22230">
              <w:t>Draft: Resources used in caring for the condition (duration TBD</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t>20</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pStyle w:val="NoSpacing"/>
            </w:pPr>
            <w:r w:rsidRPr="00B22230">
              <w:t xml:space="preserve">Draft: Heart Catheterization </w:t>
            </w:r>
            <w:r w:rsidRPr="00B22230">
              <w:lastRenderedPageBreak/>
              <w:t>Treatment Episode for CMS Episode Grouper</w:t>
            </w:r>
          </w:p>
        </w:tc>
        <w:tc>
          <w:tcPr>
            <w:tcW w:w="2758" w:type="dxa"/>
            <w:gridSpan w:val="3"/>
          </w:tcPr>
          <w:p w:rsidR="00C4271B" w:rsidRDefault="00C4271B" w:rsidP="00AE62AB">
            <w:pPr>
              <w:pStyle w:val="NoSpacing"/>
            </w:pPr>
            <w:r w:rsidRPr="00B22230">
              <w:lastRenderedPageBreak/>
              <w:t xml:space="preserve">Draft: Resources used in caring for the condition </w:t>
            </w:r>
            <w:r w:rsidRPr="00B22230">
              <w:lastRenderedPageBreak/>
              <w:t>(duration TBD</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lastRenderedPageBreak/>
              <w:t>21</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pStyle w:val="NoSpacing"/>
            </w:pPr>
            <w:r w:rsidRPr="00B22230">
              <w:t>Draft: Percutaneous Coronary Intervention Treatment Episode for CMS Episode Grouper</w:t>
            </w:r>
          </w:p>
        </w:tc>
        <w:tc>
          <w:tcPr>
            <w:tcW w:w="2758" w:type="dxa"/>
            <w:gridSpan w:val="3"/>
          </w:tcPr>
          <w:p w:rsidR="00C4271B" w:rsidRDefault="00C4271B" w:rsidP="00AE62AB">
            <w:pPr>
              <w:pStyle w:val="NoSpacing"/>
            </w:pPr>
            <w:r w:rsidRPr="00B22230">
              <w:t>Draft: Resources used in caring for the condition (duration TBD)</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t>22</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pStyle w:val="NoSpacing"/>
            </w:pPr>
            <w:r w:rsidRPr="00B22230">
              <w:t>Draft: Hip Osteoarthritis Condition Episode for CMS Episode Grouper</w:t>
            </w:r>
          </w:p>
        </w:tc>
        <w:tc>
          <w:tcPr>
            <w:tcW w:w="2758" w:type="dxa"/>
            <w:gridSpan w:val="3"/>
          </w:tcPr>
          <w:p w:rsidR="00C4271B" w:rsidRDefault="00C4271B" w:rsidP="00AE62AB">
            <w:pPr>
              <w:pStyle w:val="NoSpacing"/>
            </w:pPr>
            <w:r w:rsidRPr="00B22230">
              <w:t>Draft: Resources used in caring for the condition (duration TBD</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t>23</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pStyle w:val="NoSpacing"/>
            </w:pPr>
            <w:r w:rsidRPr="00B22230">
              <w:t>Draft: Hip Replacement/Revision Treatment Episode for CMS Episode Grouper</w:t>
            </w:r>
          </w:p>
        </w:tc>
        <w:tc>
          <w:tcPr>
            <w:tcW w:w="2758" w:type="dxa"/>
            <w:gridSpan w:val="3"/>
          </w:tcPr>
          <w:p w:rsidR="00C4271B" w:rsidRDefault="00C4271B" w:rsidP="00AE62AB">
            <w:pPr>
              <w:pStyle w:val="NoSpacing"/>
            </w:pPr>
            <w:r w:rsidRPr="00B22230">
              <w:t>Draft: Resources used in caring for the condition (duration TBD</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t>24</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pStyle w:val="NoSpacing"/>
            </w:pPr>
            <w:r w:rsidRPr="00B22230">
              <w:t>Draft: Hip/Femur Fracture Condition Episode for CMS Episode Grouper</w:t>
            </w:r>
          </w:p>
        </w:tc>
        <w:tc>
          <w:tcPr>
            <w:tcW w:w="2758" w:type="dxa"/>
            <w:gridSpan w:val="3"/>
          </w:tcPr>
          <w:p w:rsidR="00C4271B" w:rsidRDefault="00C4271B" w:rsidP="00AE62AB">
            <w:pPr>
              <w:pStyle w:val="NoSpacing"/>
            </w:pPr>
            <w:r w:rsidRPr="00B22230">
              <w:t>Draft: Resources used in caring for the condition (duration TBD</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t>25</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pStyle w:val="NoSpacing"/>
            </w:pPr>
            <w:r w:rsidRPr="00B22230">
              <w:t>Draft: Hip/Femur Fracture Repair Treatment Episode for CMS Episode Grouper</w:t>
            </w:r>
          </w:p>
        </w:tc>
        <w:tc>
          <w:tcPr>
            <w:tcW w:w="2758" w:type="dxa"/>
            <w:gridSpan w:val="3"/>
          </w:tcPr>
          <w:p w:rsidR="00C4271B" w:rsidRDefault="00C4271B" w:rsidP="00AE62AB">
            <w:pPr>
              <w:pStyle w:val="NoSpacing"/>
            </w:pPr>
            <w:r w:rsidRPr="00B22230">
              <w:t>Draft: Resources used in caring for the condition (duration TBD</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t>26</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pStyle w:val="NoSpacing"/>
            </w:pPr>
            <w:r w:rsidRPr="00B22230">
              <w:t>Draft: Knee Osteoarthritis Condition Episode for CMS Episode Grouper</w:t>
            </w:r>
          </w:p>
        </w:tc>
        <w:tc>
          <w:tcPr>
            <w:tcW w:w="2758" w:type="dxa"/>
            <w:gridSpan w:val="3"/>
          </w:tcPr>
          <w:p w:rsidR="00C4271B" w:rsidRDefault="00C4271B" w:rsidP="00AE62AB">
            <w:pPr>
              <w:pStyle w:val="NoSpacing"/>
            </w:pPr>
            <w:r w:rsidRPr="00B22230">
              <w:t>Draft: Resources used in caring for the condition (duration TBD)</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t>27</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rPr>
                <w:rFonts w:ascii="Calibri" w:hAnsi="Calibri"/>
                <w:color w:val="000000"/>
              </w:rPr>
            </w:pPr>
            <w:r>
              <w:rPr>
                <w:rFonts w:ascii="Calibri" w:hAnsi="Calibri"/>
                <w:color w:val="000000"/>
              </w:rPr>
              <w:t>Draft: Knee Replacement/Revision Treatment Episode for CMS Episode Grouper</w:t>
            </w:r>
          </w:p>
        </w:tc>
        <w:tc>
          <w:tcPr>
            <w:tcW w:w="2758" w:type="dxa"/>
            <w:gridSpan w:val="3"/>
          </w:tcPr>
          <w:p w:rsidR="00C4271B" w:rsidRDefault="00C4271B" w:rsidP="00AE62AB">
            <w:pPr>
              <w:rPr>
                <w:rFonts w:ascii="Calibri" w:hAnsi="Calibri"/>
                <w:color w:val="000000"/>
              </w:rPr>
            </w:pPr>
            <w:r>
              <w:rPr>
                <w:rFonts w:ascii="Calibri" w:hAnsi="Calibri"/>
                <w:color w:val="000000"/>
              </w:rPr>
              <w:t>Draft: Resources used in caring for the condition (duration TBD)</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t>28</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rPr>
                <w:rFonts w:ascii="Calibri" w:hAnsi="Calibri"/>
                <w:color w:val="000000"/>
              </w:rPr>
            </w:pPr>
            <w:r>
              <w:rPr>
                <w:rFonts w:ascii="Calibri" w:hAnsi="Calibri"/>
                <w:color w:val="000000"/>
              </w:rPr>
              <w:t>Draft: Shoulder Osteoarthritis Condition Episode for CMS Episode Grouper</w:t>
            </w:r>
          </w:p>
        </w:tc>
        <w:tc>
          <w:tcPr>
            <w:tcW w:w="2758" w:type="dxa"/>
            <w:gridSpan w:val="3"/>
          </w:tcPr>
          <w:p w:rsidR="00C4271B" w:rsidRDefault="00C4271B" w:rsidP="00AE62AB">
            <w:pPr>
              <w:rPr>
                <w:rFonts w:ascii="Calibri" w:hAnsi="Calibri"/>
                <w:color w:val="000000"/>
              </w:rPr>
            </w:pPr>
            <w:r>
              <w:rPr>
                <w:rFonts w:ascii="Calibri" w:hAnsi="Calibri"/>
                <w:color w:val="000000"/>
              </w:rPr>
              <w:t>Draft: Resources used in caring for the condition (duration TBD)</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t>29</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rPr>
                <w:rFonts w:ascii="Calibri" w:hAnsi="Calibri"/>
                <w:color w:val="000000"/>
              </w:rPr>
            </w:pPr>
            <w:r>
              <w:rPr>
                <w:rFonts w:ascii="Calibri" w:hAnsi="Calibri"/>
                <w:color w:val="000000"/>
              </w:rPr>
              <w:t xml:space="preserve">Draft: Shoulder Replacement/Repair Treatment </w:t>
            </w:r>
            <w:r>
              <w:rPr>
                <w:rFonts w:ascii="Calibri" w:hAnsi="Calibri"/>
                <w:color w:val="000000"/>
              </w:rPr>
              <w:lastRenderedPageBreak/>
              <w:t>Episode for CMS Episode Grouper</w:t>
            </w:r>
          </w:p>
        </w:tc>
        <w:tc>
          <w:tcPr>
            <w:tcW w:w="2758" w:type="dxa"/>
            <w:gridSpan w:val="3"/>
          </w:tcPr>
          <w:p w:rsidR="00C4271B" w:rsidRDefault="00C4271B" w:rsidP="00AE62AB">
            <w:pPr>
              <w:rPr>
                <w:rFonts w:ascii="Calibri" w:hAnsi="Calibri"/>
                <w:color w:val="000000"/>
              </w:rPr>
            </w:pPr>
            <w:r>
              <w:rPr>
                <w:rFonts w:ascii="Calibri" w:hAnsi="Calibri"/>
                <w:color w:val="000000"/>
              </w:rPr>
              <w:lastRenderedPageBreak/>
              <w:t>Draft: Resources used in caring for the condition (duration TBD)</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lastRenderedPageBreak/>
              <w:t>30</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rPr>
                <w:rFonts w:ascii="Calibri" w:hAnsi="Calibri"/>
                <w:color w:val="000000"/>
              </w:rPr>
            </w:pPr>
            <w:r>
              <w:rPr>
                <w:rFonts w:ascii="Calibri" w:hAnsi="Calibri"/>
                <w:color w:val="000000"/>
              </w:rPr>
              <w:t>Draft: Asthma Condition Episode for CMS Episode Grouper</w:t>
            </w:r>
          </w:p>
        </w:tc>
        <w:tc>
          <w:tcPr>
            <w:tcW w:w="2758" w:type="dxa"/>
            <w:gridSpan w:val="3"/>
          </w:tcPr>
          <w:p w:rsidR="00C4271B" w:rsidRDefault="00C4271B" w:rsidP="00AE62AB">
            <w:pPr>
              <w:rPr>
                <w:rFonts w:ascii="Calibri" w:hAnsi="Calibri"/>
                <w:color w:val="000000"/>
              </w:rPr>
            </w:pPr>
            <w:r>
              <w:rPr>
                <w:rFonts w:ascii="Calibri" w:hAnsi="Calibri"/>
                <w:color w:val="000000"/>
              </w:rPr>
              <w:t>Draft: Resources used in caring for the condition (duration TBD)</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t>31</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rPr>
                <w:rFonts w:ascii="Calibri" w:hAnsi="Calibri"/>
                <w:color w:val="000000"/>
              </w:rPr>
            </w:pPr>
            <w:r>
              <w:rPr>
                <w:rFonts w:ascii="Calibri" w:hAnsi="Calibri"/>
                <w:color w:val="000000"/>
              </w:rPr>
              <w:t>Draft: Bronchiectasis Condition Episode for CMS Episode Grouper</w:t>
            </w:r>
          </w:p>
        </w:tc>
        <w:tc>
          <w:tcPr>
            <w:tcW w:w="2758" w:type="dxa"/>
            <w:gridSpan w:val="3"/>
          </w:tcPr>
          <w:p w:rsidR="00C4271B" w:rsidRDefault="00C4271B" w:rsidP="00AE62AB">
            <w:pPr>
              <w:rPr>
                <w:rFonts w:ascii="Calibri" w:hAnsi="Calibri"/>
                <w:color w:val="000000"/>
              </w:rPr>
            </w:pPr>
            <w:r>
              <w:rPr>
                <w:rFonts w:ascii="Calibri" w:hAnsi="Calibri"/>
                <w:color w:val="000000"/>
              </w:rPr>
              <w:t>Draft: Resources used in caring for the condition (duration TBD)</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t>32</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rPr>
                <w:rFonts w:ascii="Calibri" w:hAnsi="Calibri"/>
                <w:color w:val="000000"/>
              </w:rPr>
            </w:pPr>
            <w:r>
              <w:rPr>
                <w:rFonts w:ascii="Calibri" w:hAnsi="Calibri"/>
                <w:color w:val="000000"/>
              </w:rPr>
              <w:t>Draft: Chronic Bronchitis/Emphysema Condition Episode for CMS Episode Grouper</w:t>
            </w:r>
          </w:p>
        </w:tc>
        <w:tc>
          <w:tcPr>
            <w:tcW w:w="2758" w:type="dxa"/>
            <w:gridSpan w:val="3"/>
          </w:tcPr>
          <w:p w:rsidR="00C4271B" w:rsidRDefault="00C4271B" w:rsidP="00AE62AB">
            <w:pPr>
              <w:rPr>
                <w:rFonts w:ascii="Calibri" w:hAnsi="Calibri"/>
                <w:color w:val="000000"/>
              </w:rPr>
            </w:pPr>
            <w:r>
              <w:rPr>
                <w:rFonts w:ascii="Calibri" w:hAnsi="Calibri"/>
                <w:color w:val="000000"/>
              </w:rPr>
              <w:t>Draft: Resources used in caring for the condition (duration TBD)</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t>33</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rPr>
                <w:rFonts w:ascii="Calibri" w:hAnsi="Calibri"/>
                <w:color w:val="000000"/>
              </w:rPr>
            </w:pPr>
            <w:r>
              <w:rPr>
                <w:rFonts w:ascii="Calibri" w:hAnsi="Calibri"/>
                <w:color w:val="000000"/>
              </w:rPr>
              <w:t>Draft: Cataract Condition Episode for CMS Episode Grouper</w:t>
            </w:r>
          </w:p>
        </w:tc>
        <w:tc>
          <w:tcPr>
            <w:tcW w:w="2758" w:type="dxa"/>
            <w:gridSpan w:val="3"/>
          </w:tcPr>
          <w:p w:rsidR="00C4271B" w:rsidRDefault="00C4271B" w:rsidP="00AE62AB">
            <w:pPr>
              <w:rPr>
                <w:rFonts w:ascii="Calibri" w:hAnsi="Calibri"/>
                <w:color w:val="000000"/>
              </w:rPr>
            </w:pPr>
            <w:r>
              <w:rPr>
                <w:rFonts w:ascii="Calibri" w:hAnsi="Calibri"/>
                <w:color w:val="000000"/>
              </w:rPr>
              <w:t>Draft: Resources used in caring for the condition (duration TBD)</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t>34</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rPr>
                <w:rFonts w:ascii="Calibri" w:hAnsi="Calibri"/>
                <w:color w:val="000000"/>
              </w:rPr>
            </w:pPr>
            <w:r>
              <w:rPr>
                <w:rFonts w:ascii="Calibri" w:hAnsi="Calibri"/>
                <w:color w:val="000000"/>
              </w:rPr>
              <w:t>Draft: Cataract Treatment Episode for CMS Episode Grouper</w:t>
            </w:r>
          </w:p>
        </w:tc>
        <w:tc>
          <w:tcPr>
            <w:tcW w:w="2758" w:type="dxa"/>
            <w:gridSpan w:val="3"/>
          </w:tcPr>
          <w:p w:rsidR="00C4271B" w:rsidRDefault="00C4271B" w:rsidP="00AE62AB">
            <w:pPr>
              <w:rPr>
                <w:rFonts w:ascii="Calibri" w:hAnsi="Calibri"/>
                <w:color w:val="000000"/>
              </w:rPr>
            </w:pPr>
            <w:r>
              <w:rPr>
                <w:rFonts w:ascii="Calibri" w:hAnsi="Calibri"/>
                <w:color w:val="000000"/>
              </w:rPr>
              <w:t>Draft: Resources used in caring for the condition (duration TBD)</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t>35</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rPr>
                <w:rFonts w:ascii="Calibri" w:hAnsi="Calibri"/>
                <w:color w:val="000000"/>
              </w:rPr>
            </w:pPr>
            <w:r>
              <w:rPr>
                <w:rFonts w:ascii="Calibri" w:hAnsi="Calibri"/>
                <w:color w:val="000000"/>
              </w:rPr>
              <w:t>Draft: Glaucoma Condition Episode for CMS Episode Grouper</w:t>
            </w:r>
          </w:p>
        </w:tc>
        <w:tc>
          <w:tcPr>
            <w:tcW w:w="2758" w:type="dxa"/>
            <w:gridSpan w:val="3"/>
          </w:tcPr>
          <w:p w:rsidR="00C4271B" w:rsidRDefault="00C4271B" w:rsidP="00AE62AB">
            <w:pPr>
              <w:rPr>
                <w:rFonts w:ascii="Calibri" w:hAnsi="Calibri"/>
                <w:color w:val="000000"/>
              </w:rPr>
            </w:pPr>
            <w:r>
              <w:rPr>
                <w:rFonts w:ascii="Calibri" w:hAnsi="Calibri"/>
                <w:color w:val="000000"/>
              </w:rPr>
              <w:t>Draft: Resources used in caring for the condition (duration TBD)</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t>36</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rPr>
                <w:rFonts w:ascii="Calibri" w:hAnsi="Calibri"/>
                <w:color w:val="000000"/>
              </w:rPr>
            </w:pPr>
            <w:r>
              <w:rPr>
                <w:rFonts w:ascii="Calibri" w:hAnsi="Calibri"/>
                <w:color w:val="000000"/>
              </w:rPr>
              <w:t>Draft: Glaucoma Treatment Episode for CMS Episode Grouper</w:t>
            </w:r>
          </w:p>
        </w:tc>
        <w:tc>
          <w:tcPr>
            <w:tcW w:w="2758" w:type="dxa"/>
            <w:gridSpan w:val="3"/>
          </w:tcPr>
          <w:p w:rsidR="00C4271B" w:rsidRDefault="00C4271B" w:rsidP="00AE62AB">
            <w:pPr>
              <w:rPr>
                <w:rFonts w:ascii="Calibri" w:hAnsi="Calibri"/>
                <w:color w:val="000000"/>
              </w:rPr>
            </w:pPr>
            <w:r>
              <w:rPr>
                <w:rFonts w:ascii="Calibri" w:hAnsi="Calibri"/>
                <w:color w:val="000000"/>
              </w:rPr>
              <w:t>Draft: Resources used in caring for the condition (duration TBD)</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t>37</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rPr>
                <w:rFonts w:ascii="Calibri" w:hAnsi="Calibri"/>
                <w:color w:val="000000"/>
              </w:rPr>
            </w:pPr>
            <w:r>
              <w:rPr>
                <w:rFonts w:ascii="Calibri" w:hAnsi="Calibri"/>
                <w:color w:val="000000"/>
              </w:rPr>
              <w:t>Draft: Retinal Disease Condition Episode for CMS Episode Grouper</w:t>
            </w:r>
          </w:p>
        </w:tc>
        <w:tc>
          <w:tcPr>
            <w:tcW w:w="2758" w:type="dxa"/>
            <w:gridSpan w:val="3"/>
          </w:tcPr>
          <w:p w:rsidR="00C4271B" w:rsidRDefault="00C4271B" w:rsidP="00AE62AB">
            <w:pPr>
              <w:rPr>
                <w:rFonts w:ascii="Calibri" w:hAnsi="Calibri"/>
                <w:color w:val="000000"/>
              </w:rPr>
            </w:pPr>
            <w:r>
              <w:rPr>
                <w:rFonts w:ascii="Calibri" w:hAnsi="Calibri"/>
                <w:color w:val="000000"/>
              </w:rPr>
              <w:t>Draft: Resources used in caring for the condition (duration TBD)</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t>38</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rPr>
                <w:rFonts w:ascii="Calibri" w:hAnsi="Calibri"/>
                <w:color w:val="000000"/>
              </w:rPr>
            </w:pPr>
            <w:r>
              <w:rPr>
                <w:rFonts w:ascii="Calibri" w:hAnsi="Calibri"/>
                <w:color w:val="000000"/>
              </w:rPr>
              <w:t>Draft: Retinal Disease Treatment Episode for CMS Episode Grouper</w:t>
            </w:r>
          </w:p>
        </w:tc>
        <w:tc>
          <w:tcPr>
            <w:tcW w:w="2758" w:type="dxa"/>
            <w:gridSpan w:val="3"/>
          </w:tcPr>
          <w:p w:rsidR="00C4271B" w:rsidRDefault="00C4271B" w:rsidP="00AE62AB">
            <w:pPr>
              <w:rPr>
                <w:rFonts w:ascii="Calibri" w:hAnsi="Calibri"/>
                <w:color w:val="000000"/>
              </w:rPr>
            </w:pPr>
            <w:r>
              <w:rPr>
                <w:rFonts w:ascii="Calibri" w:hAnsi="Calibri"/>
                <w:color w:val="000000"/>
              </w:rPr>
              <w:t>Draft: Resources used in caring for the condition (duration TBD)</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t>39</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rPr>
                <w:rFonts w:ascii="Calibri" w:hAnsi="Calibri"/>
                <w:color w:val="000000"/>
              </w:rPr>
            </w:pPr>
            <w:r>
              <w:rPr>
                <w:rFonts w:ascii="Calibri" w:hAnsi="Calibri"/>
                <w:color w:val="000000"/>
              </w:rPr>
              <w:t>Draft: Heart Failure Condition Episode for CMS Episode Grouper</w:t>
            </w:r>
          </w:p>
        </w:tc>
        <w:tc>
          <w:tcPr>
            <w:tcW w:w="2758" w:type="dxa"/>
            <w:gridSpan w:val="3"/>
          </w:tcPr>
          <w:p w:rsidR="00C4271B" w:rsidRDefault="00C4271B" w:rsidP="00AE62AB">
            <w:pPr>
              <w:rPr>
                <w:rFonts w:ascii="Calibri" w:hAnsi="Calibri"/>
                <w:color w:val="000000"/>
              </w:rPr>
            </w:pPr>
            <w:r>
              <w:rPr>
                <w:rFonts w:ascii="Calibri" w:hAnsi="Calibri"/>
                <w:color w:val="000000"/>
              </w:rPr>
              <w:t>Draft: Resources used in caring for the condition (duration TBD)</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t>40</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rPr>
                <w:rFonts w:ascii="Calibri" w:hAnsi="Calibri"/>
                <w:color w:val="000000"/>
              </w:rPr>
            </w:pPr>
            <w:r>
              <w:rPr>
                <w:rFonts w:ascii="Calibri" w:hAnsi="Calibri"/>
                <w:color w:val="000000"/>
              </w:rPr>
              <w:t xml:space="preserve">Draft: Cardiac Arrhythmia </w:t>
            </w:r>
            <w:r>
              <w:rPr>
                <w:rFonts w:ascii="Calibri" w:hAnsi="Calibri"/>
                <w:color w:val="000000"/>
              </w:rPr>
              <w:lastRenderedPageBreak/>
              <w:t>Condition Episode for CMS Episode Grouper</w:t>
            </w:r>
          </w:p>
        </w:tc>
        <w:tc>
          <w:tcPr>
            <w:tcW w:w="2758" w:type="dxa"/>
            <w:gridSpan w:val="3"/>
          </w:tcPr>
          <w:p w:rsidR="00C4271B" w:rsidRDefault="00C4271B" w:rsidP="00AE62AB">
            <w:pPr>
              <w:rPr>
                <w:rFonts w:ascii="Calibri" w:hAnsi="Calibri"/>
                <w:color w:val="000000"/>
              </w:rPr>
            </w:pPr>
            <w:r>
              <w:rPr>
                <w:rFonts w:ascii="Calibri" w:hAnsi="Calibri"/>
                <w:color w:val="000000"/>
              </w:rPr>
              <w:lastRenderedPageBreak/>
              <w:t xml:space="preserve">Draft: Resources used in caring for the condition </w:t>
            </w:r>
            <w:r>
              <w:rPr>
                <w:rFonts w:ascii="Calibri" w:hAnsi="Calibri"/>
                <w:color w:val="000000"/>
              </w:rPr>
              <w:lastRenderedPageBreak/>
              <w:t>(duration TBD)</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lastRenderedPageBreak/>
              <w:t>41</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rPr>
                <w:rFonts w:ascii="Calibri" w:hAnsi="Calibri"/>
                <w:color w:val="000000"/>
              </w:rPr>
            </w:pPr>
            <w:r>
              <w:rPr>
                <w:rFonts w:ascii="Calibri" w:hAnsi="Calibri"/>
                <w:color w:val="000000"/>
              </w:rPr>
              <w:t>Draft: Heart Block Condition Episode for CMS Episode Grouper</w:t>
            </w:r>
          </w:p>
        </w:tc>
        <w:tc>
          <w:tcPr>
            <w:tcW w:w="2758" w:type="dxa"/>
            <w:gridSpan w:val="3"/>
          </w:tcPr>
          <w:p w:rsidR="00C4271B" w:rsidRDefault="00C4271B" w:rsidP="00AE62AB">
            <w:pPr>
              <w:rPr>
                <w:rFonts w:ascii="Calibri" w:hAnsi="Calibri"/>
                <w:color w:val="000000"/>
              </w:rPr>
            </w:pPr>
            <w:r>
              <w:rPr>
                <w:rFonts w:ascii="Calibri" w:hAnsi="Calibri"/>
                <w:color w:val="000000"/>
              </w:rPr>
              <w:t>Draft: Resources used in caring for the condition (duration TBD)</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t>42</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rPr>
                <w:rFonts w:ascii="Calibri" w:hAnsi="Calibri"/>
                <w:color w:val="000000"/>
              </w:rPr>
            </w:pPr>
            <w:r>
              <w:rPr>
                <w:rFonts w:ascii="Calibri" w:hAnsi="Calibri"/>
                <w:color w:val="000000"/>
              </w:rPr>
              <w:t>Draft: Cardioversion Treatment Episode for CMS Episode Grouper</w:t>
            </w:r>
          </w:p>
        </w:tc>
        <w:tc>
          <w:tcPr>
            <w:tcW w:w="2758" w:type="dxa"/>
            <w:gridSpan w:val="3"/>
          </w:tcPr>
          <w:p w:rsidR="00C4271B" w:rsidRDefault="00C4271B" w:rsidP="00AE62AB">
            <w:pPr>
              <w:rPr>
                <w:rFonts w:ascii="Calibri" w:hAnsi="Calibri"/>
                <w:color w:val="000000"/>
              </w:rPr>
            </w:pPr>
            <w:r>
              <w:rPr>
                <w:rFonts w:ascii="Calibri" w:hAnsi="Calibri"/>
                <w:color w:val="000000"/>
              </w:rPr>
              <w:t>Draft: Resources used in caring for the condition (duration TBD)</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t>43</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rPr>
                <w:rFonts w:ascii="Calibri" w:hAnsi="Calibri"/>
                <w:color w:val="000000"/>
              </w:rPr>
            </w:pPr>
            <w:r>
              <w:rPr>
                <w:rFonts w:ascii="Calibri" w:hAnsi="Calibri"/>
                <w:color w:val="000000"/>
              </w:rPr>
              <w:t>Draft: Pacemaker/AICD Implantation Treatment Episode for CMS Episode Grouper</w:t>
            </w:r>
          </w:p>
        </w:tc>
        <w:tc>
          <w:tcPr>
            <w:tcW w:w="2758" w:type="dxa"/>
            <w:gridSpan w:val="3"/>
          </w:tcPr>
          <w:p w:rsidR="00C4271B" w:rsidRDefault="00C4271B" w:rsidP="00AE62AB">
            <w:pPr>
              <w:rPr>
                <w:rFonts w:ascii="Calibri" w:hAnsi="Calibri"/>
                <w:color w:val="000000"/>
              </w:rPr>
            </w:pPr>
            <w:r>
              <w:rPr>
                <w:rFonts w:ascii="Calibri" w:hAnsi="Calibri"/>
                <w:color w:val="000000"/>
              </w:rPr>
              <w:t>Draft: Resources used in caring for the condition (duration TBD)</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t>44</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rPr>
                <w:rFonts w:ascii="Calibri" w:hAnsi="Calibri"/>
                <w:color w:val="000000"/>
              </w:rPr>
            </w:pPr>
            <w:r>
              <w:rPr>
                <w:rFonts w:ascii="Calibri" w:hAnsi="Calibri"/>
                <w:color w:val="000000"/>
              </w:rPr>
              <w:t>Draft: Pneumonia Condition Episode for CMS Episode Grouper</w:t>
            </w:r>
          </w:p>
        </w:tc>
        <w:tc>
          <w:tcPr>
            <w:tcW w:w="2758" w:type="dxa"/>
            <w:gridSpan w:val="3"/>
          </w:tcPr>
          <w:p w:rsidR="00C4271B" w:rsidRDefault="00C4271B" w:rsidP="00AE62AB">
            <w:pPr>
              <w:rPr>
                <w:rFonts w:ascii="Calibri" w:hAnsi="Calibri"/>
                <w:color w:val="000000"/>
              </w:rPr>
            </w:pPr>
            <w:r>
              <w:rPr>
                <w:rFonts w:ascii="Calibri" w:hAnsi="Calibri"/>
                <w:color w:val="000000"/>
              </w:rPr>
              <w:t>Draft: Resources used in caring for the condition (duration TBD)</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t>45</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rPr>
                <w:rFonts w:ascii="Calibri" w:hAnsi="Calibri"/>
                <w:color w:val="000000"/>
              </w:rPr>
            </w:pPr>
            <w:r>
              <w:rPr>
                <w:rFonts w:ascii="Calibri" w:hAnsi="Calibri"/>
                <w:color w:val="000000"/>
              </w:rPr>
              <w:t>Draft: Respiratory Failure Condition Episode for CMS Episode Grouper</w:t>
            </w:r>
          </w:p>
        </w:tc>
        <w:tc>
          <w:tcPr>
            <w:tcW w:w="2758" w:type="dxa"/>
            <w:gridSpan w:val="3"/>
          </w:tcPr>
          <w:p w:rsidR="00C4271B" w:rsidRDefault="00C4271B" w:rsidP="00AE62AB">
            <w:pPr>
              <w:rPr>
                <w:rFonts w:ascii="Calibri" w:hAnsi="Calibri"/>
                <w:color w:val="000000"/>
              </w:rPr>
            </w:pPr>
            <w:r>
              <w:rPr>
                <w:rFonts w:ascii="Calibri" w:hAnsi="Calibri"/>
                <w:color w:val="000000"/>
              </w:rPr>
              <w:t>Draft: Resources used in caring for the condition (duration TBD)</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t>46</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rPr>
                <w:rFonts w:ascii="Calibri" w:hAnsi="Calibri"/>
                <w:color w:val="000000"/>
              </w:rPr>
            </w:pPr>
            <w:r>
              <w:rPr>
                <w:rFonts w:ascii="Calibri" w:hAnsi="Calibri"/>
                <w:color w:val="000000"/>
              </w:rPr>
              <w:t>Draft: Hypertension Condition Episode for CMS Episode Grouper</w:t>
            </w:r>
          </w:p>
        </w:tc>
        <w:tc>
          <w:tcPr>
            <w:tcW w:w="2758" w:type="dxa"/>
            <w:gridSpan w:val="3"/>
          </w:tcPr>
          <w:p w:rsidR="00C4271B" w:rsidRDefault="00C4271B" w:rsidP="00AE62AB">
            <w:pPr>
              <w:rPr>
                <w:rFonts w:ascii="Calibri" w:hAnsi="Calibri"/>
                <w:color w:val="000000"/>
              </w:rPr>
            </w:pPr>
            <w:r>
              <w:rPr>
                <w:rFonts w:ascii="Calibri" w:hAnsi="Calibri"/>
                <w:color w:val="000000"/>
              </w:rPr>
              <w:t>Draft: Resources used in caring for the condition (duration TBD)</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t>47</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rPr>
                <w:rFonts w:ascii="Calibri" w:hAnsi="Calibri"/>
                <w:color w:val="000000"/>
              </w:rPr>
            </w:pPr>
            <w:r>
              <w:rPr>
                <w:rFonts w:ascii="Calibri" w:hAnsi="Calibri"/>
                <w:color w:val="000000"/>
              </w:rPr>
              <w:t>Draft: Shock/Hypotension Condition Episode for CMS Episode Grouper</w:t>
            </w:r>
          </w:p>
        </w:tc>
        <w:tc>
          <w:tcPr>
            <w:tcW w:w="2758" w:type="dxa"/>
            <w:gridSpan w:val="3"/>
          </w:tcPr>
          <w:p w:rsidR="00C4271B" w:rsidRDefault="00C4271B" w:rsidP="00AE62AB">
            <w:pPr>
              <w:rPr>
                <w:rFonts w:ascii="Calibri" w:hAnsi="Calibri"/>
                <w:color w:val="000000"/>
              </w:rPr>
            </w:pPr>
            <w:r>
              <w:rPr>
                <w:rFonts w:ascii="Calibri" w:hAnsi="Calibri"/>
                <w:color w:val="000000"/>
              </w:rPr>
              <w:t>Draft: Resources used in caring for the condition (duration TBD)</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t>48</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rPr>
                <w:rFonts w:ascii="Calibri" w:hAnsi="Calibri"/>
                <w:color w:val="000000"/>
              </w:rPr>
            </w:pPr>
            <w:r>
              <w:rPr>
                <w:rFonts w:ascii="Calibri" w:hAnsi="Calibri"/>
                <w:color w:val="000000"/>
              </w:rPr>
              <w:t>Draft: Nephropathy/Renal Failure Condition Episode for CMS Episode Grouper</w:t>
            </w:r>
          </w:p>
        </w:tc>
        <w:tc>
          <w:tcPr>
            <w:tcW w:w="2758" w:type="dxa"/>
            <w:gridSpan w:val="3"/>
          </w:tcPr>
          <w:p w:rsidR="00C4271B" w:rsidRDefault="00C4271B" w:rsidP="00AE62AB">
            <w:pPr>
              <w:rPr>
                <w:rFonts w:ascii="Calibri" w:hAnsi="Calibri"/>
                <w:color w:val="000000"/>
              </w:rPr>
            </w:pPr>
            <w:r>
              <w:rPr>
                <w:rFonts w:ascii="Calibri" w:hAnsi="Calibri"/>
                <w:color w:val="000000"/>
              </w:rPr>
              <w:t>Draft: Resources used in caring for the condition (duration TBD)</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t>49</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rPr>
                <w:rFonts w:ascii="Calibri" w:hAnsi="Calibri"/>
                <w:color w:val="000000"/>
              </w:rPr>
            </w:pPr>
            <w:r>
              <w:rPr>
                <w:rFonts w:ascii="Calibri" w:hAnsi="Calibri"/>
                <w:color w:val="000000"/>
              </w:rPr>
              <w:t>Draft: Diabetes Condition Episode for CMS Episode Grouper</w:t>
            </w:r>
          </w:p>
        </w:tc>
        <w:tc>
          <w:tcPr>
            <w:tcW w:w="2758" w:type="dxa"/>
            <w:gridSpan w:val="3"/>
          </w:tcPr>
          <w:p w:rsidR="00C4271B" w:rsidRDefault="00C4271B" w:rsidP="00AE62AB">
            <w:pPr>
              <w:rPr>
                <w:rFonts w:ascii="Calibri" w:hAnsi="Calibri"/>
                <w:color w:val="000000"/>
              </w:rPr>
            </w:pPr>
            <w:r>
              <w:rPr>
                <w:rFonts w:ascii="Calibri" w:hAnsi="Calibri"/>
                <w:color w:val="000000"/>
              </w:rPr>
              <w:t>Draft: Resources used in caring for the condition (duration TBD)</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t>50</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rPr>
                <w:rFonts w:ascii="Calibri" w:hAnsi="Calibri"/>
                <w:color w:val="000000"/>
              </w:rPr>
            </w:pPr>
            <w:r>
              <w:rPr>
                <w:rFonts w:ascii="Calibri" w:hAnsi="Calibri"/>
                <w:color w:val="000000"/>
              </w:rPr>
              <w:t xml:space="preserve">Draft: Sepsis/SIRS Condition Episode for CMS Episode </w:t>
            </w:r>
            <w:r>
              <w:rPr>
                <w:rFonts w:ascii="Calibri" w:hAnsi="Calibri"/>
                <w:color w:val="000000"/>
              </w:rPr>
              <w:lastRenderedPageBreak/>
              <w:t>Grouper</w:t>
            </w:r>
          </w:p>
        </w:tc>
        <w:tc>
          <w:tcPr>
            <w:tcW w:w="2758" w:type="dxa"/>
            <w:gridSpan w:val="3"/>
          </w:tcPr>
          <w:p w:rsidR="00C4271B" w:rsidRDefault="00C4271B" w:rsidP="00AE62AB">
            <w:pPr>
              <w:rPr>
                <w:rFonts w:ascii="Calibri" w:hAnsi="Calibri"/>
                <w:color w:val="000000"/>
              </w:rPr>
            </w:pPr>
            <w:r>
              <w:rPr>
                <w:rFonts w:ascii="Calibri" w:hAnsi="Calibri"/>
                <w:color w:val="000000"/>
              </w:rPr>
              <w:lastRenderedPageBreak/>
              <w:t>Draft: Resources used in caring for the condition (duration TBD)</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lastRenderedPageBreak/>
              <w:t>51</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rPr>
                <w:rFonts w:ascii="Calibri" w:hAnsi="Calibri"/>
                <w:color w:val="000000"/>
              </w:rPr>
            </w:pPr>
            <w:r>
              <w:rPr>
                <w:rFonts w:ascii="Calibri" w:hAnsi="Calibri"/>
                <w:color w:val="000000"/>
              </w:rPr>
              <w:t>Draft: Ischemic Cerebral Artery Disease Condition Episode for CMS Episode Grouper</w:t>
            </w:r>
          </w:p>
        </w:tc>
        <w:tc>
          <w:tcPr>
            <w:tcW w:w="2758" w:type="dxa"/>
            <w:gridSpan w:val="3"/>
          </w:tcPr>
          <w:p w:rsidR="00C4271B" w:rsidRDefault="00C4271B" w:rsidP="00AE62AB">
            <w:pPr>
              <w:rPr>
                <w:rFonts w:ascii="Calibri" w:hAnsi="Calibri"/>
                <w:color w:val="000000"/>
              </w:rPr>
            </w:pPr>
            <w:r>
              <w:rPr>
                <w:rFonts w:ascii="Calibri" w:hAnsi="Calibri"/>
                <w:color w:val="000000"/>
              </w:rPr>
              <w:t>Draft: Resources used in caring for the condition (duration TBD)</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t>52</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rPr>
                <w:rFonts w:ascii="Calibri" w:hAnsi="Calibri"/>
                <w:color w:val="000000"/>
              </w:rPr>
            </w:pPr>
            <w:r>
              <w:rPr>
                <w:rFonts w:ascii="Calibri" w:hAnsi="Calibri"/>
                <w:color w:val="000000"/>
              </w:rPr>
              <w:t>Draft: Carotid Artery Stenosis Treatment Episode for CMS Episode Grouper</w:t>
            </w:r>
          </w:p>
        </w:tc>
        <w:tc>
          <w:tcPr>
            <w:tcW w:w="2758" w:type="dxa"/>
            <w:gridSpan w:val="3"/>
          </w:tcPr>
          <w:p w:rsidR="00C4271B" w:rsidRDefault="00C4271B" w:rsidP="00AE62AB">
            <w:pPr>
              <w:rPr>
                <w:rFonts w:ascii="Calibri" w:hAnsi="Calibri"/>
                <w:color w:val="000000"/>
              </w:rPr>
            </w:pPr>
            <w:r>
              <w:rPr>
                <w:rFonts w:ascii="Calibri" w:hAnsi="Calibri"/>
                <w:color w:val="000000"/>
              </w:rPr>
              <w:t>Draft: Resources used in caring for the condition (duration TBD)</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t>53</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rPr>
                <w:rFonts w:ascii="Calibri" w:hAnsi="Calibri"/>
                <w:color w:val="000000"/>
              </w:rPr>
            </w:pPr>
            <w:r>
              <w:rPr>
                <w:rFonts w:ascii="Calibri" w:hAnsi="Calibri"/>
                <w:color w:val="000000"/>
              </w:rPr>
              <w:t>Draft: Breast Cancer Condition Episode for CMS Episode Grouper</w:t>
            </w:r>
          </w:p>
        </w:tc>
        <w:tc>
          <w:tcPr>
            <w:tcW w:w="2758" w:type="dxa"/>
            <w:gridSpan w:val="3"/>
          </w:tcPr>
          <w:p w:rsidR="00C4271B" w:rsidRDefault="00C4271B" w:rsidP="00AE62AB">
            <w:pPr>
              <w:rPr>
                <w:rFonts w:ascii="Calibri" w:hAnsi="Calibri"/>
                <w:color w:val="000000"/>
              </w:rPr>
            </w:pPr>
            <w:r>
              <w:rPr>
                <w:rFonts w:ascii="Calibri" w:hAnsi="Calibri"/>
                <w:color w:val="000000"/>
              </w:rPr>
              <w:t>Draft: Resources used in caring for the condition (duration TBD)</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t>54</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rPr>
                <w:rFonts w:ascii="Calibri" w:hAnsi="Calibri"/>
                <w:color w:val="000000"/>
              </w:rPr>
            </w:pPr>
            <w:r>
              <w:rPr>
                <w:rFonts w:ascii="Calibri" w:hAnsi="Calibri"/>
                <w:color w:val="000000"/>
              </w:rPr>
              <w:t>Draft: Breast Cancer Treatment Episode for CMS Episode Grouper</w:t>
            </w:r>
          </w:p>
        </w:tc>
        <w:tc>
          <w:tcPr>
            <w:tcW w:w="2758" w:type="dxa"/>
            <w:gridSpan w:val="3"/>
          </w:tcPr>
          <w:p w:rsidR="00C4271B" w:rsidRDefault="00C4271B" w:rsidP="00AE62AB">
            <w:pPr>
              <w:rPr>
                <w:rFonts w:ascii="Calibri" w:hAnsi="Calibri"/>
                <w:color w:val="000000"/>
              </w:rPr>
            </w:pPr>
            <w:r>
              <w:rPr>
                <w:rFonts w:ascii="Calibri" w:hAnsi="Calibri"/>
                <w:color w:val="000000"/>
              </w:rPr>
              <w:t>Draft: Resources used in caring for the condition (duration TBD)</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t>55</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rPr>
                <w:rFonts w:ascii="Calibri" w:hAnsi="Calibri"/>
                <w:color w:val="000000"/>
              </w:rPr>
            </w:pPr>
            <w:r>
              <w:rPr>
                <w:rFonts w:ascii="Calibri" w:hAnsi="Calibri"/>
                <w:color w:val="000000"/>
              </w:rPr>
              <w:t>Draft: Lung Cancer Condition Episode for CMS Episode Grouper</w:t>
            </w:r>
          </w:p>
        </w:tc>
        <w:tc>
          <w:tcPr>
            <w:tcW w:w="2758" w:type="dxa"/>
            <w:gridSpan w:val="3"/>
          </w:tcPr>
          <w:p w:rsidR="00C4271B" w:rsidRDefault="00C4271B" w:rsidP="00AE62AB">
            <w:pPr>
              <w:rPr>
                <w:rFonts w:ascii="Calibri" w:hAnsi="Calibri"/>
                <w:color w:val="000000"/>
              </w:rPr>
            </w:pPr>
            <w:r>
              <w:rPr>
                <w:rFonts w:ascii="Calibri" w:hAnsi="Calibri"/>
                <w:color w:val="000000"/>
              </w:rPr>
              <w:t>Draft: Resources used in caring for the condition (duration TBD)</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t>56</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rPr>
                <w:rFonts w:ascii="Calibri" w:hAnsi="Calibri"/>
                <w:color w:val="000000"/>
              </w:rPr>
            </w:pPr>
            <w:r>
              <w:rPr>
                <w:rFonts w:ascii="Calibri" w:hAnsi="Calibri"/>
                <w:color w:val="000000"/>
              </w:rPr>
              <w:t>Draft: Lung Cancer Treatment Episode for CMS Episode Grouper</w:t>
            </w:r>
          </w:p>
        </w:tc>
        <w:tc>
          <w:tcPr>
            <w:tcW w:w="2758" w:type="dxa"/>
            <w:gridSpan w:val="3"/>
          </w:tcPr>
          <w:p w:rsidR="00C4271B" w:rsidRDefault="00C4271B" w:rsidP="00AE62AB">
            <w:pPr>
              <w:rPr>
                <w:rFonts w:ascii="Calibri" w:hAnsi="Calibri"/>
                <w:color w:val="000000"/>
              </w:rPr>
            </w:pPr>
            <w:r>
              <w:rPr>
                <w:rFonts w:ascii="Calibri" w:hAnsi="Calibri"/>
                <w:color w:val="000000"/>
              </w:rPr>
              <w:t>Draft: Resources used in caring for the condition (duration TBD)</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t>57</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rPr>
                <w:rFonts w:ascii="Calibri" w:hAnsi="Calibri"/>
                <w:color w:val="000000"/>
              </w:rPr>
            </w:pPr>
            <w:r>
              <w:rPr>
                <w:rFonts w:ascii="Calibri" w:hAnsi="Calibri"/>
                <w:color w:val="000000"/>
              </w:rPr>
              <w:t>Draft: Prostate Cancer Treatment Episode for CMS Episode Grouper</w:t>
            </w:r>
          </w:p>
        </w:tc>
        <w:tc>
          <w:tcPr>
            <w:tcW w:w="2758" w:type="dxa"/>
            <w:gridSpan w:val="3"/>
          </w:tcPr>
          <w:p w:rsidR="00C4271B" w:rsidRDefault="00C4271B" w:rsidP="00AE62AB">
            <w:pPr>
              <w:rPr>
                <w:rFonts w:ascii="Calibri" w:hAnsi="Calibri"/>
                <w:color w:val="000000"/>
              </w:rPr>
            </w:pPr>
            <w:r>
              <w:rPr>
                <w:rFonts w:ascii="Calibri" w:hAnsi="Calibri"/>
                <w:color w:val="000000"/>
              </w:rPr>
              <w:t>Draft: Resources used in the episodes attributed to the provider</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t>58</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rPr>
                <w:rFonts w:ascii="Calibri" w:hAnsi="Calibri"/>
                <w:color w:val="000000"/>
              </w:rPr>
            </w:pPr>
            <w:r>
              <w:rPr>
                <w:rFonts w:ascii="Calibri" w:hAnsi="Calibri"/>
                <w:color w:val="000000"/>
              </w:rPr>
              <w:t>Draft: Prostate Cancer Condition Episode for CMS Episode Grouper</w:t>
            </w:r>
          </w:p>
        </w:tc>
        <w:tc>
          <w:tcPr>
            <w:tcW w:w="2758" w:type="dxa"/>
            <w:gridSpan w:val="3"/>
          </w:tcPr>
          <w:p w:rsidR="00C4271B" w:rsidRDefault="00C4271B" w:rsidP="00AE62AB">
            <w:pPr>
              <w:rPr>
                <w:rFonts w:ascii="Calibri" w:hAnsi="Calibri"/>
                <w:color w:val="000000"/>
              </w:rPr>
            </w:pPr>
            <w:r>
              <w:rPr>
                <w:rFonts w:ascii="Calibri" w:hAnsi="Calibri"/>
                <w:color w:val="000000"/>
              </w:rPr>
              <w:t>Draft: Resources used in the episodes attributed to the provider</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t>59</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rPr>
                <w:rFonts w:ascii="Calibri" w:hAnsi="Calibri"/>
                <w:color w:val="000000"/>
              </w:rPr>
            </w:pPr>
            <w:r>
              <w:rPr>
                <w:rFonts w:ascii="Calibri" w:hAnsi="Calibri"/>
                <w:color w:val="000000"/>
              </w:rPr>
              <w:t>Draft: Colon Cancer Condition Episode for CMS Episode Grouper</w:t>
            </w:r>
          </w:p>
        </w:tc>
        <w:tc>
          <w:tcPr>
            <w:tcW w:w="2758" w:type="dxa"/>
            <w:gridSpan w:val="3"/>
          </w:tcPr>
          <w:p w:rsidR="00C4271B" w:rsidRDefault="00C4271B" w:rsidP="00AE62AB">
            <w:pPr>
              <w:rPr>
                <w:rFonts w:ascii="Calibri" w:hAnsi="Calibri"/>
                <w:color w:val="000000"/>
              </w:rPr>
            </w:pPr>
            <w:r>
              <w:rPr>
                <w:rFonts w:ascii="Calibri" w:hAnsi="Calibri"/>
                <w:color w:val="000000"/>
              </w:rPr>
              <w:t>Draft: Resources used in the episodes attributed to the provider</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t>60</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rPr>
                <w:rFonts w:ascii="Calibri" w:hAnsi="Calibri"/>
                <w:color w:val="000000"/>
              </w:rPr>
            </w:pPr>
            <w:r>
              <w:rPr>
                <w:rFonts w:ascii="Calibri" w:hAnsi="Calibri"/>
                <w:color w:val="000000"/>
              </w:rPr>
              <w:t>Draft: Colon Cancer Treatment Episode for CMS Episode Grouper</w:t>
            </w:r>
          </w:p>
        </w:tc>
        <w:tc>
          <w:tcPr>
            <w:tcW w:w="2758" w:type="dxa"/>
            <w:gridSpan w:val="3"/>
          </w:tcPr>
          <w:p w:rsidR="00C4271B" w:rsidRDefault="00C4271B" w:rsidP="00AE62AB">
            <w:pPr>
              <w:rPr>
                <w:rFonts w:ascii="Calibri" w:hAnsi="Calibri"/>
                <w:color w:val="000000"/>
              </w:rPr>
            </w:pPr>
            <w:r>
              <w:rPr>
                <w:rFonts w:ascii="Calibri" w:hAnsi="Calibri"/>
                <w:color w:val="000000"/>
              </w:rPr>
              <w:t>Draft: Resources used in the episodes attributed to the provider</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t>61</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rPr>
                <w:rFonts w:ascii="Calibri" w:hAnsi="Calibri"/>
                <w:color w:val="000000"/>
              </w:rPr>
            </w:pPr>
            <w:r>
              <w:rPr>
                <w:rFonts w:ascii="Calibri" w:hAnsi="Calibri"/>
                <w:color w:val="000000"/>
              </w:rPr>
              <w:t xml:space="preserve">Draft: Dementia Condition Episode for CMS Episode </w:t>
            </w:r>
            <w:r>
              <w:rPr>
                <w:rFonts w:ascii="Calibri" w:hAnsi="Calibri"/>
                <w:color w:val="000000"/>
              </w:rPr>
              <w:lastRenderedPageBreak/>
              <w:t>Grouper</w:t>
            </w:r>
          </w:p>
        </w:tc>
        <w:tc>
          <w:tcPr>
            <w:tcW w:w="2758" w:type="dxa"/>
            <w:gridSpan w:val="3"/>
          </w:tcPr>
          <w:p w:rsidR="00C4271B" w:rsidRDefault="00C4271B" w:rsidP="00AE62AB">
            <w:pPr>
              <w:rPr>
                <w:rFonts w:ascii="Calibri" w:hAnsi="Calibri"/>
                <w:color w:val="000000"/>
              </w:rPr>
            </w:pPr>
            <w:r>
              <w:rPr>
                <w:rFonts w:ascii="Calibri" w:hAnsi="Calibri"/>
                <w:color w:val="000000"/>
              </w:rPr>
              <w:lastRenderedPageBreak/>
              <w:t>Draft: Resources used in the episodes attributed to the provider</w:t>
            </w:r>
          </w:p>
        </w:tc>
        <w:tc>
          <w:tcPr>
            <w:tcW w:w="1889" w:type="dxa"/>
          </w:tcPr>
          <w:p w:rsidR="00C4271B" w:rsidRDefault="00C4271B" w:rsidP="00AE62AB">
            <w:pPr>
              <w:pStyle w:val="NoSpacing"/>
            </w:pPr>
          </w:p>
        </w:tc>
      </w:tr>
      <w:tr w:rsidR="00C4271B" w:rsidTr="00624EED">
        <w:tc>
          <w:tcPr>
            <w:tcW w:w="936" w:type="dxa"/>
          </w:tcPr>
          <w:p w:rsidR="00C4271B" w:rsidRDefault="00C4271B" w:rsidP="00AE62AB">
            <w:pPr>
              <w:pStyle w:val="NoSpacing"/>
            </w:pPr>
            <w:r>
              <w:lastRenderedPageBreak/>
              <w:t>62</w:t>
            </w:r>
          </w:p>
        </w:tc>
        <w:tc>
          <w:tcPr>
            <w:tcW w:w="1742" w:type="dxa"/>
          </w:tcPr>
          <w:p w:rsidR="00C4271B" w:rsidRDefault="00C4271B" w:rsidP="00AE62AB">
            <w:pPr>
              <w:pStyle w:val="NoSpacing"/>
            </w:pPr>
            <w:r>
              <w:t>CMS</w:t>
            </w:r>
          </w:p>
        </w:tc>
        <w:tc>
          <w:tcPr>
            <w:tcW w:w="1156" w:type="dxa"/>
            <w:gridSpan w:val="3"/>
          </w:tcPr>
          <w:p w:rsidR="00C4271B" w:rsidRDefault="00C4271B" w:rsidP="00AE62AB">
            <w:pPr>
              <w:pStyle w:val="NoSpacing"/>
            </w:pPr>
            <w:r>
              <w:t>N/A not endorsed</w:t>
            </w:r>
          </w:p>
        </w:tc>
        <w:tc>
          <w:tcPr>
            <w:tcW w:w="2031" w:type="dxa"/>
          </w:tcPr>
          <w:p w:rsidR="00C4271B" w:rsidRDefault="00C4271B" w:rsidP="00AE62AB">
            <w:pPr>
              <w:rPr>
                <w:rFonts w:ascii="Calibri" w:hAnsi="Calibri"/>
                <w:color w:val="000000"/>
              </w:rPr>
            </w:pPr>
            <w:r>
              <w:rPr>
                <w:rFonts w:ascii="Calibri" w:hAnsi="Calibri"/>
                <w:color w:val="000000"/>
              </w:rPr>
              <w:t>Draft: Back Pain Condition Episode for CMS Episode Grouper</w:t>
            </w:r>
          </w:p>
        </w:tc>
        <w:tc>
          <w:tcPr>
            <w:tcW w:w="2758" w:type="dxa"/>
            <w:gridSpan w:val="3"/>
          </w:tcPr>
          <w:p w:rsidR="00C4271B" w:rsidRDefault="00C4271B" w:rsidP="00AE62AB">
            <w:pPr>
              <w:rPr>
                <w:rFonts w:ascii="Calibri" w:hAnsi="Calibri"/>
                <w:color w:val="000000"/>
              </w:rPr>
            </w:pPr>
            <w:r>
              <w:rPr>
                <w:rFonts w:ascii="Calibri" w:hAnsi="Calibri"/>
                <w:color w:val="000000"/>
              </w:rPr>
              <w:t>Draft: Resources used in the episodes attributed to the provider</w:t>
            </w:r>
          </w:p>
        </w:tc>
        <w:tc>
          <w:tcPr>
            <w:tcW w:w="1889" w:type="dxa"/>
          </w:tcPr>
          <w:p w:rsidR="00C4271B" w:rsidRDefault="00C4271B" w:rsidP="00AE62AB">
            <w:pPr>
              <w:pStyle w:val="NoSpacing"/>
            </w:pPr>
          </w:p>
        </w:tc>
      </w:tr>
      <w:tr w:rsidR="00C4271B" w:rsidTr="000465D6">
        <w:tc>
          <w:tcPr>
            <w:tcW w:w="10512" w:type="dxa"/>
            <w:gridSpan w:val="10"/>
          </w:tcPr>
          <w:p w:rsidR="00C4271B" w:rsidRPr="00E86AEF" w:rsidRDefault="00C4271B" w:rsidP="00B22230">
            <w:pPr>
              <w:pStyle w:val="NoSpacing"/>
              <w:rPr>
                <w:b/>
                <w:sz w:val="28"/>
                <w:szCs w:val="28"/>
              </w:rPr>
            </w:pPr>
            <w:r w:rsidRPr="00E86AEF">
              <w:rPr>
                <w:b/>
                <w:sz w:val="28"/>
                <w:szCs w:val="28"/>
              </w:rPr>
              <w:t>TOTAL</w:t>
            </w:r>
            <w:r w:rsidR="00A81F81">
              <w:rPr>
                <w:b/>
                <w:sz w:val="28"/>
                <w:szCs w:val="28"/>
              </w:rPr>
              <w:t xml:space="preserve"> COST</w:t>
            </w:r>
          </w:p>
        </w:tc>
      </w:tr>
      <w:tr w:rsidR="00C4271B" w:rsidTr="00624EED">
        <w:tc>
          <w:tcPr>
            <w:tcW w:w="936" w:type="dxa"/>
          </w:tcPr>
          <w:p w:rsidR="00C4271B" w:rsidRDefault="00C4271B" w:rsidP="00B22230">
            <w:pPr>
              <w:pStyle w:val="NoSpacing"/>
            </w:pPr>
            <w:r>
              <w:t>63</w:t>
            </w:r>
          </w:p>
        </w:tc>
        <w:tc>
          <w:tcPr>
            <w:tcW w:w="1759" w:type="dxa"/>
            <w:gridSpan w:val="2"/>
          </w:tcPr>
          <w:p w:rsidR="00C4271B" w:rsidRDefault="00C4271B" w:rsidP="00B22230">
            <w:pPr>
              <w:pStyle w:val="NoSpacing"/>
            </w:pPr>
            <w:r>
              <w:t>HealthPartners</w:t>
            </w:r>
          </w:p>
        </w:tc>
        <w:tc>
          <w:tcPr>
            <w:tcW w:w="1139" w:type="dxa"/>
            <w:gridSpan w:val="2"/>
          </w:tcPr>
          <w:p w:rsidR="00C4271B" w:rsidRDefault="00C4271B" w:rsidP="00B22230">
            <w:pPr>
              <w:pStyle w:val="NoSpacing"/>
            </w:pPr>
            <w:r>
              <w:t>1604</w:t>
            </w:r>
          </w:p>
        </w:tc>
        <w:tc>
          <w:tcPr>
            <w:tcW w:w="2070" w:type="dxa"/>
            <w:gridSpan w:val="2"/>
          </w:tcPr>
          <w:p w:rsidR="00C4271B" w:rsidRDefault="00C4271B" w:rsidP="00B22230">
            <w:pPr>
              <w:pStyle w:val="NoSpacing"/>
            </w:pPr>
            <w:r>
              <w:t>Total Cost of Care Population-based PMPM Index</w:t>
            </w:r>
          </w:p>
        </w:tc>
        <w:tc>
          <w:tcPr>
            <w:tcW w:w="2700" w:type="dxa"/>
          </w:tcPr>
          <w:p w:rsidR="00C4271B" w:rsidRDefault="00C4271B" w:rsidP="00B22230">
            <w:pPr>
              <w:pStyle w:val="NoSpacing"/>
            </w:pPr>
            <w:r>
              <w:t>Total Cost Index (TCI) is a measure of a primary care provider’s risk adjusted cost effectiveness at managing the population they care for. TCI includes all costs associated with treating members including professional, facility inpatient and outpatient, pharmacy, lab, radiology, ancillary and behavioral health services.</w:t>
            </w:r>
          </w:p>
        </w:tc>
        <w:tc>
          <w:tcPr>
            <w:tcW w:w="1908" w:type="dxa"/>
            <w:gridSpan w:val="2"/>
          </w:tcPr>
          <w:p w:rsidR="00C4271B" w:rsidRDefault="00C4271B" w:rsidP="00B22230">
            <w:pPr>
              <w:pStyle w:val="NoSpacing"/>
            </w:pPr>
            <w:r>
              <w:t>Per capita (population- or patient-based).</w:t>
            </w:r>
          </w:p>
        </w:tc>
      </w:tr>
      <w:tr w:rsidR="00C4271B" w:rsidTr="00624EED">
        <w:tc>
          <w:tcPr>
            <w:tcW w:w="936" w:type="dxa"/>
          </w:tcPr>
          <w:p w:rsidR="00C4271B" w:rsidRDefault="00C4271B" w:rsidP="00AE62AB">
            <w:pPr>
              <w:pStyle w:val="NoSpacing"/>
            </w:pPr>
            <w:r>
              <w:t>64</w:t>
            </w:r>
          </w:p>
        </w:tc>
        <w:tc>
          <w:tcPr>
            <w:tcW w:w="1759" w:type="dxa"/>
            <w:gridSpan w:val="2"/>
          </w:tcPr>
          <w:p w:rsidR="00C4271B" w:rsidRDefault="00C4271B" w:rsidP="00AE62AB">
            <w:pPr>
              <w:pStyle w:val="NoSpacing"/>
            </w:pPr>
            <w:r>
              <w:t>HealthPartners</w:t>
            </w:r>
          </w:p>
        </w:tc>
        <w:tc>
          <w:tcPr>
            <w:tcW w:w="1139" w:type="dxa"/>
            <w:gridSpan w:val="2"/>
          </w:tcPr>
          <w:p w:rsidR="00C4271B" w:rsidRDefault="00C4271B" w:rsidP="00AE62AB">
            <w:pPr>
              <w:pStyle w:val="NoSpacing"/>
            </w:pPr>
            <w:r>
              <w:t>1598</w:t>
            </w:r>
          </w:p>
        </w:tc>
        <w:tc>
          <w:tcPr>
            <w:tcW w:w="2070" w:type="dxa"/>
            <w:gridSpan w:val="2"/>
          </w:tcPr>
          <w:p w:rsidR="00C4271B" w:rsidRDefault="00C4271B" w:rsidP="00AE62AB">
            <w:pPr>
              <w:pStyle w:val="NoSpacing"/>
            </w:pPr>
            <w:r>
              <w:t>Total Resource Use Population-based PMPM Index</w:t>
            </w:r>
          </w:p>
        </w:tc>
        <w:tc>
          <w:tcPr>
            <w:tcW w:w="2700" w:type="dxa"/>
          </w:tcPr>
          <w:p w:rsidR="00C4271B" w:rsidRDefault="00C4271B" w:rsidP="00AE62AB">
            <w:pPr>
              <w:pStyle w:val="NoSpacing"/>
            </w:pPr>
            <w:r>
              <w:t>The Resource Use Index (RUI) is a risk adjusted measure of the frequency and intensity of services utilized to manage a provider group’s patients. Resource use includes all resources associated with treating members including professional, facility inpatient and outpatient, pharmacy, lab, radiology, ancillary and behavioral health services.</w:t>
            </w:r>
          </w:p>
        </w:tc>
        <w:tc>
          <w:tcPr>
            <w:tcW w:w="1908" w:type="dxa"/>
            <w:gridSpan w:val="2"/>
          </w:tcPr>
          <w:p w:rsidR="00C4271B" w:rsidRDefault="00C4271B" w:rsidP="00AE62AB">
            <w:pPr>
              <w:pStyle w:val="NoSpacing"/>
            </w:pPr>
            <w:r>
              <w:t>Per capita (population- or patient-based)</w:t>
            </w:r>
          </w:p>
          <w:p w:rsidR="00C4271B" w:rsidRDefault="00C4271B" w:rsidP="00AE62AB">
            <w:pPr>
              <w:pStyle w:val="NoSpacing"/>
            </w:pPr>
          </w:p>
          <w:p w:rsidR="00C4271B" w:rsidRDefault="00C4271B" w:rsidP="00AE62AB">
            <w:pPr>
              <w:pStyle w:val="NoSpacing"/>
            </w:pPr>
          </w:p>
        </w:tc>
      </w:tr>
      <w:tr w:rsidR="00C4271B" w:rsidTr="00624EED">
        <w:tc>
          <w:tcPr>
            <w:tcW w:w="936" w:type="dxa"/>
          </w:tcPr>
          <w:p w:rsidR="00C4271B" w:rsidRDefault="00C4271B" w:rsidP="00B22230">
            <w:pPr>
              <w:pStyle w:val="NoSpacing"/>
            </w:pPr>
            <w:r>
              <w:t>65</w:t>
            </w:r>
          </w:p>
        </w:tc>
        <w:tc>
          <w:tcPr>
            <w:tcW w:w="1759" w:type="dxa"/>
            <w:gridSpan w:val="2"/>
          </w:tcPr>
          <w:p w:rsidR="00C4271B" w:rsidRDefault="00C4271B" w:rsidP="00B22230">
            <w:pPr>
              <w:pStyle w:val="NoSpacing"/>
            </w:pPr>
            <w:r>
              <w:t>CMS</w:t>
            </w:r>
          </w:p>
        </w:tc>
        <w:tc>
          <w:tcPr>
            <w:tcW w:w="1139" w:type="dxa"/>
            <w:gridSpan w:val="2"/>
          </w:tcPr>
          <w:p w:rsidR="00C4271B" w:rsidRDefault="00C4271B" w:rsidP="00B22230">
            <w:pPr>
              <w:pStyle w:val="NoSpacing"/>
            </w:pPr>
            <w:r>
              <w:t>2158</w:t>
            </w:r>
          </w:p>
        </w:tc>
        <w:tc>
          <w:tcPr>
            <w:tcW w:w="2070" w:type="dxa"/>
            <w:gridSpan w:val="2"/>
          </w:tcPr>
          <w:p w:rsidR="00C4271B" w:rsidRDefault="00C4271B" w:rsidP="00B22230">
            <w:pPr>
              <w:pStyle w:val="NoSpacing"/>
            </w:pPr>
            <w:r>
              <w:t>Payment-Standardized Medicare Spending Per Beneficiary (MSPB)</w:t>
            </w:r>
          </w:p>
        </w:tc>
        <w:tc>
          <w:tcPr>
            <w:tcW w:w="2700" w:type="dxa"/>
          </w:tcPr>
          <w:p w:rsidR="00C4271B" w:rsidRDefault="00C4271B" w:rsidP="00B22230">
            <w:pPr>
              <w:pStyle w:val="NoSpacing"/>
            </w:pPr>
            <w:r>
              <w:t xml:space="preserve">The MSPB Measure assesses the cost of services performed by hospitals and other healthcare providers during an MSPB hospitalization episode, which comprises the period immediately prior to, during, and following a patient’s hospital stay. Beneficiary populations eligible for the MSPB calculation include </w:t>
            </w:r>
            <w:r>
              <w:lastRenderedPageBreak/>
              <w:t>Medicare beneficiaries enrolled in Medicare Parts A and B who were discharged from short-term acute hospitals during the period of performance.</w:t>
            </w:r>
          </w:p>
        </w:tc>
        <w:tc>
          <w:tcPr>
            <w:tcW w:w="1908" w:type="dxa"/>
            <w:gridSpan w:val="2"/>
          </w:tcPr>
          <w:p w:rsidR="00C4271B" w:rsidRDefault="00C4271B" w:rsidP="00B22230">
            <w:pPr>
              <w:pStyle w:val="NoSpacing"/>
            </w:pPr>
            <w:r>
              <w:lastRenderedPageBreak/>
              <w:t xml:space="preserve">This measure is a per episode evaluation.  </w:t>
            </w:r>
          </w:p>
          <w:p w:rsidR="00C4271B" w:rsidRDefault="00C4271B" w:rsidP="00B22230">
            <w:pPr>
              <w:pStyle w:val="NoSpacing"/>
            </w:pPr>
          </w:p>
          <w:p w:rsidR="00C4271B" w:rsidRDefault="00C4271B" w:rsidP="00B22230">
            <w:pPr>
              <w:pStyle w:val="NoSpacing"/>
            </w:pPr>
          </w:p>
        </w:tc>
      </w:tr>
      <w:tr w:rsidR="00C4271B" w:rsidTr="00624EED">
        <w:tc>
          <w:tcPr>
            <w:tcW w:w="936" w:type="dxa"/>
          </w:tcPr>
          <w:p w:rsidR="00C4271B" w:rsidRDefault="00C4271B" w:rsidP="00B22230">
            <w:pPr>
              <w:pStyle w:val="NoSpacing"/>
            </w:pPr>
            <w:r>
              <w:lastRenderedPageBreak/>
              <w:t>66</w:t>
            </w:r>
          </w:p>
        </w:tc>
        <w:tc>
          <w:tcPr>
            <w:tcW w:w="1759" w:type="dxa"/>
            <w:gridSpan w:val="2"/>
          </w:tcPr>
          <w:p w:rsidR="00C4271B" w:rsidRDefault="00C4271B" w:rsidP="00B22230">
            <w:pPr>
              <w:pStyle w:val="NoSpacing"/>
            </w:pPr>
            <w:r>
              <w:t>CMS</w:t>
            </w:r>
          </w:p>
        </w:tc>
        <w:tc>
          <w:tcPr>
            <w:tcW w:w="1139" w:type="dxa"/>
            <w:gridSpan w:val="2"/>
          </w:tcPr>
          <w:p w:rsidR="00C4271B" w:rsidRDefault="00C4271B" w:rsidP="00B22230">
            <w:pPr>
              <w:pStyle w:val="NoSpacing"/>
            </w:pPr>
            <w:r>
              <w:t>N/A Not endorsed</w:t>
            </w:r>
          </w:p>
        </w:tc>
        <w:tc>
          <w:tcPr>
            <w:tcW w:w="2070" w:type="dxa"/>
            <w:gridSpan w:val="2"/>
          </w:tcPr>
          <w:p w:rsidR="00C4271B" w:rsidRDefault="00C4271B" w:rsidP="00B22230">
            <w:pPr>
              <w:pStyle w:val="NoSpacing"/>
            </w:pPr>
            <w:r w:rsidRPr="00C73082">
              <w:t>Total Per Capita Cost Measure</w:t>
            </w:r>
          </w:p>
        </w:tc>
        <w:tc>
          <w:tcPr>
            <w:tcW w:w="2700" w:type="dxa"/>
          </w:tcPr>
          <w:p w:rsidR="00C4271B" w:rsidRDefault="00C4271B" w:rsidP="00B22230">
            <w:pPr>
              <w:pStyle w:val="NoSpacing"/>
            </w:pPr>
            <w:r w:rsidRPr="00C73082">
              <w:t>The ratio of all actual Medicare FFS Parts A and B payments to a physician or medical group for beneficiaries attributed to them over a calendar year to all expected payments to the physician or medical group, multiplied by the payment for the average beneficiary in the sample.</w:t>
            </w:r>
          </w:p>
        </w:tc>
        <w:tc>
          <w:tcPr>
            <w:tcW w:w="1908" w:type="dxa"/>
            <w:gridSpan w:val="2"/>
          </w:tcPr>
          <w:p w:rsidR="00C4271B" w:rsidRDefault="00C4271B" w:rsidP="00B22230">
            <w:pPr>
              <w:pStyle w:val="NoSpacing"/>
            </w:pPr>
          </w:p>
        </w:tc>
      </w:tr>
    </w:tbl>
    <w:p w:rsidR="005A1A16" w:rsidRDefault="005A1A16" w:rsidP="005A1A16">
      <w:pPr>
        <w:pStyle w:val="NoSpacing"/>
      </w:pPr>
    </w:p>
    <w:p w:rsidR="005B47E1" w:rsidRPr="00E86AEF" w:rsidRDefault="00D71936" w:rsidP="00D71936">
      <w:pPr>
        <w:pStyle w:val="NoSpacing"/>
        <w:rPr>
          <w:b/>
          <w:sz w:val="28"/>
          <w:szCs w:val="28"/>
        </w:rPr>
      </w:pPr>
      <w:r w:rsidRPr="00E86AEF">
        <w:rPr>
          <w:b/>
          <w:sz w:val="28"/>
          <w:szCs w:val="28"/>
        </w:rPr>
        <w:t>A</w:t>
      </w:r>
      <w:r w:rsidR="00887434">
        <w:rPr>
          <w:b/>
          <w:sz w:val="28"/>
          <w:szCs w:val="28"/>
        </w:rPr>
        <w:t>PPROPRIATENESS</w:t>
      </w:r>
      <w:r w:rsidRPr="00E86AEF">
        <w:rPr>
          <w:b/>
          <w:sz w:val="28"/>
          <w:szCs w:val="28"/>
        </w:rPr>
        <w:t>/O</w:t>
      </w:r>
      <w:r w:rsidR="00887434">
        <w:rPr>
          <w:b/>
          <w:sz w:val="28"/>
          <w:szCs w:val="28"/>
        </w:rPr>
        <w:t>VERUSE</w:t>
      </w:r>
    </w:p>
    <w:tbl>
      <w:tblPr>
        <w:tblStyle w:val="TableGrid"/>
        <w:tblW w:w="10530" w:type="dxa"/>
        <w:tblInd w:w="-162" w:type="dxa"/>
        <w:tblLook w:val="04A0" w:firstRow="1" w:lastRow="0" w:firstColumn="1" w:lastColumn="0" w:noHBand="0" w:noVBand="1"/>
      </w:tblPr>
      <w:tblGrid>
        <w:gridCol w:w="900"/>
        <w:gridCol w:w="1800"/>
        <w:gridCol w:w="1166"/>
        <w:gridCol w:w="1984"/>
        <w:gridCol w:w="2790"/>
        <w:gridCol w:w="1890"/>
      </w:tblGrid>
      <w:tr w:rsidR="00E86AEF" w:rsidTr="00E86AEF">
        <w:trPr>
          <w:tblHeader/>
        </w:trPr>
        <w:tc>
          <w:tcPr>
            <w:tcW w:w="900" w:type="dxa"/>
          </w:tcPr>
          <w:p w:rsidR="00E86AEF" w:rsidRPr="00D71936" w:rsidRDefault="00E86AEF" w:rsidP="00B22230">
            <w:pPr>
              <w:pStyle w:val="NoSpacing"/>
              <w:rPr>
                <w:b/>
              </w:rPr>
            </w:pPr>
            <w:r>
              <w:rPr>
                <w:b/>
              </w:rPr>
              <w:t>Row #</w:t>
            </w:r>
          </w:p>
        </w:tc>
        <w:tc>
          <w:tcPr>
            <w:tcW w:w="1800" w:type="dxa"/>
          </w:tcPr>
          <w:p w:rsidR="00E86AEF" w:rsidRPr="00D71936" w:rsidRDefault="00E86AEF" w:rsidP="00B22230">
            <w:pPr>
              <w:pStyle w:val="NoSpacing"/>
              <w:rPr>
                <w:b/>
              </w:rPr>
            </w:pPr>
            <w:r w:rsidRPr="00D71936">
              <w:rPr>
                <w:b/>
              </w:rPr>
              <w:t>Steward</w:t>
            </w:r>
          </w:p>
        </w:tc>
        <w:tc>
          <w:tcPr>
            <w:tcW w:w="1166" w:type="dxa"/>
          </w:tcPr>
          <w:p w:rsidR="00E86AEF" w:rsidRPr="00D71936" w:rsidRDefault="00E86AEF" w:rsidP="00B22230">
            <w:pPr>
              <w:pStyle w:val="NoSpacing"/>
              <w:rPr>
                <w:b/>
              </w:rPr>
            </w:pPr>
            <w:r w:rsidRPr="00D71936">
              <w:rPr>
                <w:b/>
              </w:rPr>
              <w:t>NQF #</w:t>
            </w:r>
          </w:p>
        </w:tc>
        <w:tc>
          <w:tcPr>
            <w:tcW w:w="1984" w:type="dxa"/>
          </w:tcPr>
          <w:p w:rsidR="00E86AEF" w:rsidRPr="00D71936" w:rsidRDefault="00E86AEF" w:rsidP="00B22230">
            <w:pPr>
              <w:pStyle w:val="NoSpacing"/>
              <w:rPr>
                <w:b/>
              </w:rPr>
            </w:pPr>
            <w:r w:rsidRPr="00D71936">
              <w:rPr>
                <w:b/>
              </w:rPr>
              <w:t>Title</w:t>
            </w:r>
          </w:p>
        </w:tc>
        <w:tc>
          <w:tcPr>
            <w:tcW w:w="2790" w:type="dxa"/>
          </w:tcPr>
          <w:p w:rsidR="00E86AEF" w:rsidRPr="00D71936" w:rsidRDefault="00E86AEF" w:rsidP="00B22230">
            <w:pPr>
              <w:pStyle w:val="NoSpacing"/>
              <w:rPr>
                <w:b/>
              </w:rPr>
            </w:pPr>
            <w:r w:rsidRPr="00D71936">
              <w:rPr>
                <w:b/>
              </w:rPr>
              <w:t xml:space="preserve">Description </w:t>
            </w:r>
          </w:p>
        </w:tc>
        <w:tc>
          <w:tcPr>
            <w:tcW w:w="1890" w:type="dxa"/>
          </w:tcPr>
          <w:p w:rsidR="00E86AEF" w:rsidRPr="00D71936" w:rsidRDefault="00E86AEF" w:rsidP="00B22230">
            <w:pPr>
              <w:pStyle w:val="NoSpacing"/>
              <w:rPr>
                <w:b/>
              </w:rPr>
            </w:pPr>
            <w:r w:rsidRPr="00D71936">
              <w:rPr>
                <w:b/>
              </w:rPr>
              <w:t>Notes</w:t>
            </w:r>
          </w:p>
        </w:tc>
      </w:tr>
      <w:tr w:rsidR="00E86AEF" w:rsidTr="00E86AEF">
        <w:tc>
          <w:tcPr>
            <w:tcW w:w="900" w:type="dxa"/>
          </w:tcPr>
          <w:p w:rsidR="00E86AEF" w:rsidRDefault="00E86AEF" w:rsidP="00790012">
            <w:pPr>
              <w:pStyle w:val="NoSpacing"/>
            </w:pPr>
            <w:r>
              <w:t>67</w:t>
            </w:r>
          </w:p>
        </w:tc>
        <w:tc>
          <w:tcPr>
            <w:tcW w:w="1800" w:type="dxa"/>
          </w:tcPr>
          <w:p w:rsidR="00E86AEF" w:rsidRDefault="00E86AEF" w:rsidP="00790012">
            <w:pPr>
              <w:pStyle w:val="NoSpacing"/>
            </w:pPr>
            <w:r>
              <w:t>AHRQ</w:t>
            </w:r>
          </w:p>
        </w:tc>
        <w:tc>
          <w:tcPr>
            <w:tcW w:w="1166" w:type="dxa"/>
          </w:tcPr>
          <w:p w:rsidR="00E86AEF" w:rsidRDefault="00E86AEF" w:rsidP="00790012">
            <w:pPr>
              <w:pStyle w:val="NoSpacing"/>
            </w:pPr>
            <w:r>
              <w:t>0357</w:t>
            </w:r>
          </w:p>
        </w:tc>
        <w:tc>
          <w:tcPr>
            <w:tcW w:w="1984" w:type="dxa"/>
          </w:tcPr>
          <w:p w:rsidR="00E86AEF" w:rsidRDefault="00E86AEF" w:rsidP="00790012">
            <w:pPr>
              <w:pStyle w:val="NoSpacing"/>
            </w:pPr>
            <w:r>
              <w:t>Abdominal Aortic Aneurysm (AAA) Repair Volume (IQI 4)</w:t>
            </w:r>
          </w:p>
        </w:tc>
        <w:tc>
          <w:tcPr>
            <w:tcW w:w="2790" w:type="dxa"/>
          </w:tcPr>
          <w:p w:rsidR="00E86AEF" w:rsidRDefault="00E86AEF" w:rsidP="00790012">
            <w:pPr>
              <w:pStyle w:val="NoSpacing"/>
            </w:pPr>
            <w:r>
              <w:t>The number of hospital discharges with a procedure for abdominal aortic aneurysm (AAA) repair for patients 18 years and older or obstetric patients. Includes metrics for the number of discharges grouped by diagnosis and procedure type.</w:t>
            </w:r>
          </w:p>
        </w:tc>
        <w:tc>
          <w:tcPr>
            <w:tcW w:w="1890" w:type="dxa"/>
          </w:tcPr>
          <w:p w:rsidR="00E86AEF" w:rsidRDefault="00E86AEF" w:rsidP="00B22230">
            <w:pPr>
              <w:pStyle w:val="NoSpacing"/>
            </w:pPr>
          </w:p>
        </w:tc>
      </w:tr>
      <w:tr w:rsidR="00E86AEF" w:rsidTr="00E86AEF">
        <w:tc>
          <w:tcPr>
            <w:tcW w:w="900" w:type="dxa"/>
          </w:tcPr>
          <w:p w:rsidR="00E86AEF" w:rsidRDefault="00E86AEF" w:rsidP="00790012">
            <w:pPr>
              <w:pStyle w:val="NoSpacing"/>
            </w:pPr>
            <w:r>
              <w:t>68</w:t>
            </w:r>
          </w:p>
        </w:tc>
        <w:tc>
          <w:tcPr>
            <w:tcW w:w="1800" w:type="dxa"/>
          </w:tcPr>
          <w:p w:rsidR="00E86AEF" w:rsidRDefault="00E86AEF" w:rsidP="00790012">
            <w:pPr>
              <w:pStyle w:val="NoSpacing"/>
            </w:pPr>
            <w:r>
              <w:t>AHRQ</w:t>
            </w:r>
          </w:p>
        </w:tc>
        <w:tc>
          <w:tcPr>
            <w:tcW w:w="1166" w:type="dxa"/>
          </w:tcPr>
          <w:p w:rsidR="00E86AEF" w:rsidRDefault="00E86AEF" w:rsidP="00790012">
            <w:pPr>
              <w:pStyle w:val="NoSpacing"/>
            </w:pPr>
            <w:r>
              <w:t>0355</w:t>
            </w:r>
          </w:p>
        </w:tc>
        <w:tc>
          <w:tcPr>
            <w:tcW w:w="1984" w:type="dxa"/>
          </w:tcPr>
          <w:p w:rsidR="00E86AEF" w:rsidRDefault="00E86AEF" w:rsidP="00790012">
            <w:pPr>
              <w:pStyle w:val="NoSpacing"/>
            </w:pPr>
            <w:r>
              <w:t>Bilateral Cardiac Catheterization Rate (IQI 25)</w:t>
            </w:r>
          </w:p>
        </w:tc>
        <w:tc>
          <w:tcPr>
            <w:tcW w:w="2790" w:type="dxa"/>
          </w:tcPr>
          <w:p w:rsidR="00E86AEF" w:rsidRDefault="00E86AEF" w:rsidP="00790012">
            <w:pPr>
              <w:pStyle w:val="NoSpacing"/>
            </w:pPr>
            <w:r>
              <w:t>Percent of discharges with heart catheterizations in any procedure field with simultaneous right and left heart (bilateral) heart catheterizations.</w:t>
            </w:r>
          </w:p>
        </w:tc>
        <w:tc>
          <w:tcPr>
            <w:tcW w:w="1890" w:type="dxa"/>
          </w:tcPr>
          <w:p w:rsidR="00E86AEF" w:rsidRDefault="00E86AEF" w:rsidP="00B22230">
            <w:pPr>
              <w:pStyle w:val="NoSpacing"/>
            </w:pPr>
          </w:p>
        </w:tc>
      </w:tr>
      <w:tr w:rsidR="00E86AEF" w:rsidTr="00E86AEF">
        <w:tc>
          <w:tcPr>
            <w:tcW w:w="900" w:type="dxa"/>
          </w:tcPr>
          <w:p w:rsidR="00E86AEF" w:rsidRDefault="00E86AEF" w:rsidP="00B22230">
            <w:pPr>
              <w:pStyle w:val="NoSpacing"/>
            </w:pPr>
            <w:r>
              <w:t>69</w:t>
            </w:r>
          </w:p>
        </w:tc>
        <w:tc>
          <w:tcPr>
            <w:tcW w:w="1800" w:type="dxa"/>
          </w:tcPr>
          <w:p w:rsidR="00E86AEF" w:rsidRDefault="00E86AEF" w:rsidP="00790012">
            <w:pPr>
              <w:pStyle w:val="NoSpacing"/>
            </w:pPr>
            <w:r>
              <w:t>AHRQ</w:t>
            </w:r>
          </w:p>
        </w:tc>
        <w:tc>
          <w:tcPr>
            <w:tcW w:w="1166" w:type="dxa"/>
          </w:tcPr>
          <w:p w:rsidR="00E86AEF" w:rsidRDefault="00E86AEF" w:rsidP="00790012">
            <w:pPr>
              <w:pStyle w:val="NoSpacing"/>
            </w:pPr>
            <w:r>
              <w:t>0361</w:t>
            </w:r>
          </w:p>
        </w:tc>
        <w:tc>
          <w:tcPr>
            <w:tcW w:w="1984" w:type="dxa"/>
          </w:tcPr>
          <w:p w:rsidR="00E86AEF" w:rsidRDefault="00E86AEF" w:rsidP="00790012">
            <w:pPr>
              <w:pStyle w:val="NoSpacing"/>
            </w:pPr>
            <w:r>
              <w:t>Esophageal Resection Volume (IQI 1)</w:t>
            </w:r>
          </w:p>
        </w:tc>
        <w:tc>
          <w:tcPr>
            <w:tcW w:w="2790" w:type="dxa"/>
          </w:tcPr>
          <w:p w:rsidR="00E86AEF" w:rsidRDefault="00E86AEF" w:rsidP="00790012">
            <w:pPr>
              <w:pStyle w:val="NoSpacing"/>
            </w:pPr>
            <w:r>
              <w:t>Number of discharges with a procedure for esophogeal resection</w:t>
            </w:r>
          </w:p>
        </w:tc>
        <w:tc>
          <w:tcPr>
            <w:tcW w:w="1890" w:type="dxa"/>
          </w:tcPr>
          <w:p w:rsidR="00E86AEF" w:rsidRDefault="00E86AEF" w:rsidP="00790012">
            <w:pPr>
              <w:pStyle w:val="NoSpacing"/>
            </w:pPr>
          </w:p>
        </w:tc>
      </w:tr>
      <w:tr w:rsidR="00E86AEF" w:rsidTr="00E86AEF">
        <w:tc>
          <w:tcPr>
            <w:tcW w:w="900" w:type="dxa"/>
          </w:tcPr>
          <w:p w:rsidR="00E86AEF" w:rsidRDefault="00E86AEF" w:rsidP="00B22230">
            <w:pPr>
              <w:pStyle w:val="NoSpacing"/>
            </w:pPr>
            <w:r>
              <w:t>70</w:t>
            </w:r>
          </w:p>
        </w:tc>
        <w:tc>
          <w:tcPr>
            <w:tcW w:w="1800" w:type="dxa"/>
          </w:tcPr>
          <w:p w:rsidR="00E86AEF" w:rsidRDefault="00E86AEF" w:rsidP="00790012">
            <w:pPr>
              <w:pStyle w:val="NoSpacing"/>
            </w:pPr>
            <w:r>
              <w:t>AHRQ</w:t>
            </w:r>
          </w:p>
        </w:tc>
        <w:tc>
          <w:tcPr>
            <w:tcW w:w="1166" w:type="dxa"/>
          </w:tcPr>
          <w:p w:rsidR="00E86AEF" w:rsidRDefault="00E86AEF" w:rsidP="00790012">
            <w:pPr>
              <w:pStyle w:val="NoSpacing"/>
            </w:pPr>
            <w:r>
              <w:t>0366</w:t>
            </w:r>
          </w:p>
        </w:tc>
        <w:tc>
          <w:tcPr>
            <w:tcW w:w="1984" w:type="dxa"/>
          </w:tcPr>
          <w:p w:rsidR="00E86AEF" w:rsidRDefault="00E86AEF" w:rsidP="00790012">
            <w:pPr>
              <w:pStyle w:val="NoSpacing"/>
            </w:pPr>
            <w:r>
              <w:t>Pancreatic Resection Volume (IQI 2)</w:t>
            </w:r>
          </w:p>
        </w:tc>
        <w:tc>
          <w:tcPr>
            <w:tcW w:w="2790" w:type="dxa"/>
          </w:tcPr>
          <w:p w:rsidR="00E86AEF" w:rsidRDefault="00E86AEF" w:rsidP="00790012">
            <w:pPr>
              <w:pStyle w:val="NoSpacing"/>
            </w:pPr>
            <w:r>
              <w:t xml:space="preserve">The number of hospital discharges with a procedure code of partial or total pancreatic resection for patients 18 years and older or obstetric patients. Excludes acute pancreatitis </w:t>
            </w:r>
            <w:r>
              <w:lastRenderedPageBreak/>
              <w:t>admissions.</w:t>
            </w:r>
          </w:p>
        </w:tc>
        <w:tc>
          <w:tcPr>
            <w:tcW w:w="1890" w:type="dxa"/>
          </w:tcPr>
          <w:p w:rsidR="00E86AEF" w:rsidRDefault="00E86AEF" w:rsidP="00790012">
            <w:pPr>
              <w:pStyle w:val="NoSpacing"/>
            </w:pPr>
          </w:p>
        </w:tc>
      </w:tr>
      <w:tr w:rsidR="00E86AEF" w:rsidTr="00E86AEF">
        <w:tc>
          <w:tcPr>
            <w:tcW w:w="900" w:type="dxa"/>
          </w:tcPr>
          <w:p w:rsidR="00E86AEF" w:rsidRDefault="00E86AEF" w:rsidP="00B22230">
            <w:pPr>
              <w:pStyle w:val="NoSpacing"/>
            </w:pPr>
            <w:r>
              <w:lastRenderedPageBreak/>
              <w:t>71</w:t>
            </w:r>
          </w:p>
        </w:tc>
        <w:tc>
          <w:tcPr>
            <w:tcW w:w="1800" w:type="dxa"/>
          </w:tcPr>
          <w:p w:rsidR="00E86AEF" w:rsidRDefault="00E86AEF" w:rsidP="00B22230">
            <w:pPr>
              <w:pStyle w:val="NoSpacing"/>
            </w:pPr>
            <w:r>
              <w:t>AMA-PCPI</w:t>
            </w:r>
          </w:p>
        </w:tc>
        <w:tc>
          <w:tcPr>
            <w:tcW w:w="1166" w:type="dxa"/>
          </w:tcPr>
          <w:p w:rsidR="00E86AEF" w:rsidRDefault="00E86AEF" w:rsidP="00B22230">
            <w:pPr>
              <w:pStyle w:val="NoSpacing"/>
            </w:pPr>
            <w:r>
              <w:t>0654</w:t>
            </w:r>
          </w:p>
        </w:tc>
        <w:tc>
          <w:tcPr>
            <w:tcW w:w="1984" w:type="dxa"/>
          </w:tcPr>
          <w:p w:rsidR="00E86AEF" w:rsidRDefault="00E86AEF" w:rsidP="00B22230">
            <w:pPr>
              <w:pStyle w:val="NoSpacing"/>
            </w:pPr>
            <w:r>
              <w:t>Acute Otitis Externa: Systemic antimicrobial therapy – Avoidance of inappropriate use</w:t>
            </w:r>
          </w:p>
        </w:tc>
        <w:tc>
          <w:tcPr>
            <w:tcW w:w="2790" w:type="dxa"/>
          </w:tcPr>
          <w:p w:rsidR="00E86AEF" w:rsidRDefault="00E86AEF" w:rsidP="00B22230">
            <w:pPr>
              <w:pStyle w:val="NoSpacing"/>
            </w:pPr>
            <w:r>
              <w:t>Percentage of patients aged 2 years and older with a diagnosis of AOE who were not prescribed systemic antimicrobial therapy</w:t>
            </w:r>
          </w:p>
        </w:tc>
        <w:tc>
          <w:tcPr>
            <w:tcW w:w="1890" w:type="dxa"/>
          </w:tcPr>
          <w:p w:rsidR="00E86AEF" w:rsidRDefault="00E86AEF" w:rsidP="00B22230">
            <w:pPr>
              <w:pStyle w:val="NoSpacing"/>
            </w:pPr>
          </w:p>
        </w:tc>
      </w:tr>
      <w:tr w:rsidR="00E86AEF" w:rsidTr="00E86AEF">
        <w:tc>
          <w:tcPr>
            <w:tcW w:w="900" w:type="dxa"/>
          </w:tcPr>
          <w:p w:rsidR="00E86AEF" w:rsidRDefault="00E86AEF" w:rsidP="00B22230">
            <w:pPr>
              <w:pStyle w:val="NoSpacing"/>
            </w:pPr>
            <w:r>
              <w:t>72</w:t>
            </w:r>
          </w:p>
        </w:tc>
        <w:tc>
          <w:tcPr>
            <w:tcW w:w="1800" w:type="dxa"/>
          </w:tcPr>
          <w:p w:rsidR="00E86AEF" w:rsidRDefault="00E86AEF" w:rsidP="00B22230">
            <w:pPr>
              <w:pStyle w:val="NoSpacing"/>
            </w:pPr>
            <w:r>
              <w:t>Partners HealthCare System, Inc.</w:t>
            </w:r>
          </w:p>
        </w:tc>
        <w:tc>
          <w:tcPr>
            <w:tcW w:w="1166" w:type="dxa"/>
          </w:tcPr>
          <w:p w:rsidR="00E86AEF" w:rsidRDefault="00E86AEF" w:rsidP="00B22230">
            <w:pPr>
              <w:pStyle w:val="NoSpacing"/>
            </w:pPr>
            <w:r>
              <w:t>0755</w:t>
            </w:r>
          </w:p>
        </w:tc>
        <w:tc>
          <w:tcPr>
            <w:tcW w:w="1984" w:type="dxa"/>
          </w:tcPr>
          <w:p w:rsidR="00E86AEF" w:rsidRDefault="00E86AEF" w:rsidP="00B22230">
            <w:pPr>
              <w:pStyle w:val="NoSpacing"/>
            </w:pPr>
            <w:r>
              <w:t>Appropriate Cervical Spine Radiography and CT Imaging in Trauma</w:t>
            </w:r>
          </w:p>
        </w:tc>
        <w:tc>
          <w:tcPr>
            <w:tcW w:w="2790" w:type="dxa"/>
          </w:tcPr>
          <w:p w:rsidR="00E86AEF" w:rsidRDefault="00E86AEF" w:rsidP="00B22230">
            <w:pPr>
              <w:pStyle w:val="NoSpacing"/>
            </w:pPr>
            <w:r>
              <w:t>Percent of adult patients undergoing cervical spine radiography or CT imaging for trauma who have a documented evidence-based indication prior to imaging (Canadian C-Spine Rule or the NEXUS Low-Risk Criteria).</w:t>
            </w:r>
          </w:p>
        </w:tc>
        <w:tc>
          <w:tcPr>
            <w:tcW w:w="1890" w:type="dxa"/>
          </w:tcPr>
          <w:p w:rsidR="00E86AEF" w:rsidRDefault="00E86AEF" w:rsidP="00B22230">
            <w:pPr>
              <w:pStyle w:val="NoSpacing"/>
            </w:pPr>
          </w:p>
        </w:tc>
      </w:tr>
      <w:tr w:rsidR="00E86AEF" w:rsidTr="00E86AEF">
        <w:tc>
          <w:tcPr>
            <w:tcW w:w="900" w:type="dxa"/>
          </w:tcPr>
          <w:p w:rsidR="00E86AEF" w:rsidRDefault="00333EF4" w:rsidP="00B22230">
            <w:pPr>
              <w:pStyle w:val="NoSpacing"/>
            </w:pPr>
            <w:r>
              <w:t>73</w:t>
            </w:r>
          </w:p>
        </w:tc>
        <w:tc>
          <w:tcPr>
            <w:tcW w:w="1800" w:type="dxa"/>
          </w:tcPr>
          <w:p w:rsidR="00E86AEF" w:rsidRDefault="00E86AEF" w:rsidP="00B22230">
            <w:pPr>
              <w:pStyle w:val="NoSpacing"/>
            </w:pPr>
            <w:r>
              <w:t>Partners HealthCare System, Inc.</w:t>
            </w:r>
          </w:p>
        </w:tc>
        <w:tc>
          <w:tcPr>
            <w:tcW w:w="1166" w:type="dxa"/>
          </w:tcPr>
          <w:p w:rsidR="00E86AEF" w:rsidRDefault="00E86AEF" w:rsidP="00B22230">
            <w:pPr>
              <w:pStyle w:val="NoSpacing"/>
            </w:pPr>
            <w:r>
              <w:t>0668</w:t>
            </w:r>
          </w:p>
        </w:tc>
        <w:tc>
          <w:tcPr>
            <w:tcW w:w="1984" w:type="dxa"/>
          </w:tcPr>
          <w:p w:rsidR="00E86AEF" w:rsidRDefault="00E86AEF" w:rsidP="00B22230">
            <w:pPr>
              <w:pStyle w:val="NoSpacing"/>
            </w:pPr>
            <w:r>
              <w:t>Appropriate Head CT Imaging in Adults with Mild Traumatic Brain Injury</w:t>
            </w:r>
          </w:p>
        </w:tc>
        <w:tc>
          <w:tcPr>
            <w:tcW w:w="2790" w:type="dxa"/>
          </w:tcPr>
          <w:p w:rsidR="00E86AEF" w:rsidRDefault="00E86AEF" w:rsidP="00B22230">
            <w:pPr>
              <w:pStyle w:val="NoSpacing"/>
            </w:pPr>
            <w:r>
              <w:t>Percent of adult patients who presented within 24 hours of a non-penetrating head injury with a Glasgow coma score (GCS) &gt;13 and underwent head CT for trauma in the ED who have a documented indication consistent with guidelines(1) prior to imaging.</w:t>
            </w:r>
          </w:p>
        </w:tc>
        <w:tc>
          <w:tcPr>
            <w:tcW w:w="1890" w:type="dxa"/>
          </w:tcPr>
          <w:p w:rsidR="00E86AEF" w:rsidRDefault="00E86AEF" w:rsidP="00B22230">
            <w:pPr>
              <w:pStyle w:val="NoSpacing"/>
            </w:pPr>
          </w:p>
        </w:tc>
      </w:tr>
      <w:tr w:rsidR="00E86AEF" w:rsidTr="00E86AEF">
        <w:tc>
          <w:tcPr>
            <w:tcW w:w="900" w:type="dxa"/>
          </w:tcPr>
          <w:p w:rsidR="00E86AEF" w:rsidRDefault="00333EF4" w:rsidP="00B22230">
            <w:pPr>
              <w:pStyle w:val="NoSpacing"/>
            </w:pPr>
            <w:r>
              <w:t>74</w:t>
            </w:r>
          </w:p>
        </w:tc>
        <w:tc>
          <w:tcPr>
            <w:tcW w:w="1800" w:type="dxa"/>
          </w:tcPr>
          <w:p w:rsidR="00E86AEF" w:rsidRDefault="00E86AEF" w:rsidP="00B22230">
            <w:pPr>
              <w:pStyle w:val="NoSpacing"/>
            </w:pPr>
            <w:r>
              <w:t>NCQA</w:t>
            </w:r>
          </w:p>
        </w:tc>
        <w:tc>
          <w:tcPr>
            <w:tcW w:w="1166" w:type="dxa"/>
          </w:tcPr>
          <w:p w:rsidR="00E86AEF" w:rsidRDefault="00E86AEF" w:rsidP="00B22230">
            <w:pPr>
              <w:pStyle w:val="NoSpacing"/>
            </w:pPr>
            <w:r>
              <w:t>0002</w:t>
            </w:r>
          </w:p>
        </w:tc>
        <w:tc>
          <w:tcPr>
            <w:tcW w:w="1984" w:type="dxa"/>
          </w:tcPr>
          <w:p w:rsidR="00E86AEF" w:rsidRDefault="00E86AEF" w:rsidP="00B22230">
            <w:pPr>
              <w:pStyle w:val="NoSpacing"/>
            </w:pPr>
            <w:r>
              <w:t>Appropriate Testing for Children With Pharyngitis (CWP)</w:t>
            </w:r>
          </w:p>
        </w:tc>
        <w:tc>
          <w:tcPr>
            <w:tcW w:w="2790" w:type="dxa"/>
          </w:tcPr>
          <w:p w:rsidR="00E86AEF" w:rsidRDefault="00E86AEF" w:rsidP="00B22230">
            <w:pPr>
              <w:pStyle w:val="NoSpacing"/>
            </w:pPr>
            <w:r>
              <w:t>The percentage of children 2–18 years of age who were diagnosed with pharyngitis, dispensed an antibiotic and received a group A streptococcus (strep) test for the episode. A higher rate represents better performance (i.e., appropriate testing).</w:t>
            </w:r>
          </w:p>
        </w:tc>
        <w:tc>
          <w:tcPr>
            <w:tcW w:w="1890" w:type="dxa"/>
          </w:tcPr>
          <w:p w:rsidR="00E86AEF" w:rsidRDefault="00E86AEF" w:rsidP="00B22230">
            <w:pPr>
              <w:pStyle w:val="NoSpacing"/>
            </w:pPr>
          </w:p>
        </w:tc>
      </w:tr>
      <w:tr w:rsidR="00E86AEF" w:rsidTr="00E86AEF">
        <w:tc>
          <w:tcPr>
            <w:tcW w:w="900" w:type="dxa"/>
          </w:tcPr>
          <w:p w:rsidR="00E86AEF" w:rsidRDefault="00333EF4" w:rsidP="00B22230">
            <w:pPr>
              <w:pStyle w:val="NoSpacing"/>
            </w:pPr>
            <w:r>
              <w:t>75</w:t>
            </w:r>
          </w:p>
        </w:tc>
        <w:tc>
          <w:tcPr>
            <w:tcW w:w="1800" w:type="dxa"/>
          </w:tcPr>
          <w:p w:rsidR="00E86AEF" w:rsidRDefault="00E86AEF" w:rsidP="00B22230">
            <w:pPr>
              <w:pStyle w:val="NoSpacing"/>
            </w:pPr>
            <w:r>
              <w:t>NCQA</w:t>
            </w:r>
          </w:p>
        </w:tc>
        <w:tc>
          <w:tcPr>
            <w:tcW w:w="1166" w:type="dxa"/>
          </w:tcPr>
          <w:p w:rsidR="00E86AEF" w:rsidRDefault="00E86AEF" w:rsidP="00B22230">
            <w:pPr>
              <w:pStyle w:val="NoSpacing"/>
            </w:pPr>
            <w:r>
              <w:t>0069</w:t>
            </w:r>
          </w:p>
        </w:tc>
        <w:tc>
          <w:tcPr>
            <w:tcW w:w="1984" w:type="dxa"/>
          </w:tcPr>
          <w:p w:rsidR="00E86AEF" w:rsidRDefault="00E86AEF" w:rsidP="00B22230">
            <w:pPr>
              <w:pStyle w:val="NoSpacing"/>
            </w:pPr>
            <w:r>
              <w:t>Appropriate treatment for children with upper respiratory infection (URI)</w:t>
            </w:r>
          </w:p>
        </w:tc>
        <w:tc>
          <w:tcPr>
            <w:tcW w:w="2790" w:type="dxa"/>
          </w:tcPr>
          <w:p w:rsidR="00E86AEF" w:rsidRDefault="00E86AEF" w:rsidP="00B22230">
            <w:pPr>
              <w:pStyle w:val="NoSpacing"/>
            </w:pPr>
            <w:r>
              <w:t>Percentage of children 3 months to 18 years of age with a diagnosis of URI who were not dispensed an antibiotic medication.</w:t>
            </w:r>
          </w:p>
        </w:tc>
        <w:tc>
          <w:tcPr>
            <w:tcW w:w="1890" w:type="dxa"/>
          </w:tcPr>
          <w:p w:rsidR="00E86AEF" w:rsidRDefault="00E86AEF" w:rsidP="00B22230">
            <w:pPr>
              <w:pStyle w:val="NoSpacing"/>
            </w:pPr>
          </w:p>
        </w:tc>
      </w:tr>
      <w:tr w:rsidR="00E86AEF" w:rsidTr="00E86AEF">
        <w:tc>
          <w:tcPr>
            <w:tcW w:w="900" w:type="dxa"/>
          </w:tcPr>
          <w:p w:rsidR="00E86AEF" w:rsidRDefault="00333EF4" w:rsidP="00B22230">
            <w:pPr>
              <w:pStyle w:val="NoSpacing"/>
            </w:pPr>
            <w:r>
              <w:t>76</w:t>
            </w:r>
          </w:p>
        </w:tc>
        <w:tc>
          <w:tcPr>
            <w:tcW w:w="1800" w:type="dxa"/>
          </w:tcPr>
          <w:p w:rsidR="00E86AEF" w:rsidRDefault="00E86AEF" w:rsidP="00B22230">
            <w:pPr>
              <w:pStyle w:val="NoSpacing"/>
            </w:pPr>
            <w:r>
              <w:t>NCQA</w:t>
            </w:r>
          </w:p>
        </w:tc>
        <w:tc>
          <w:tcPr>
            <w:tcW w:w="1166" w:type="dxa"/>
          </w:tcPr>
          <w:p w:rsidR="00E86AEF" w:rsidRDefault="00E86AEF" w:rsidP="00B22230">
            <w:pPr>
              <w:pStyle w:val="NoSpacing"/>
            </w:pPr>
            <w:r>
              <w:t>0058</w:t>
            </w:r>
          </w:p>
        </w:tc>
        <w:tc>
          <w:tcPr>
            <w:tcW w:w="1984" w:type="dxa"/>
          </w:tcPr>
          <w:p w:rsidR="00E86AEF" w:rsidRDefault="00E86AEF" w:rsidP="00B22230">
            <w:pPr>
              <w:pStyle w:val="NoSpacing"/>
            </w:pPr>
            <w:r>
              <w:t>Avoidance of Antibiotic Treatment in Adults with Acute Bronchitis</w:t>
            </w:r>
          </w:p>
        </w:tc>
        <w:tc>
          <w:tcPr>
            <w:tcW w:w="2790" w:type="dxa"/>
          </w:tcPr>
          <w:p w:rsidR="00E86AEF" w:rsidRDefault="00E86AEF" w:rsidP="00B22230">
            <w:pPr>
              <w:pStyle w:val="NoSpacing"/>
            </w:pPr>
            <w:r>
              <w:t>The percentage of adults 18–64 years of age with a diagnosis of acute bronchitis who were not dispensed an antibiotic prescription.</w:t>
            </w:r>
          </w:p>
        </w:tc>
        <w:tc>
          <w:tcPr>
            <w:tcW w:w="1890" w:type="dxa"/>
          </w:tcPr>
          <w:p w:rsidR="00E86AEF" w:rsidRDefault="00E86AEF" w:rsidP="00B22230">
            <w:pPr>
              <w:pStyle w:val="NoSpacing"/>
            </w:pPr>
          </w:p>
        </w:tc>
      </w:tr>
      <w:tr w:rsidR="00E86AEF" w:rsidTr="00E86AEF">
        <w:tc>
          <w:tcPr>
            <w:tcW w:w="900" w:type="dxa"/>
          </w:tcPr>
          <w:p w:rsidR="00E86AEF" w:rsidRDefault="00333EF4" w:rsidP="00B22230">
            <w:pPr>
              <w:pStyle w:val="NoSpacing"/>
            </w:pPr>
            <w:r>
              <w:lastRenderedPageBreak/>
              <w:t>77</w:t>
            </w:r>
          </w:p>
        </w:tc>
        <w:tc>
          <w:tcPr>
            <w:tcW w:w="1800" w:type="dxa"/>
          </w:tcPr>
          <w:p w:rsidR="00E86AEF" w:rsidRDefault="00E86AEF" w:rsidP="00B22230">
            <w:pPr>
              <w:pStyle w:val="NoSpacing"/>
            </w:pPr>
            <w:r>
              <w:t>NCQA</w:t>
            </w:r>
          </w:p>
        </w:tc>
        <w:tc>
          <w:tcPr>
            <w:tcW w:w="1166" w:type="dxa"/>
          </w:tcPr>
          <w:p w:rsidR="00E86AEF" w:rsidRDefault="00E86AEF" w:rsidP="00B22230">
            <w:pPr>
              <w:pStyle w:val="NoSpacing"/>
            </w:pPr>
            <w:r>
              <w:t>0315</w:t>
            </w:r>
          </w:p>
        </w:tc>
        <w:tc>
          <w:tcPr>
            <w:tcW w:w="1984" w:type="dxa"/>
          </w:tcPr>
          <w:p w:rsidR="00E86AEF" w:rsidRDefault="00E86AEF" w:rsidP="00B22230">
            <w:pPr>
              <w:pStyle w:val="NoSpacing"/>
            </w:pPr>
            <w:r>
              <w:t>Back Pain: Appropriate Imaging for Acute Back Pain</w:t>
            </w:r>
          </w:p>
        </w:tc>
        <w:tc>
          <w:tcPr>
            <w:tcW w:w="2790" w:type="dxa"/>
          </w:tcPr>
          <w:p w:rsidR="00E86AEF" w:rsidRDefault="00E86AEF" w:rsidP="00B22230">
            <w:pPr>
              <w:pStyle w:val="NoSpacing"/>
            </w:pPr>
            <w:r>
              <w:t>Percentage of patients at least 18 years of age and younger than 80 with a diagnosis of back pain for whom the physician ordered imaging studies during the six weeks after pain onset, in the absence of “red flags” (overuse measure, lower performance is better).</w:t>
            </w:r>
          </w:p>
        </w:tc>
        <w:tc>
          <w:tcPr>
            <w:tcW w:w="1890" w:type="dxa"/>
          </w:tcPr>
          <w:p w:rsidR="00E86AEF" w:rsidRDefault="00E86AEF" w:rsidP="00B22230">
            <w:pPr>
              <w:pStyle w:val="NoSpacing"/>
            </w:pPr>
          </w:p>
        </w:tc>
      </w:tr>
      <w:tr w:rsidR="00E86AEF" w:rsidTr="00E86AEF">
        <w:tc>
          <w:tcPr>
            <w:tcW w:w="900" w:type="dxa"/>
          </w:tcPr>
          <w:p w:rsidR="00E86AEF" w:rsidRDefault="00333EF4" w:rsidP="00B22230">
            <w:pPr>
              <w:pStyle w:val="NoSpacing"/>
            </w:pPr>
            <w:r>
              <w:t>78</w:t>
            </w:r>
          </w:p>
        </w:tc>
        <w:tc>
          <w:tcPr>
            <w:tcW w:w="1800" w:type="dxa"/>
          </w:tcPr>
          <w:p w:rsidR="00E86AEF" w:rsidRDefault="00E86AEF" w:rsidP="00B22230">
            <w:pPr>
              <w:pStyle w:val="NoSpacing"/>
            </w:pPr>
            <w:r>
              <w:t>NCQA</w:t>
            </w:r>
          </w:p>
        </w:tc>
        <w:tc>
          <w:tcPr>
            <w:tcW w:w="1166" w:type="dxa"/>
          </w:tcPr>
          <w:p w:rsidR="00E86AEF" w:rsidRDefault="00E86AEF" w:rsidP="00B22230">
            <w:pPr>
              <w:pStyle w:val="NoSpacing"/>
            </w:pPr>
            <w:r>
              <w:t>0309</w:t>
            </w:r>
          </w:p>
        </w:tc>
        <w:tc>
          <w:tcPr>
            <w:tcW w:w="1984" w:type="dxa"/>
          </w:tcPr>
          <w:p w:rsidR="00E86AEF" w:rsidRDefault="00E86AEF" w:rsidP="00B22230">
            <w:pPr>
              <w:pStyle w:val="NoSpacing"/>
            </w:pPr>
            <w:r>
              <w:t>Back Pain: Appropriate Use of Epidural Steroid Injections</w:t>
            </w:r>
          </w:p>
        </w:tc>
        <w:tc>
          <w:tcPr>
            <w:tcW w:w="2790" w:type="dxa"/>
          </w:tcPr>
          <w:p w:rsidR="00E86AEF" w:rsidRDefault="00E86AEF" w:rsidP="00B22230">
            <w:pPr>
              <w:pStyle w:val="NoSpacing"/>
            </w:pPr>
            <w:r>
              <w:t>Percentage of patients at least 18 years of age and younger than 80 with back pain who have received an epidural steroid injection in the absence of radicular pain AND those patients with radicular pain who received an epidural steroid injection without image guidance (i.e. overuse measure, lower performance is better).</w:t>
            </w:r>
          </w:p>
        </w:tc>
        <w:tc>
          <w:tcPr>
            <w:tcW w:w="1890" w:type="dxa"/>
          </w:tcPr>
          <w:p w:rsidR="00E86AEF" w:rsidRDefault="00E86AEF" w:rsidP="00B22230">
            <w:pPr>
              <w:pStyle w:val="NoSpacing"/>
            </w:pPr>
          </w:p>
        </w:tc>
      </w:tr>
      <w:tr w:rsidR="00E86AEF" w:rsidTr="00E86AEF">
        <w:tc>
          <w:tcPr>
            <w:tcW w:w="900" w:type="dxa"/>
          </w:tcPr>
          <w:p w:rsidR="00E86AEF" w:rsidRDefault="00333EF4" w:rsidP="00B22230">
            <w:pPr>
              <w:pStyle w:val="NoSpacing"/>
            </w:pPr>
            <w:r>
              <w:t>79</w:t>
            </w:r>
          </w:p>
        </w:tc>
        <w:tc>
          <w:tcPr>
            <w:tcW w:w="1800" w:type="dxa"/>
          </w:tcPr>
          <w:p w:rsidR="00E86AEF" w:rsidRDefault="00E86AEF" w:rsidP="00B22230">
            <w:pPr>
              <w:pStyle w:val="NoSpacing"/>
            </w:pPr>
            <w:r>
              <w:t>NCQA</w:t>
            </w:r>
          </w:p>
        </w:tc>
        <w:tc>
          <w:tcPr>
            <w:tcW w:w="1166" w:type="dxa"/>
          </w:tcPr>
          <w:p w:rsidR="00E86AEF" w:rsidRDefault="00E86AEF" w:rsidP="00B22230">
            <w:pPr>
              <w:pStyle w:val="NoSpacing"/>
            </w:pPr>
            <w:r>
              <w:t>0312</w:t>
            </w:r>
          </w:p>
        </w:tc>
        <w:tc>
          <w:tcPr>
            <w:tcW w:w="1984" w:type="dxa"/>
          </w:tcPr>
          <w:p w:rsidR="00E86AEF" w:rsidRDefault="00E86AEF" w:rsidP="00B22230">
            <w:pPr>
              <w:pStyle w:val="NoSpacing"/>
            </w:pPr>
            <w:r>
              <w:t>Back Pain: Repeat Imaging Studies</w:t>
            </w:r>
          </w:p>
        </w:tc>
        <w:tc>
          <w:tcPr>
            <w:tcW w:w="2790" w:type="dxa"/>
          </w:tcPr>
          <w:p w:rsidR="00E86AEF" w:rsidRDefault="00E86AEF" w:rsidP="00B22230">
            <w:pPr>
              <w:pStyle w:val="NoSpacing"/>
            </w:pPr>
            <w:r>
              <w:t>Percentage of patients at least 18 years of age and younger than 80 with a back pain episode of 28 days or more who received inappropriate repeat imaging studies in the absence of red flags or progressive symptoms (overuse measure, lower performance is better).</w:t>
            </w:r>
          </w:p>
        </w:tc>
        <w:tc>
          <w:tcPr>
            <w:tcW w:w="1890" w:type="dxa"/>
          </w:tcPr>
          <w:p w:rsidR="00E86AEF" w:rsidRDefault="00E86AEF" w:rsidP="00B22230">
            <w:pPr>
              <w:pStyle w:val="NoSpacing"/>
            </w:pPr>
          </w:p>
        </w:tc>
      </w:tr>
      <w:tr w:rsidR="00E86AEF" w:rsidTr="00E86AEF">
        <w:tc>
          <w:tcPr>
            <w:tcW w:w="900" w:type="dxa"/>
          </w:tcPr>
          <w:p w:rsidR="00E86AEF" w:rsidRDefault="00333EF4" w:rsidP="00B22230">
            <w:pPr>
              <w:pStyle w:val="NoSpacing"/>
            </w:pPr>
            <w:r>
              <w:t>80</w:t>
            </w:r>
          </w:p>
        </w:tc>
        <w:tc>
          <w:tcPr>
            <w:tcW w:w="1800" w:type="dxa"/>
          </w:tcPr>
          <w:p w:rsidR="00E86AEF" w:rsidRDefault="00E86AEF" w:rsidP="00B22230">
            <w:pPr>
              <w:pStyle w:val="NoSpacing"/>
            </w:pPr>
            <w:r>
              <w:t>NCQA</w:t>
            </w:r>
          </w:p>
        </w:tc>
        <w:tc>
          <w:tcPr>
            <w:tcW w:w="1166" w:type="dxa"/>
          </w:tcPr>
          <w:p w:rsidR="00E86AEF" w:rsidRDefault="00E86AEF" w:rsidP="00B22230">
            <w:pPr>
              <w:pStyle w:val="NoSpacing"/>
            </w:pPr>
            <w:r>
              <w:t>0305</w:t>
            </w:r>
          </w:p>
        </w:tc>
        <w:tc>
          <w:tcPr>
            <w:tcW w:w="1984" w:type="dxa"/>
          </w:tcPr>
          <w:p w:rsidR="00E86AEF" w:rsidRDefault="00E86AEF" w:rsidP="00B22230">
            <w:pPr>
              <w:pStyle w:val="NoSpacing"/>
            </w:pPr>
            <w:r>
              <w:t>Back Pain: Surgical Timing</w:t>
            </w:r>
          </w:p>
        </w:tc>
        <w:tc>
          <w:tcPr>
            <w:tcW w:w="2790" w:type="dxa"/>
          </w:tcPr>
          <w:p w:rsidR="00E86AEF" w:rsidRDefault="00E86AEF" w:rsidP="00B22230">
            <w:pPr>
              <w:pStyle w:val="NoSpacing"/>
            </w:pPr>
            <w:r>
              <w:t>Percentage of patients at least 18 years of age and younger than 80 with a back pain episode of 28 days or more without documentation of red flags who had surgery within the first six weeks of back pain onset (overuse measure, lower performance is better).</w:t>
            </w:r>
          </w:p>
        </w:tc>
        <w:tc>
          <w:tcPr>
            <w:tcW w:w="1890" w:type="dxa"/>
          </w:tcPr>
          <w:p w:rsidR="00E86AEF" w:rsidRDefault="00E86AEF" w:rsidP="00B22230">
            <w:pPr>
              <w:pStyle w:val="NoSpacing"/>
            </w:pPr>
          </w:p>
        </w:tc>
      </w:tr>
      <w:tr w:rsidR="00E86AEF" w:rsidTr="00E86AEF">
        <w:tc>
          <w:tcPr>
            <w:tcW w:w="900" w:type="dxa"/>
          </w:tcPr>
          <w:p w:rsidR="00E86AEF" w:rsidRDefault="00333EF4" w:rsidP="00B22230">
            <w:pPr>
              <w:pStyle w:val="NoSpacing"/>
            </w:pPr>
            <w:r>
              <w:t>81</w:t>
            </w:r>
          </w:p>
        </w:tc>
        <w:tc>
          <w:tcPr>
            <w:tcW w:w="1800" w:type="dxa"/>
          </w:tcPr>
          <w:p w:rsidR="00E86AEF" w:rsidRDefault="00E86AEF" w:rsidP="00B22230">
            <w:pPr>
              <w:pStyle w:val="NoSpacing"/>
            </w:pPr>
            <w:r>
              <w:t>CMS</w:t>
            </w:r>
          </w:p>
        </w:tc>
        <w:tc>
          <w:tcPr>
            <w:tcW w:w="1166" w:type="dxa"/>
          </w:tcPr>
          <w:p w:rsidR="00E86AEF" w:rsidRDefault="00E86AEF" w:rsidP="00B22230">
            <w:pPr>
              <w:pStyle w:val="NoSpacing"/>
            </w:pPr>
            <w:r>
              <w:t>0669</w:t>
            </w:r>
          </w:p>
        </w:tc>
        <w:tc>
          <w:tcPr>
            <w:tcW w:w="1984" w:type="dxa"/>
          </w:tcPr>
          <w:p w:rsidR="00E86AEF" w:rsidRDefault="00E86AEF" w:rsidP="00B22230">
            <w:pPr>
              <w:pStyle w:val="NoSpacing"/>
            </w:pPr>
            <w:r>
              <w:t xml:space="preserve">Cardiac Imaging for </w:t>
            </w:r>
            <w:r>
              <w:lastRenderedPageBreak/>
              <w:t>Preoperative Risk Assessment for Non-Cardiac Low-Risk Surgery</w:t>
            </w:r>
          </w:p>
        </w:tc>
        <w:tc>
          <w:tcPr>
            <w:tcW w:w="2790" w:type="dxa"/>
          </w:tcPr>
          <w:p w:rsidR="00E86AEF" w:rsidRDefault="00E86AEF" w:rsidP="00B22230">
            <w:pPr>
              <w:pStyle w:val="NoSpacing"/>
            </w:pPr>
            <w:r>
              <w:lastRenderedPageBreak/>
              <w:t xml:space="preserve">This measure calculates the </w:t>
            </w:r>
            <w:r>
              <w:lastRenderedPageBreak/>
              <w:t>percentage of low-risk, non-cardiac surgeries performed at a hospital outpatient facility with a Stress Echocardiography, SPECT MPI or Stress MRI study performed in the 30 days prior to the surgery at a hospital outpatient facility (e.g., endoscopic, superficial, cataract surgery, and breast biopsy procedures). Results are to be segmented and reported by hospital outpatient facility where the imaging procedure was performed.</w:t>
            </w:r>
          </w:p>
        </w:tc>
        <w:tc>
          <w:tcPr>
            <w:tcW w:w="1890" w:type="dxa"/>
          </w:tcPr>
          <w:p w:rsidR="00E86AEF" w:rsidRDefault="00E86AEF" w:rsidP="00B22230">
            <w:pPr>
              <w:pStyle w:val="NoSpacing"/>
            </w:pPr>
          </w:p>
        </w:tc>
      </w:tr>
      <w:tr w:rsidR="00E86AEF" w:rsidTr="00E86AEF">
        <w:tc>
          <w:tcPr>
            <w:tcW w:w="900" w:type="dxa"/>
          </w:tcPr>
          <w:p w:rsidR="00E86AEF" w:rsidRDefault="00333EF4" w:rsidP="00B22230">
            <w:pPr>
              <w:pStyle w:val="NoSpacing"/>
            </w:pPr>
            <w:r>
              <w:lastRenderedPageBreak/>
              <w:t>82</w:t>
            </w:r>
          </w:p>
        </w:tc>
        <w:tc>
          <w:tcPr>
            <w:tcW w:w="1800" w:type="dxa"/>
          </w:tcPr>
          <w:p w:rsidR="00E86AEF" w:rsidRDefault="00E86AEF" w:rsidP="00B22230">
            <w:pPr>
              <w:pStyle w:val="NoSpacing"/>
            </w:pPr>
            <w:r>
              <w:t>American College of Cardiology Foundation</w:t>
            </w:r>
          </w:p>
        </w:tc>
        <w:tc>
          <w:tcPr>
            <w:tcW w:w="1166" w:type="dxa"/>
          </w:tcPr>
          <w:p w:rsidR="00E86AEF" w:rsidRDefault="00E86AEF" w:rsidP="00B22230">
            <w:pPr>
              <w:pStyle w:val="NoSpacing"/>
            </w:pPr>
            <w:r>
              <w:t>0670</w:t>
            </w:r>
          </w:p>
        </w:tc>
        <w:tc>
          <w:tcPr>
            <w:tcW w:w="1984" w:type="dxa"/>
          </w:tcPr>
          <w:p w:rsidR="00E86AEF" w:rsidRDefault="00E86AEF" w:rsidP="00B22230">
            <w:pPr>
              <w:pStyle w:val="NoSpacing"/>
            </w:pPr>
            <w:r>
              <w:t>Cardiac stress imaging not meeting appropriate use criteria: Preoperative evaluation in low risk surgery patients</w:t>
            </w:r>
          </w:p>
        </w:tc>
        <w:tc>
          <w:tcPr>
            <w:tcW w:w="2790" w:type="dxa"/>
          </w:tcPr>
          <w:p w:rsidR="00E86AEF" w:rsidRDefault="00E86AEF" w:rsidP="00B22230">
            <w:pPr>
              <w:pStyle w:val="NoSpacing"/>
            </w:pPr>
            <w:r>
              <w:t>Percentage of stress SPECT MPI, stress echo, CCTA, or CMR performed in low risk surgery patients for preoperative evaluation</w:t>
            </w:r>
          </w:p>
        </w:tc>
        <w:tc>
          <w:tcPr>
            <w:tcW w:w="1890" w:type="dxa"/>
          </w:tcPr>
          <w:p w:rsidR="00E86AEF" w:rsidRDefault="00E86AEF" w:rsidP="00B22230">
            <w:pPr>
              <w:pStyle w:val="NoSpacing"/>
            </w:pPr>
          </w:p>
        </w:tc>
      </w:tr>
      <w:tr w:rsidR="00E86AEF" w:rsidTr="00E86AEF">
        <w:tc>
          <w:tcPr>
            <w:tcW w:w="900" w:type="dxa"/>
          </w:tcPr>
          <w:p w:rsidR="00E86AEF" w:rsidRDefault="00333EF4" w:rsidP="00B22230">
            <w:pPr>
              <w:pStyle w:val="NoSpacing"/>
            </w:pPr>
            <w:r>
              <w:t>83</w:t>
            </w:r>
          </w:p>
        </w:tc>
        <w:tc>
          <w:tcPr>
            <w:tcW w:w="1800" w:type="dxa"/>
          </w:tcPr>
          <w:p w:rsidR="00E86AEF" w:rsidRDefault="00E86AEF" w:rsidP="00B22230">
            <w:pPr>
              <w:pStyle w:val="NoSpacing"/>
            </w:pPr>
            <w:r>
              <w:t>American College of Cardiology Foundation</w:t>
            </w:r>
          </w:p>
        </w:tc>
        <w:tc>
          <w:tcPr>
            <w:tcW w:w="1166" w:type="dxa"/>
          </w:tcPr>
          <w:p w:rsidR="00E86AEF" w:rsidRDefault="00E86AEF" w:rsidP="00B22230">
            <w:pPr>
              <w:pStyle w:val="NoSpacing"/>
            </w:pPr>
            <w:r>
              <w:t>0671</w:t>
            </w:r>
          </w:p>
        </w:tc>
        <w:tc>
          <w:tcPr>
            <w:tcW w:w="1984" w:type="dxa"/>
          </w:tcPr>
          <w:p w:rsidR="00E86AEF" w:rsidRDefault="00E86AEF" w:rsidP="00B22230">
            <w:pPr>
              <w:pStyle w:val="NoSpacing"/>
            </w:pPr>
            <w:r>
              <w:t>Cardiac stress imaging not meeting appropriate use criteria: Routine testing after percutaneous coronary intervention (PCI)</w:t>
            </w:r>
          </w:p>
        </w:tc>
        <w:tc>
          <w:tcPr>
            <w:tcW w:w="2790" w:type="dxa"/>
          </w:tcPr>
          <w:p w:rsidR="00E86AEF" w:rsidRDefault="00E86AEF" w:rsidP="00B22230">
            <w:pPr>
              <w:pStyle w:val="NoSpacing"/>
            </w:pPr>
            <w:r>
              <w:t>Percentage of all stress SPECT MPI, stress echo, CCTA and CMR performed routinely after PCI, with reference to timing of test after PCI and symptom status.</w:t>
            </w:r>
          </w:p>
        </w:tc>
        <w:tc>
          <w:tcPr>
            <w:tcW w:w="1890" w:type="dxa"/>
          </w:tcPr>
          <w:p w:rsidR="00E86AEF" w:rsidRDefault="00E86AEF" w:rsidP="00B22230">
            <w:pPr>
              <w:pStyle w:val="NoSpacing"/>
            </w:pPr>
          </w:p>
        </w:tc>
      </w:tr>
      <w:tr w:rsidR="00E86AEF" w:rsidTr="00E86AEF">
        <w:tc>
          <w:tcPr>
            <w:tcW w:w="900" w:type="dxa"/>
          </w:tcPr>
          <w:p w:rsidR="00E86AEF" w:rsidRDefault="00333EF4" w:rsidP="00B22230">
            <w:pPr>
              <w:pStyle w:val="NoSpacing"/>
            </w:pPr>
            <w:r>
              <w:t>84</w:t>
            </w:r>
          </w:p>
        </w:tc>
        <w:tc>
          <w:tcPr>
            <w:tcW w:w="1800" w:type="dxa"/>
          </w:tcPr>
          <w:p w:rsidR="00E86AEF" w:rsidRDefault="00E86AEF" w:rsidP="00B22230">
            <w:pPr>
              <w:pStyle w:val="NoSpacing"/>
            </w:pPr>
            <w:r>
              <w:t>American College of Cardiology Foundation</w:t>
            </w:r>
          </w:p>
        </w:tc>
        <w:tc>
          <w:tcPr>
            <w:tcW w:w="1166" w:type="dxa"/>
          </w:tcPr>
          <w:p w:rsidR="00E86AEF" w:rsidRDefault="00E86AEF" w:rsidP="00B22230">
            <w:pPr>
              <w:pStyle w:val="NoSpacing"/>
            </w:pPr>
            <w:r>
              <w:t>0672</w:t>
            </w:r>
          </w:p>
        </w:tc>
        <w:tc>
          <w:tcPr>
            <w:tcW w:w="1984" w:type="dxa"/>
          </w:tcPr>
          <w:p w:rsidR="00E86AEF" w:rsidRDefault="00E86AEF" w:rsidP="00B22230">
            <w:pPr>
              <w:pStyle w:val="NoSpacing"/>
            </w:pPr>
            <w:r>
              <w:t>Cardiac stress imaging not meeting appropriate use criteria: Testing in asymptomatic, low risk patients</w:t>
            </w:r>
          </w:p>
        </w:tc>
        <w:tc>
          <w:tcPr>
            <w:tcW w:w="2790" w:type="dxa"/>
          </w:tcPr>
          <w:p w:rsidR="00E86AEF" w:rsidRDefault="00E86AEF" w:rsidP="00B22230">
            <w:pPr>
              <w:pStyle w:val="NoSpacing"/>
            </w:pPr>
            <w:r>
              <w:t>Percentage of all stress SPECT MPI, stress echo, CCTA, and CMR performed in asymptomatic, low CHD risk patients for initial detection and risk assessment</w:t>
            </w:r>
          </w:p>
        </w:tc>
        <w:tc>
          <w:tcPr>
            <w:tcW w:w="1890" w:type="dxa"/>
          </w:tcPr>
          <w:p w:rsidR="00E86AEF" w:rsidRDefault="00E86AEF" w:rsidP="00B22230">
            <w:pPr>
              <w:pStyle w:val="NoSpacing"/>
            </w:pPr>
          </w:p>
        </w:tc>
      </w:tr>
      <w:tr w:rsidR="00E86AEF" w:rsidTr="00E86AEF">
        <w:tc>
          <w:tcPr>
            <w:tcW w:w="900" w:type="dxa"/>
          </w:tcPr>
          <w:p w:rsidR="00E86AEF" w:rsidRDefault="00333EF4" w:rsidP="00B22230">
            <w:pPr>
              <w:pStyle w:val="NoSpacing"/>
              <w:rPr>
                <w:rStyle w:val="qps-blocker-label-detail-text"/>
              </w:rPr>
            </w:pPr>
            <w:r>
              <w:rPr>
                <w:rStyle w:val="qps-blocker-label-detail-text"/>
              </w:rPr>
              <w:t>85</w:t>
            </w:r>
          </w:p>
        </w:tc>
        <w:tc>
          <w:tcPr>
            <w:tcW w:w="1800" w:type="dxa"/>
          </w:tcPr>
          <w:p w:rsidR="00E86AEF" w:rsidRDefault="00E86AEF" w:rsidP="00B22230">
            <w:pPr>
              <w:pStyle w:val="NoSpacing"/>
            </w:pPr>
            <w:r>
              <w:rPr>
                <w:rStyle w:val="qps-blocker-label-detail-text"/>
              </w:rPr>
              <w:t>Partners HealthCare System, Inc.</w:t>
            </w:r>
          </w:p>
        </w:tc>
        <w:tc>
          <w:tcPr>
            <w:tcW w:w="1166" w:type="dxa"/>
          </w:tcPr>
          <w:p w:rsidR="00E86AEF" w:rsidRDefault="00E86AEF" w:rsidP="00B22230">
            <w:pPr>
              <w:pStyle w:val="NoSpacing"/>
            </w:pPr>
            <w:r>
              <w:t>0667</w:t>
            </w:r>
          </w:p>
        </w:tc>
        <w:tc>
          <w:tcPr>
            <w:tcW w:w="1984" w:type="dxa"/>
          </w:tcPr>
          <w:p w:rsidR="00E86AEF" w:rsidRDefault="00E86AEF" w:rsidP="00B22230">
            <w:pPr>
              <w:pStyle w:val="NoSpacing"/>
            </w:pPr>
            <w:r>
              <w:t xml:space="preserve">Inappropriate Pulmonary CT Imaging for Patients at Low </w:t>
            </w:r>
            <w:r>
              <w:lastRenderedPageBreak/>
              <w:t>Risk for Pulmonary Embolism</w:t>
            </w:r>
          </w:p>
        </w:tc>
        <w:tc>
          <w:tcPr>
            <w:tcW w:w="2790" w:type="dxa"/>
          </w:tcPr>
          <w:p w:rsidR="00E86AEF" w:rsidRDefault="00E86AEF" w:rsidP="002F2372">
            <w:pPr>
              <w:pStyle w:val="NoSpacing"/>
            </w:pPr>
            <w:r>
              <w:lastRenderedPageBreak/>
              <w:t xml:space="preserve">Percent of patients undergoing CT pulmonary angiogram for the evaluation of possible PE </w:t>
            </w:r>
            <w:r>
              <w:lastRenderedPageBreak/>
              <w:t>who are at low-risk for PE consistent with guidelines prior to CT imaging.</w:t>
            </w:r>
          </w:p>
        </w:tc>
        <w:tc>
          <w:tcPr>
            <w:tcW w:w="1890" w:type="dxa"/>
          </w:tcPr>
          <w:p w:rsidR="00E86AEF" w:rsidRDefault="00E86AEF" w:rsidP="00B22230">
            <w:pPr>
              <w:pStyle w:val="NoSpacing"/>
            </w:pPr>
          </w:p>
        </w:tc>
      </w:tr>
      <w:tr w:rsidR="00E86AEF" w:rsidTr="00E86AEF">
        <w:tc>
          <w:tcPr>
            <w:tcW w:w="900" w:type="dxa"/>
          </w:tcPr>
          <w:p w:rsidR="00E86AEF" w:rsidRDefault="00333EF4" w:rsidP="00B22230">
            <w:pPr>
              <w:pStyle w:val="NoSpacing"/>
            </w:pPr>
            <w:r>
              <w:lastRenderedPageBreak/>
              <w:t>86</w:t>
            </w:r>
          </w:p>
        </w:tc>
        <w:tc>
          <w:tcPr>
            <w:tcW w:w="1800" w:type="dxa"/>
          </w:tcPr>
          <w:p w:rsidR="00E86AEF" w:rsidRDefault="00E86AEF" w:rsidP="00B22230">
            <w:pPr>
              <w:pStyle w:val="NoSpacing"/>
            </w:pPr>
            <w:r>
              <w:t>CMS</w:t>
            </w:r>
          </w:p>
        </w:tc>
        <w:tc>
          <w:tcPr>
            <w:tcW w:w="1166" w:type="dxa"/>
          </w:tcPr>
          <w:p w:rsidR="00E86AEF" w:rsidRDefault="00E86AEF" w:rsidP="00B22230">
            <w:pPr>
              <w:pStyle w:val="NoSpacing"/>
            </w:pPr>
            <w:r>
              <w:t>0514</w:t>
            </w:r>
          </w:p>
        </w:tc>
        <w:tc>
          <w:tcPr>
            <w:tcW w:w="1984" w:type="dxa"/>
          </w:tcPr>
          <w:p w:rsidR="00E86AEF" w:rsidRDefault="00E86AEF" w:rsidP="00B22230">
            <w:pPr>
              <w:pStyle w:val="NoSpacing"/>
            </w:pPr>
            <w:r>
              <w:t>MRI Lumbar Spine for Low Back Pain</w:t>
            </w:r>
          </w:p>
        </w:tc>
        <w:tc>
          <w:tcPr>
            <w:tcW w:w="2790" w:type="dxa"/>
          </w:tcPr>
          <w:p w:rsidR="00E86AEF" w:rsidRDefault="00E86AEF" w:rsidP="00B22230">
            <w:pPr>
              <w:pStyle w:val="NoSpacing"/>
            </w:pPr>
            <w:r>
              <w:t>This measure calculates the percentage of MRI of the Lumbar Spine studies with a diagnosis of low back pain on the imaging claim and for which the patient did not have prior claims-based evidence of antecedent conservative therapy.</w:t>
            </w:r>
          </w:p>
        </w:tc>
        <w:tc>
          <w:tcPr>
            <w:tcW w:w="1890" w:type="dxa"/>
          </w:tcPr>
          <w:p w:rsidR="00E86AEF" w:rsidRDefault="00E86AEF" w:rsidP="00B22230">
            <w:pPr>
              <w:pStyle w:val="NoSpacing"/>
            </w:pPr>
          </w:p>
        </w:tc>
      </w:tr>
      <w:tr w:rsidR="00E86AEF" w:rsidTr="00E86AEF">
        <w:tc>
          <w:tcPr>
            <w:tcW w:w="900" w:type="dxa"/>
          </w:tcPr>
          <w:p w:rsidR="00E86AEF" w:rsidRDefault="00333EF4" w:rsidP="00B22230">
            <w:pPr>
              <w:pStyle w:val="NoSpacing"/>
            </w:pPr>
            <w:r>
              <w:t>87</w:t>
            </w:r>
          </w:p>
        </w:tc>
        <w:tc>
          <w:tcPr>
            <w:tcW w:w="1800" w:type="dxa"/>
          </w:tcPr>
          <w:p w:rsidR="00E86AEF" w:rsidRDefault="00E86AEF" w:rsidP="00B22230">
            <w:pPr>
              <w:pStyle w:val="NoSpacing"/>
            </w:pPr>
            <w:r>
              <w:t>AMA-PCPI</w:t>
            </w:r>
          </w:p>
        </w:tc>
        <w:tc>
          <w:tcPr>
            <w:tcW w:w="1166" w:type="dxa"/>
          </w:tcPr>
          <w:p w:rsidR="00E86AEF" w:rsidRDefault="00E86AEF" w:rsidP="00B22230">
            <w:pPr>
              <w:pStyle w:val="NoSpacing"/>
            </w:pPr>
            <w:r>
              <w:t>0655</w:t>
            </w:r>
          </w:p>
        </w:tc>
        <w:tc>
          <w:tcPr>
            <w:tcW w:w="1984" w:type="dxa"/>
          </w:tcPr>
          <w:p w:rsidR="00E86AEF" w:rsidRDefault="00E86AEF" w:rsidP="00B22230">
            <w:pPr>
              <w:pStyle w:val="NoSpacing"/>
            </w:pPr>
            <w:r>
              <w:t>Otitis Media with Effusion: Antihistamines or decongestants – Avoidance of inappropriate use</w:t>
            </w:r>
          </w:p>
        </w:tc>
        <w:tc>
          <w:tcPr>
            <w:tcW w:w="2790" w:type="dxa"/>
          </w:tcPr>
          <w:p w:rsidR="00E86AEF" w:rsidRDefault="00E86AEF" w:rsidP="00B22230">
            <w:pPr>
              <w:pStyle w:val="NoSpacing"/>
            </w:pPr>
            <w:r>
              <w:t>Percentage of patients aged 2 months through 12 years with a diagnosis of OME were not prescribed or recommended to receive either antihistamines or decongestants</w:t>
            </w:r>
          </w:p>
        </w:tc>
        <w:tc>
          <w:tcPr>
            <w:tcW w:w="1890" w:type="dxa"/>
          </w:tcPr>
          <w:p w:rsidR="00E86AEF" w:rsidRDefault="00E86AEF" w:rsidP="00B22230">
            <w:pPr>
              <w:pStyle w:val="NoSpacing"/>
            </w:pPr>
          </w:p>
        </w:tc>
      </w:tr>
      <w:tr w:rsidR="00E86AEF" w:rsidTr="00E86AEF">
        <w:tc>
          <w:tcPr>
            <w:tcW w:w="900" w:type="dxa"/>
          </w:tcPr>
          <w:p w:rsidR="00E86AEF" w:rsidRDefault="00333EF4" w:rsidP="00B22230">
            <w:pPr>
              <w:pStyle w:val="NoSpacing"/>
            </w:pPr>
            <w:r>
              <w:t>88</w:t>
            </w:r>
          </w:p>
        </w:tc>
        <w:tc>
          <w:tcPr>
            <w:tcW w:w="1800" w:type="dxa"/>
          </w:tcPr>
          <w:p w:rsidR="00E86AEF" w:rsidRDefault="00E86AEF" w:rsidP="00B22230">
            <w:pPr>
              <w:pStyle w:val="NoSpacing"/>
            </w:pPr>
            <w:r>
              <w:t>AMA-PCPI</w:t>
            </w:r>
          </w:p>
        </w:tc>
        <w:tc>
          <w:tcPr>
            <w:tcW w:w="1166" w:type="dxa"/>
          </w:tcPr>
          <w:p w:rsidR="00E86AEF" w:rsidRDefault="00E86AEF" w:rsidP="00B22230">
            <w:pPr>
              <w:pStyle w:val="NoSpacing"/>
            </w:pPr>
            <w:r>
              <w:t>0657</w:t>
            </w:r>
          </w:p>
        </w:tc>
        <w:tc>
          <w:tcPr>
            <w:tcW w:w="1984" w:type="dxa"/>
          </w:tcPr>
          <w:p w:rsidR="00E86AEF" w:rsidRDefault="00E86AEF" w:rsidP="00B22230">
            <w:pPr>
              <w:pStyle w:val="NoSpacing"/>
            </w:pPr>
            <w:r>
              <w:t>Otitis Media with Effusion: Systemic antimicrobials – Avoidance of inappropriate use</w:t>
            </w:r>
          </w:p>
        </w:tc>
        <w:tc>
          <w:tcPr>
            <w:tcW w:w="2790" w:type="dxa"/>
          </w:tcPr>
          <w:p w:rsidR="00E86AEF" w:rsidRDefault="00E86AEF" w:rsidP="00B22230">
            <w:pPr>
              <w:pStyle w:val="NoSpacing"/>
            </w:pPr>
            <w:r>
              <w:t>Percentage of patients aged 2 months through 12 years with a diagnosis of OME who were not prescribed systemic antimicrobials</w:t>
            </w:r>
          </w:p>
        </w:tc>
        <w:tc>
          <w:tcPr>
            <w:tcW w:w="1890" w:type="dxa"/>
          </w:tcPr>
          <w:p w:rsidR="00E86AEF" w:rsidRDefault="00E86AEF" w:rsidP="00B22230">
            <w:pPr>
              <w:pStyle w:val="NoSpacing"/>
            </w:pPr>
          </w:p>
        </w:tc>
      </w:tr>
      <w:tr w:rsidR="00E86AEF" w:rsidTr="00E86AEF">
        <w:tc>
          <w:tcPr>
            <w:tcW w:w="900" w:type="dxa"/>
          </w:tcPr>
          <w:p w:rsidR="00E86AEF" w:rsidRDefault="00333EF4" w:rsidP="00B22230">
            <w:pPr>
              <w:pStyle w:val="NoSpacing"/>
            </w:pPr>
            <w:r>
              <w:t>89</w:t>
            </w:r>
          </w:p>
        </w:tc>
        <w:tc>
          <w:tcPr>
            <w:tcW w:w="1800" w:type="dxa"/>
          </w:tcPr>
          <w:p w:rsidR="00E86AEF" w:rsidRDefault="00E86AEF" w:rsidP="00B22230">
            <w:pPr>
              <w:pStyle w:val="NoSpacing"/>
            </w:pPr>
            <w:r>
              <w:t>AMA-PCPI</w:t>
            </w:r>
          </w:p>
        </w:tc>
        <w:tc>
          <w:tcPr>
            <w:tcW w:w="1166" w:type="dxa"/>
          </w:tcPr>
          <w:p w:rsidR="00E86AEF" w:rsidRDefault="00E86AEF" w:rsidP="00B22230">
            <w:pPr>
              <w:pStyle w:val="NoSpacing"/>
            </w:pPr>
            <w:r>
              <w:t>0656</w:t>
            </w:r>
          </w:p>
        </w:tc>
        <w:tc>
          <w:tcPr>
            <w:tcW w:w="1984" w:type="dxa"/>
          </w:tcPr>
          <w:p w:rsidR="00E86AEF" w:rsidRDefault="00E86AEF" w:rsidP="00B22230">
            <w:pPr>
              <w:pStyle w:val="NoSpacing"/>
            </w:pPr>
            <w:r>
              <w:t>Otitis Media with Effusion: Systemic corticosteroids – Avoidance of inappropriate use</w:t>
            </w:r>
          </w:p>
        </w:tc>
        <w:tc>
          <w:tcPr>
            <w:tcW w:w="2790" w:type="dxa"/>
          </w:tcPr>
          <w:p w:rsidR="00E86AEF" w:rsidRDefault="00E86AEF" w:rsidP="00B22230">
            <w:pPr>
              <w:pStyle w:val="NoSpacing"/>
            </w:pPr>
            <w:r>
              <w:t>Percentage of patients aged 2 months through 12 years with a diagnosis of OME who were not prescribed systemic corticosteroids</w:t>
            </w:r>
          </w:p>
        </w:tc>
        <w:tc>
          <w:tcPr>
            <w:tcW w:w="1890" w:type="dxa"/>
          </w:tcPr>
          <w:p w:rsidR="00E86AEF" w:rsidRDefault="00E86AEF" w:rsidP="00B22230">
            <w:pPr>
              <w:pStyle w:val="NoSpacing"/>
            </w:pPr>
          </w:p>
        </w:tc>
      </w:tr>
      <w:tr w:rsidR="00E86AEF" w:rsidTr="00E86AEF">
        <w:tc>
          <w:tcPr>
            <w:tcW w:w="900" w:type="dxa"/>
          </w:tcPr>
          <w:p w:rsidR="00E86AEF" w:rsidRDefault="00333EF4" w:rsidP="00B22230">
            <w:pPr>
              <w:pStyle w:val="NoSpacing"/>
            </w:pPr>
            <w:r>
              <w:t>90</w:t>
            </w:r>
          </w:p>
        </w:tc>
        <w:tc>
          <w:tcPr>
            <w:tcW w:w="1800" w:type="dxa"/>
          </w:tcPr>
          <w:p w:rsidR="00E86AEF" w:rsidRDefault="00E86AEF" w:rsidP="00B22230">
            <w:pPr>
              <w:pStyle w:val="NoSpacing"/>
            </w:pPr>
            <w:r>
              <w:t>AMA-PCPI</w:t>
            </w:r>
          </w:p>
        </w:tc>
        <w:tc>
          <w:tcPr>
            <w:tcW w:w="1166" w:type="dxa"/>
          </w:tcPr>
          <w:p w:rsidR="00E86AEF" w:rsidRDefault="00E86AEF" w:rsidP="00B22230">
            <w:pPr>
              <w:pStyle w:val="NoSpacing"/>
            </w:pPr>
            <w:r>
              <w:t>0562</w:t>
            </w:r>
          </w:p>
        </w:tc>
        <w:tc>
          <w:tcPr>
            <w:tcW w:w="1984" w:type="dxa"/>
          </w:tcPr>
          <w:p w:rsidR="00E86AEF" w:rsidRDefault="00E86AEF" w:rsidP="00B22230">
            <w:pPr>
              <w:pStyle w:val="NoSpacing"/>
            </w:pPr>
            <w:r>
              <w:t>Overutilization of Imaging Studies in Melanoma</w:t>
            </w:r>
          </w:p>
        </w:tc>
        <w:tc>
          <w:tcPr>
            <w:tcW w:w="2790" w:type="dxa"/>
          </w:tcPr>
          <w:p w:rsidR="00E86AEF" w:rsidRDefault="00E86AEF" w:rsidP="00B22230">
            <w:pPr>
              <w:pStyle w:val="NoSpacing"/>
            </w:pPr>
            <w:r>
              <w:t>Percentage of patients, regardless of age, with a current diagnosis of Stage 0 through IIC melanoma or a history of melanoma of any stage, without signs or symptoms suggesting systemic spread, seen for an office visit during the one-year measurement period, for whom no diagnostic imaging studies were ordered</w:t>
            </w:r>
          </w:p>
        </w:tc>
        <w:tc>
          <w:tcPr>
            <w:tcW w:w="1890" w:type="dxa"/>
          </w:tcPr>
          <w:p w:rsidR="00E86AEF" w:rsidRDefault="00E86AEF" w:rsidP="00B22230">
            <w:pPr>
              <w:pStyle w:val="NoSpacing"/>
            </w:pPr>
          </w:p>
        </w:tc>
      </w:tr>
      <w:tr w:rsidR="00E86AEF" w:rsidTr="00E86AEF">
        <w:tc>
          <w:tcPr>
            <w:tcW w:w="900" w:type="dxa"/>
          </w:tcPr>
          <w:p w:rsidR="00E86AEF" w:rsidRDefault="00333EF4" w:rsidP="00B22230">
            <w:pPr>
              <w:pStyle w:val="NoSpacing"/>
            </w:pPr>
            <w:r>
              <w:t>91</w:t>
            </w:r>
          </w:p>
        </w:tc>
        <w:tc>
          <w:tcPr>
            <w:tcW w:w="1800" w:type="dxa"/>
          </w:tcPr>
          <w:p w:rsidR="00E86AEF" w:rsidRDefault="00E86AEF" w:rsidP="00B22230">
            <w:pPr>
              <w:pStyle w:val="NoSpacing"/>
            </w:pPr>
            <w:r>
              <w:t>The Joint Commission</w:t>
            </w:r>
          </w:p>
        </w:tc>
        <w:tc>
          <w:tcPr>
            <w:tcW w:w="1166" w:type="dxa"/>
          </w:tcPr>
          <w:p w:rsidR="00E86AEF" w:rsidRDefault="00E86AEF" w:rsidP="00B22230">
            <w:pPr>
              <w:pStyle w:val="NoSpacing"/>
            </w:pPr>
            <w:r>
              <w:t>0469</w:t>
            </w:r>
          </w:p>
        </w:tc>
        <w:tc>
          <w:tcPr>
            <w:tcW w:w="1984" w:type="dxa"/>
          </w:tcPr>
          <w:p w:rsidR="00E86AEF" w:rsidRDefault="00E86AEF" w:rsidP="00B22230">
            <w:pPr>
              <w:pStyle w:val="NoSpacing"/>
            </w:pPr>
            <w:r>
              <w:t>PC-01 Elective Delivery</w:t>
            </w:r>
          </w:p>
        </w:tc>
        <w:tc>
          <w:tcPr>
            <w:tcW w:w="2790" w:type="dxa"/>
          </w:tcPr>
          <w:p w:rsidR="00E86AEF" w:rsidRDefault="00E86AEF" w:rsidP="00B22230">
            <w:pPr>
              <w:pStyle w:val="NoSpacing"/>
            </w:pPr>
            <w:r>
              <w:t xml:space="preserve">This measure assesses patients with elective vaginal deliveries or elective cesarean sections at &gt;= 37 </w:t>
            </w:r>
            <w:r>
              <w:lastRenderedPageBreak/>
              <w:t>and &lt; 39 weeks of gestation completed.</w:t>
            </w:r>
          </w:p>
        </w:tc>
        <w:tc>
          <w:tcPr>
            <w:tcW w:w="1890" w:type="dxa"/>
          </w:tcPr>
          <w:p w:rsidR="00E86AEF" w:rsidRDefault="00E86AEF" w:rsidP="00B22230">
            <w:pPr>
              <w:pStyle w:val="NoSpacing"/>
            </w:pPr>
          </w:p>
        </w:tc>
      </w:tr>
      <w:tr w:rsidR="00E86AEF" w:rsidTr="00E86AEF">
        <w:tc>
          <w:tcPr>
            <w:tcW w:w="900" w:type="dxa"/>
          </w:tcPr>
          <w:p w:rsidR="00E86AEF" w:rsidRDefault="00333EF4" w:rsidP="00B22230">
            <w:pPr>
              <w:pStyle w:val="NoSpacing"/>
            </w:pPr>
            <w:r>
              <w:lastRenderedPageBreak/>
              <w:t>92</w:t>
            </w:r>
          </w:p>
        </w:tc>
        <w:tc>
          <w:tcPr>
            <w:tcW w:w="1800" w:type="dxa"/>
          </w:tcPr>
          <w:p w:rsidR="00E86AEF" w:rsidRDefault="00E86AEF" w:rsidP="00B22230">
            <w:pPr>
              <w:pStyle w:val="NoSpacing"/>
            </w:pPr>
            <w:r>
              <w:t>The Joint Commission</w:t>
            </w:r>
          </w:p>
        </w:tc>
        <w:tc>
          <w:tcPr>
            <w:tcW w:w="1166" w:type="dxa"/>
          </w:tcPr>
          <w:p w:rsidR="00E86AEF" w:rsidRDefault="00E86AEF" w:rsidP="00B22230">
            <w:pPr>
              <w:pStyle w:val="NoSpacing"/>
            </w:pPr>
            <w:r>
              <w:t>0471</w:t>
            </w:r>
          </w:p>
        </w:tc>
        <w:tc>
          <w:tcPr>
            <w:tcW w:w="1984" w:type="dxa"/>
          </w:tcPr>
          <w:p w:rsidR="00E86AEF" w:rsidRDefault="00E86AEF" w:rsidP="00B22230">
            <w:pPr>
              <w:pStyle w:val="NoSpacing"/>
            </w:pPr>
            <w:r>
              <w:t>PC-02 Cesarean Section</w:t>
            </w:r>
          </w:p>
        </w:tc>
        <w:tc>
          <w:tcPr>
            <w:tcW w:w="2790" w:type="dxa"/>
          </w:tcPr>
          <w:p w:rsidR="00E86AEF" w:rsidRDefault="00E86AEF" w:rsidP="00B22230">
            <w:pPr>
              <w:pStyle w:val="NoSpacing"/>
            </w:pPr>
            <w:r>
              <w:t>This measure assesses the number of nulliparous women with a term, singleton baby in a vertex position delivered by cesarean section.</w:t>
            </w:r>
          </w:p>
        </w:tc>
        <w:tc>
          <w:tcPr>
            <w:tcW w:w="1890" w:type="dxa"/>
          </w:tcPr>
          <w:p w:rsidR="00E86AEF" w:rsidRDefault="00E86AEF" w:rsidP="00B22230">
            <w:pPr>
              <w:pStyle w:val="NoSpacing"/>
            </w:pPr>
          </w:p>
        </w:tc>
      </w:tr>
      <w:tr w:rsidR="00E86AEF" w:rsidTr="00E86AEF">
        <w:tc>
          <w:tcPr>
            <w:tcW w:w="900" w:type="dxa"/>
          </w:tcPr>
          <w:p w:rsidR="00E86AEF" w:rsidRDefault="00333EF4" w:rsidP="00B22230">
            <w:pPr>
              <w:pStyle w:val="NoSpacing"/>
            </w:pPr>
            <w:r>
              <w:t>93</w:t>
            </w:r>
          </w:p>
        </w:tc>
        <w:tc>
          <w:tcPr>
            <w:tcW w:w="1800" w:type="dxa"/>
          </w:tcPr>
          <w:p w:rsidR="00E86AEF" w:rsidRDefault="00E86AEF" w:rsidP="00B22230">
            <w:pPr>
              <w:pStyle w:val="NoSpacing"/>
            </w:pPr>
            <w:r>
              <w:t>AMA-PCPI</w:t>
            </w:r>
          </w:p>
        </w:tc>
        <w:tc>
          <w:tcPr>
            <w:tcW w:w="1166" w:type="dxa"/>
          </w:tcPr>
          <w:p w:rsidR="00E86AEF" w:rsidRDefault="00E86AEF" w:rsidP="00B22230">
            <w:pPr>
              <w:pStyle w:val="NoSpacing"/>
            </w:pPr>
            <w:r>
              <w:t>0389</w:t>
            </w:r>
          </w:p>
        </w:tc>
        <w:tc>
          <w:tcPr>
            <w:tcW w:w="1984" w:type="dxa"/>
          </w:tcPr>
          <w:p w:rsidR="00E86AEF" w:rsidRDefault="00E86AEF" w:rsidP="00B22230">
            <w:pPr>
              <w:pStyle w:val="NoSpacing"/>
            </w:pPr>
            <w:r>
              <w:t>Prostate Cancer: Avoidance of Overuse of Bone Scan for Staging Low Risk Prostate Cancer Patients</w:t>
            </w:r>
          </w:p>
        </w:tc>
        <w:tc>
          <w:tcPr>
            <w:tcW w:w="2790" w:type="dxa"/>
          </w:tcPr>
          <w:p w:rsidR="00E86AEF" w:rsidRDefault="00E86AEF" w:rsidP="00B22230">
            <w:pPr>
              <w:pStyle w:val="NoSpacing"/>
            </w:pPr>
            <w:r>
              <w:t>Percentage of patients, regardless of age, with a diagnosis of prostate cancer at low risk of recurrence receiving interstitial prostate brachytherapy, OR external beam radiotherapy to the prostate, OR radical prostatectomy, OR cryotherapy who did not have a bone scan performed at any time since diagnosis of prostate cancer</w:t>
            </w:r>
          </w:p>
        </w:tc>
        <w:tc>
          <w:tcPr>
            <w:tcW w:w="1890" w:type="dxa"/>
          </w:tcPr>
          <w:p w:rsidR="00E86AEF" w:rsidRDefault="00E86AEF" w:rsidP="00B22230">
            <w:pPr>
              <w:pStyle w:val="NoSpacing"/>
            </w:pPr>
          </w:p>
        </w:tc>
      </w:tr>
      <w:tr w:rsidR="00E86AEF" w:rsidTr="00E86AEF">
        <w:tc>
          <w:tcPr>
            <w:tcW w:w="900" w:type="dxa"/>
          </w:tcPr>
          <w:p w:rsidR="00E86AEF" w:rsidRDefault="00333EF4" w:rsidP="00B22230">
            <w:pPr>
              <w:pStyle w:val="NoSpacing"/>
            </w:pPr>
            <w:r>
              <w:t>94</w:t>
            </w:r>
          </w:p>
        </w:tc>
        <w:tc>
          <w:tcPr>
            <w:tcW w:w="1800" w:type="dxa"/>
          </w:tcPr>
          <w:p w:rsidR="00E86AEF" w:rsidRDefault="00E86AEF" w:rsidP="00B22230">
            <w:pPr>
              <w:pStyle w:val="NoSpacing"/>
            </w:pPr>
            <w:r>
              <w:t>CMS</w:t>
            </w:r>
          </w:p>
        </w:tc>
        <w:tc>
          <w:tcPr>
            <w:tcW w:w="1166" w:type="dxa"/>
          </w:tcPr>
          <w:p w:rsidR="00E86AEF" w:rsidRDefault="00E86AEF" w:rsidP="00B22230">
            <w:pPr>
              <w:pStyle w:val="NoSpacing"/>
            </w:pPr>
            <w:r>
              <w:t>0513</w:t>
            </w:r>
          </w:p>
        </w:tc>
        <w:tc>
          <w:tcPr>
            <w:tcW w:w="1984" w:type="dxa"/>
          </w:tcPr>
          <w:p w:rsidR="00E86AEF" w:rsidRDefault="00E86AEF" w:rsidP="00B22230">
            <w:pPr>
              <w:pStyle w:val="NoSpacing"/>
            </w:pPr>
            <w:r>
              <w:t>Thorax CT: Use of Contrast Material</w:t>
            </w:r>
          </w:p>
        </w:tc>
        <w:tc>
          <w:tcPr>
            <w:tcW w:w="2790" w:type="dxa"/>
          </w:tcPr>
          <w:p w:rsidR="00E86AEF" w:rsidRDefault="00E86AEF" w:rsidP="00B22230">
            <w:pPr>
              <w:pStyle w:val="NoSpacing"/>
            </w:pPr>
            <w:r>
              <w:t>This measure calculates the percentage of thoracic CT studies that are performed with and without contrast out of all thoracic CT studies performed</w:t>
            </w:r>
          </w:p>
        </w:tc>
        <w:tc>
          <w:tcPr>
            <w:tcW w:w="1890" w:type="dxa"/>
          </w:tcPr>
          <w:p w:rsidR="00E86AEF" w:rsidRDefault="00E86AEF" w:rsidP="00B22230">
            <w:pPr>
              <w:pStyle w:val="NoSpacing"/>
            </w:pPr>
          </w:p>
        </w:tc>
      </w:tr>
      <w:tr w:rsidR="00E86AEF" w:rsidTr="00E86AEF">
        <w:tc>
          <w:tcPr>
            <w:tcW w:w="900" w:type="dxa"/>
          </w:tcPr>
          <w:p w:rsidR="00E86AEF" w:rsidRDefault="00333EF4" w:rsidP="00B22230">
            <w:pPr>
              <w:pStyle w:val="NoSpacing"/>
            </w:pPr>
            <w:r>
              <w:t>95</w:t>
            </w:r>
          </w:p>
        </w:tc>
        <w:tc>
          <w:tcPr>
            <w:tcW w:w="1800" w:type="dxa"/>
          </w:tcPr>
          <w:p w:rsidR="00E86AEF" w:rsidRDefault="00E86AEF" w:rsidP="00B22230">
            <w:pPr>
              <w:pStyle w:val="NoSpacing"/>
            </w:pPr>
            <w:r>
              <w:t>NCQA</w:t>
            </w:r>
          </w:p>
        </w:tc>
        <w:tc>
          <w:tcPr>
            <w:tcW w:w="1166" w:type="dxa"/>
          </w:tcPr>
          <w:p w:rsidR="00E86AEF" w:rsidRDefault="00E86AEF" w:rsidP="00B22230">
            <w:pPr>
              <w:pStyle w:val="NoSpacing"/>
            </w:pPr>
            <w:r>
              <w:t>0052</w:t>
            </w:r>
          </w:p>
        </w:tc>
        <w:tc>
          <w:tcPr>
            <w:tcW w:w="1984" w:type="dxa"/>
          </w:tcPr>
          <w:p w:rsidR="00E86AEF" w:rsidRDefault="00E86AEF" w:rsidP="00B22230">
            <w:pPr>
              <w:pStyle w:val="NoSpacing"/>
            </w:pPr>
            <w:r>
              <w:t>Use of Imaging Studies for Low Back Pain</w:t>
            </w:r>
          </w:p>
        </w:tc>
        <w:tc>
          <w:tcPr>
            <w:tcW w:w="2790" w:type="dxa"/>
          </w:tcPr>
          <w:p w:rsidR="00E86AEF" w:rsidRDefault="00E86AEF" w:rsidP="00B22230">
            <w:pPr>
              <w:pStyle w:val="NoSpacing"/>
            </w:pPr>
            <w:r>
              <w:t>The percentage of members with a primary diagnosis of low back pain who did not have an imaging study (plain x-ray, MRI, CT scan) within 28 days of the diagnosis.</w:t>
            </w:r>
          </w:p>
        </w:tc>
        <w:tc>
          <w:tcPr>
            <w:tcW w:w="1890" w:type="dxa"/>
          </w:tcPr>
          <w:p w:rsidR="00E86AEF" w:rsidRDefault="00E86AEF" w:rsidP="00B22230">
            <w:pPr>
              <w:pStyle w:val="NoSpacing"/>
            </w:pPr>
          </w:p>
        </w:tc>
      </w:tr>
      <w:tr w:rsidR="00E86AEF" w:rsidTr="00E86AEF">
        <w:tc>
          <w:tcPr>
            <w:tcW w:w="900" w:type="dxa"/>
          </w:tcPr>
          <w:p w:rsidR="00E86AEF" w:rsidRDefault="00333EF4" w:rsidP="00B22230">
            <w:pPr>
              <w:pStyle w:val="NoSpacing"/>
            </w:pPr>
            <w:r>
              <w:t>96</w:t>
            </w:r>
          </w:p>
        </w:tc>
        <w:tc>
          <w:tcPr>
            <w:tcW w:w="1800" w:type="dxa"/>
          </w:tcPr>
          <w:p w:rsidR="00E86AEF" w:rsidRDefault="00E86AEF" w:rsidP="00B22230">
            <w:pPr>
              <w:pStyle w:val="NoSpacing"/>
            </w:pPr>
            <w:r>
              <w:t>CMS</w:t>
            </w:r>
          </w:p>
        </w:tc>
        <w:tc>
          <w:tcPr>
            <w:tcW w:w="1166" w:type="dxa"/>
          </w:tcPr>
          <w:p w:rsidR="00E86AEF" w:rsidRDefault="00E86AEF" w:rsidP="00B22230">
            <w:pPr>
              <w:pStyle w:val="NoSpacing"/>
            </w:pPr>
            <w:r>
              <w:t>N/A Not endorsed</w:t>
            </w:r>
          </w:p>
        </w:tc>
        <w:tc>
          <w:tcPr>
            <w:tcW w:w="1984" w:type="dxa"/>
          </w:tcPr>
          <w:p w:rsidR="00E86AEF" w:rsidRDefault="00E86AEF" w:rsidP="00B22230">
            <w:pPr>
              <w:pStyle w:val="NoSpacing"/>
            </w:pPr>
            <w:r w:rsidRPr="00EB18E7">
              <w:t>Overuse of Diagnostic Imaging for Uncomplicated Headache</w:t>
            </w:r>
          </w:p>
        </w:tc>
        <w:tc>
          <w:tcPr>
            <w:tcW w:w="2790" w:type="dxa"/>
          </w:tcPr>
          <w:p w:rsidR="00E86AEF" w:rsidRDefault="00E86AEF" w:rsidP="00B22230">
            <w:pPr>
              <w:pStyle w:val="NoSpacing"/>
            </w:pPr>
            <w:r w:rsidRPr="00EB18E7">
              <w:t>DRAFT: Percentage of all adult (&gt;=18 years old) uncomplicated headache patients who received an order for a brain computed tomography (CT), computed tomography angiogram (CTA), magnetic resonance (MR), or magnetic resonance angiogram (MRA) study during the measurement period.</w:t>
            </w:r>
          </w:p>
        </w:tc>
        <w:tc>
          <w:tcPr>
            <w:tcW w:w="1890" w:type="dxa"/>
          </w:tcPr>
          <w:p w:rsidR="00E86AEF" w:rsidRDefault="00E86AEF" w:rsidP="00B22230">
            <w:pPr>
              <w:pStyle w:val="NoSpacing"/>
            </w:pPr>
          </w:p>
        </w:tc>
      </w:tr>
      <w:tr w:rsidR="00E86AEF" w:rsidTr="00E86AEF">
        <w:tc>
          <w:tcPr>
            <w:tcW w:w="900" w:type="dxa"/>
          </w:tcPr>
          <w:p w:rsidR="00E86AEF" w:rsidRDefault="00333EF4" w:rsidP="00B22230">
            <w:pPr>
              <w:pStyle w:val="NoSpacing"/>
            </w:pPr>
            <w:r>
              <w:t>97</w:t>
            </w:r>
          </w:p>
        </w:tc>
        <w:tc>
          <w:tcPr>
            <w:tcW w:w="1800" w:type="dxa"/>
          </w:tcPr>
          <w:p w:rsidR="00E86AEF" w:rsidRDefault="00E86AEF" w:rsidP="00B22230">
            <w:pPr>
              <w:pStyle w:val="NoSpacing"/>
            </w:pPr>
            <w:r>
              <w:t>CMS</w:t>
            </w:r>
          </w:p>
        </w:tc>
        <w:tc>
          <w:tcPr>
            <w:tcW w:w="1166" w:type="dxa"/>
          </w:tcPr>
          <w:p w:rsidR="00E86AEF" w:rsidRDefault="00E86AEF" w:rsidP="00B22230">
            <w:pPr>
              <w:pStyle w:val="NoSpacing"/>
            </w:pPr>
            <w:r>
              <w:t xml:space="preserve">N/A Not </w:t>
            </w:r>
            <w:r>
              <w:lastRenderedPageBreak/>
              <w:t>endorsed</w:t>
            </w:r>
          </w:p>
        </w:tc>
        <w:tc>
          <w:tcPr>
            <w:tcW w:w="1984" w:type="dxa"/>
          </w:tcPr>
          <w:p w:rsidR="00E86AEF" w:rsidRPr="00EB18E7" w:rsidRDefault="00E86AEF" w:rsidP="00B22230">
            <w:pPr>
              <w:pStyle w:val="NoSpacing"/>
            </w:pPr>
            <w:r w:rsidRPr="00AF10F4">
              <w:lastRenderedPageBreak/>
              <w:t xml:space="preserve">Appropriate Use of </w:t>
            </w:r>
            <w:r w:rsidRPr="00AF10F4">
              <w:lastRenderedPageBreak/>
              <w:t>DXA Scans in Women Under 65 Who Do Not Meet the Risk Factor Profile</w:t>
            </w:r>
          </w:p>
        </w:tc>
        <w:tc>
          <w:tcPr>
            <w:tcW w:w="2790" w:type="dxa"/>
          </w:tcPr>
          <w:p w:rsidR="00E86AEF" w:rsidRPr="00EB18E7" w:rsidRDefault="00E86AEF" w:rsidP="00B22230">
            <w:pPr>
              <w:pStyle w:val="NoSpacing"/>
            </w:pPr>
            <w:r w:rsidRPr="00AF10F4">
              <w:lastRenderedPageBreak/>
              <w:t xml:space="preserve">DRAFT: Percentage of </w:t>
            </w:r>
            <w:r w:rsidRPr="00AF10F4">
              <w:lastRenderedPageBreak/>
              <w:t>women ages 18 to 64 without select risk factors for osteoporotic fracture who received an order for a dual-energy x-ray absorptiometry (DXA) scan</w:t>
            </w:r>
          </w:p>
        </w:tc>
        <w:tc>
          <w:tcPr>
            <w:tcW w:w="1890" w:type="dxa"/>
          </w:tcPr>
          <w:p w:rsidR="00E86AEF" w:rsidRDefault="00E86AEF" w:rsidP="00B22230">
            <w:pPr>
              <w:pStyle w:val="NoSpacing"/>
            </w:pPr>
          </w:p>
        </w:tc>
      </w:tr>
      <w:tr w:rsidR="00E86AEF" w:rsidTr="00E86AEF">
        <w:tc>
          <w:tcPr>
            <w:tcW w:w="900" w:type="dxa"/>
          </w:tcPr>
          <w:p w:rsidR="00E86AEF" w:rsidRDefault="00333EF4" w:rsidP="00B22230">
            <w:pPr>
              <w:pStyle w:val="NoSpacing"/>
            </w:pPr>
            <w:r>
              <w:lastRenderedPageBreak/>
              <w:t>98</w:t>
            </w:r>
          </w:p>
        </w:tc>
        <w:tc>
          <w:tcPr>
            <w:tcW w:w="1800" w:type="dxa"/>
          </w:tcPr>
          <w:p w:rsidR="00E86AEF" w:rsidRDefault="00E86AEF" w:rsidP="00B22230">
            <w:pPr>
              <w:pStyle w:val="NoSpacing"/>
            </w:pPr>
            <w:r>
              <w:t>ACEP</w:t>
            </w:r>
          </w:p>
        </w:tc>
        <w:tc>
          <w:tcPr>
            <w:tcW w:w="1166" w:type="dxa"/>
          </w:tcPr>
          <w:p w:rsidR="00E86AEF" w:rsidRDefault="00E86AEF" w:rsidP="00B22230">
            <w:pPr>
              <w:pStyle w:val="NoSpacing"/>
            </w:pPr>
            <w:r>
              <w:t>N/A Not endorsed</w:t>
            </w:r>
          </w:p>
        </w:tc>
        <w:tc>
          <w:tcPr>
            <w:tcW w:w="1984" w:type="dxa"/>
          </w:tcPr>
          <w:p w:rsidR="00E86AEF" w:rsidRPr="00AF10F4" w:rsidRDefault="00E86AEF" w:rsidP="00B22230">
            <w:pPr>
              <w:pStyle w:val="NoSpacing"/>
            </w:pPr>
            <w:r w:rsidRPr="00C73082">
              <w:t>Avoidance of inappropriate use of head CT in ED patients with minor head injury</w:t>
            </w:r>
          </w:p>
        </w:tc>
        <w:tc>
          <w:tcPr>
            <w:tcW w:w="2790" w:type="dxa"/>
          </w:tcPr>
          <w:p w:rsidR="00E86AEF" w:rsidRPr="00AF10F4" w:rsidRDefault="00E86AEF" w:rsidP="00B22230">
            <w:pPr>
              <w:pStyle w:val="NoSpacing"/>
            </w:pPr>
            <w:r w:rsidRPr="00C73082">
              <w:t>Percentage of emergency department patients with minor head injury who received inappropriate imaging study (not clinically indicated)</w:t>
            </w:r>
          </w:p>
        </w:tc>
        <w:tc>
          <w:tcPr>
            <w:tcW w:w="1890" w:type="dxa"/>
          </w:tcPr>
          <w:p w:rsidR="00E86AEF" w:rsidRDefault="00E86AEF" w:rsidP="00B22230">
            <w:pPr>
              <w:pStyle w:val="NoSpacing"/>
            </w:pPr>
          </w:p>
        </w:tc>
      </w:tr>
      <w:tr w:rsidR="00E86AEF" w:rsidTr="00E86AEF">
        <w:tc>
          <w:tcPr>
            <w:tcW w:w="900" w:type="dxa"/>
          </w:tcPr>
          <w:p w:rsidR="00E86AEF" w:rsidRDefault="00333EF4" w:rsidP="004A232C">
            <w:pPr>
              <w:pStyle w:val="NoSpacing"/>
            </w:pPr>
            <w:r>
              <w:t>99</w:t>
            </w:r>
          </w:p>
        </w:tc>
        <w:tc>
          <w:tcPr>
            <w:tcW w:w="1800" w:type="dxa"/>
          </w:tcPr>
          <w:p w:rsidR="00E86AEF" w:rsidRDefault="00E86AEF" w:rsidP="004A232C">
            <w:pPr>
              <w:pStyle w:val="NoSpacing"/>
            </w:pPr>
            <w:r>
              <w:t>ACEP</w:t>
            </w:r>
          </w:p>
        </w:tc>
        <w:tc>
          <w:tcPr>
            <w:tcW w:w="1166" w:type="dxa"/>
          </w:tcPr>
          <w:p w:rsidR="00E86AEF" w:rsidRDefault="00E86AEF" w:rsidP="004A232C">
            <w:pPr>
              <w:pStyle w:val="NoSpacing"/>
            </w:pPr>
            <w:r>
              <w:t>N/A Not endorsed</w:t>
            </w:r>
          </w:p>
        </w:tc>
        <w:tc>
          <w:tcPr>
            <w:tcW w:w="1984" w:type="dxa"/>
          </w:tcPr>
          <w:p w:rsidR="00E86AEF" w:rsidRPr="00C73082" w:rsidRDefault="00E86AEF" w:rsidP="00B22230">
            <w:pPr>
              <w:pStyle w:val="NoSpacing"/>
            </w:pPr>
            <w:r w:rsidRPr="00C73082">
              <w:t>Avoidance of inappropriate use of imaging for adult ED patients with atraumatic low back pain</w:t>
            </w:r>
          </w:p>
        </w:tc>
        <w:tc>
          <w:tcPr>
            <w:tcW w:w="2790" w:type="dxa"/>
          </w:tcPr>
          <w:p w:rsidR="00E86AEF" w:rsidRPr="00C73082" w:rsidRDefault="00E86AEF" w:rsidP="00B22230">
            <w:pPr>
              <w:pStyle w:val="NoSpacing"/>
            </w:pPr>
            <w:r w:rsidRPr="00C73082">
              <w:t>Percentage of emergency department patients aged &gt;= 18 years with atraumatic low back pain who received an inappropriate imaging study (not clinically indicated)</w:t>
            </w:r>
          </w:p>
        </w:tc>
        <w:tc>
          <w:tcPr>
            <w:tcW w:w="1890" w:type="dxa"/>
          </w:tcPr>
          <w:p w:rsidR="00E86AEF" w:rsidRDefault="00E86AEF" w:rsidP="00B22230">
            <w:pPr>
              <w:pStyle w:val="NoSpacing"/>
            </w:pPr>
          </w:p>
        </w:tc>
      </w:tr>
      <w:tr w:rsidR="00E86AEF" w:rsidTr="00E86AEF">
        <w:tc>
          <w:tcPr>
            <w:tcW w:w="900" w:type="dxa"/>
          </w:tcPr>
          <w:p w:rsidR="00E86AEF" w:rsidRDefault="00333EF4" w:rsidP="00AE62AB">
            <w:pPr>
              <w:pStyle w:val="NoSpacing"/>
              <w:rPr>
                <w:rStyle w:val="qps-blocker-label-detail-text"/>
              </w:rPr>
            </w:pPr>
            <w:r>
              <w:rPr>
                <w:rStyle w:val="qps-blocker-label-detail-text"/>
              </w:rPr>
              <w:t>100</w:t>
            </w:r>
          </w:p>
        </w:tc>
        <w:tc>
          <w:tcPr>
            <w:tcW w:w="1800" w:type="dxa"/>
          </w:tcPr>
          <w:p w:rsidR="00E86AEF" w:rsidRDefault="00E86AEF" w:rsidP="00AE62AB">
            <w:pPr>
              <w:pStyle w:val="NoSpacing"/>
            </w:pPr>
            <w:r>
              <w:rPr>
                <w:rStyle w:val="qps-blocker-label-detail-text"/>
              </w:rPr>
              <w:t>American Society of Clinical Oncology</w:t>
            </w:r>
          </w:p>
        </w:tc>
        <w:tc>
          <w:tcPr>
            <w:tcW w:w="1166" w:type="dxa"/>
          </w:tcPr>
          <w:p w:rsidR="00E86AEF" w:rsidRDefault="00E86AEF" w:rsidP="00AE62AB">
            <w:pPr>
              <w:pStyle w:val="NoSpacing"/>
            </w:pPr>
            <w:r>
              <w:t>0213</w:t>
            </w:r>
          </w:p>
        </w:tc>
        <w:tc>
          <w:tcPr>
            <w:tcW w:w="1984" w:type="dxa"/>
          </w:tcPr>
          <w:p w:rsidR="00E86AEF" w:rsidRDefault="00E86AEF" w:rsidP="00AE62AB">
            <w:pPr>
              <w:pStyle w:val="NoSpacing"/>
            </w:pPr>
            <w:r>
              <w:t>Proportion admitted to the ICU in the last 30 days of life</w:t>
            </w:r>
          </w:p>
        </w:tc>
        <w:tc>
          <w:tcPr>
            <w:tcW w:w="2790" w:type="dxa"/>
          </w:tcPr>
          <w:p w:rsidR="00E86AEF" w:rsidRDefault="00E86AEF" w:rsidP="00AE62AB">
            <w:pPr>
              <w:pStyle w:val="NoSpacing"/>
            </w:pPr>
            <w:r>
              <w:t>Percentage of patients who died from cancer admitted to the ICU in the last 30 days of life</w:t>
            </w:r>
          </w:p>
        </w:tc>
        <w:tc>
          <w:tcPr>
            <w:tcW w:w="1890" w:type="dxa"/>
          </w:tcPr>
          <w:p w:rsidR="00E86AEF" w:rsidRDefault="00E86AEF" w:rsidP="00AE62AB">
            <w:pPr>
              <w:pStyle w:val="NoSpacing"/>
            </w:pPr>
          </w:p>
        </w:tc>
      </w:tr>
      <w:tr w:rsidR="00E86AEF" w:rsidTr="00E86AEF">
        <w:tc>
          <w:tcPr>
            <w:tcW w:w="900" w:type="dxa"/>
          </w:tcPr>
          <w:p w:rsidR="00E86AEF" w:rsidRDefault="00333EF4" w:rsidP="00AE62AB">
            <w:pPr>
              <w:pStyle w:val="NoSpacing"/>
              <w:rPr>
                <w:rStyle w:val="qps-blocker-label-detail-text"/>
              </w:rPr>
            </w:pPr>
            <w:r>
              <w:rPr>
                <w:rStyle w:val="qps-blocker-label-detail-text"/>
              </w:rPr>
              <w:t>101</w:t>
            </w:r>
          </w:p>
        </w:tc>
        <w:tc>
          <w:tcPr>
            <w:tcW w:w="1800" w:type="dxa"/>
          </w:tcPr>
          <w:p w:rsidR="00E86AEF" w:rsidRDefault="00E86AEF" w:rsidP="00AE62AB">
            <w:pPr>
              <w:pStyle w:val="NoSpacing"/>
            </w:pPr>
            <w:r>
              <w:rPr>
                <w:rStyle w:val="qps-blocker-label-detail-text"/>
              </w:rPr>
              <w:t>American Society of Clinical Oncology</w:t>
            </w:r>
          </w:p>
        </w:tc>
        <w:tc>
          <w:tcPr>
            <w:tcW w:w="1166" w:type="dxa"/>
          </w:tcPr>
          <w:p w:rsidR="00E86AEF" w:rsidRDefault="00E86AEF" w:rsidP="00AE62AB">
            <w:pPr>
              <w:pStyle w:val="NoSpacing"/>
            </w:pPr>
            <w:r>
              <w:t>0215</w:t>
            </w:r>
          </w:p>
        </w:tc>
        <w:tc>
          <w:tcPr>
            <w:tcW w:w="1984" w:type="dxa"/>
          </w:tcPr>
          <w:p w:rsidR="00E86AEF" w:rsidRDefault="00E86AEF" w:rsidP="00AE62AB">
            <w:pPr>
              <w:pStyle w:val="NoSpacing"/>
            </w:pPr>
            <w:r>
              <w:t>Proportion not admitted to hospice</w:t>
            </w:r>
          </w:p>
        </w:tc>
        <w:tc>
          <w:tcPr>
            <w:tcW w:w="2790" w:type="dxa"/>
          </w:tcPr>
          <w:p w:rsidR="00E86AEF" w:rsidRDefault="00E86AEF" w:rsidP="00AE62AB">
            <w:pPr>
              <w:pStyle w:val="NoSpacing"/>
            </w:pPr>
            <w:r>
              <w:t>Percentage of patients who died from cancer not admitted to hospice</w:t>
            </w:r>
          </w:p>
        </w:tc>
        <w:tc>
          <w:tcPr>
            <w:tcW w:w="1890" w:type="dxa"/>
          </w:tcPr>
          <w:p w:rsidR="00E86AEF" w:rsidRDefault="00E86AEF" w:rsidP="00AE62AB">
            <w:pPr>
              <w:pStyle w:val="NoSpacing"/>
            </w:pPr>
          </w:p>
        </w:tc>
      </w:tr>
      <w:tr w:rsidR="00E86AEF" w:rsidTr="00E86AEF">
        <w:tc>
          <w:tcPr>
            <w:tcW w:w="900" w:type="dxa"/>
          </w:tcPr>
          <w:p w:rsidR="00E86AEF" w:rsidRDefault="00333EF4" w:rsidP="00AE62AB">
            <w:pPr>
              <w:pStyle w:val="NoSpacing"/>
              <w:rPr>
                <w:rStyle w:val="qps-blocker-label-detail-text"/>
              </w:rPr>
            </w:pPr>
            <w:r>
              <w:rPr>
                <w:rStyle w:val="qps-blocker-label-detail-text"/>
              </w:rPr>
              <w:t>102</w:t>
            </w:r>
          </w:p>
        </w:tc>
        <w:tc>
          <w:tcPr>
            <w:tcW w:w="1800" w:type="dxa"/>
          </w:tcPr>
          <w:p w:rsidR="00E86AEF" w:rsidRDefault="00E86AEF" w:rsidP="00AE62AB">
            <w:pPr>
              <w:pStyle w:val="NoSpacing"/>
            </w:pPr>
            <w:r>
              <w:rPr>
                <w:rStyle w:val="qps-blocker-label-detail-text"/>
              </w:rPr>
              <w:t>American Society of Clinical Oncology</w:t>
            </w:r>
          </w:p>
        </w:tc>
        <w:tc>
          <w:tcPr>
            <w:tcW w:w="1166" w:type="dxa"/>
          </w:tcPr>
          <w:p w:rsidR="00E86AEF" w:rsidRDefault="00E86AEF" w:rsidP="00AE62AB">
            <w:pPr>
              <w:pStyle w:val="NoSpacing"/>
            </w:pPr>
            <w:r>
              <w:t>0210</w:t>
            </w:r>
          </w:p>
        </w:tc>
        <w:tc>
          <w:tcPr>
            <w:tcW w:w="1984" w:type="dxa"/>
          </w:tcPr>
          <w:p w:rsidR="00E86AEF" w:rsidRDefault="00E86AEF" w:rsidP="00AE62AB">
            <w:pPr>
              <w:pStyle w:val="NoSpacing"/>
            </w:pPr>
            <w:r>
              <w:t>Proportion receiving chemotherapy in the last 14 days of life</w:t>
            </w:r>
          </w:p>
        </w:tc>
        <w:tc>
          <w:tcPr>
            <w:tcW w:w="2790" w:type="dxa"/>
          </w:tcPr>
          <w:p w:rsidR="00E86AEF" w:rsidRDefault="00E86AEF" w:rsidP="00AE62AB">
            <w:pPr>
              <w:pStyle w:val="NoSpacing"/>
            </w:pPr>
            <w:r>
              <w:t>Percentage of patients who died from cancer receiving chemotherapy in the last 14 days of life</w:t>
            </w:r>
          </w:p>
        </w:tc>
        <w:tc>
          <w:tcPr>
            <w:tcW w:w="1890" w:type="dxa"/>
          </w:tcPr>
          <w:p w:rsidR="00E86AEF" w:rsidRDefault="00E86AEF" w:rsidP="00AE62AB">
            <w:pPr>
              <w:pStyle w:val="NoSpacing"/>
            </w:pPr>
          </w:p>
        </w:tc>
      </w:tr>
      <w:tr w:rsidR="00E86AEF" w:rsidTr="00E86AEF">
        <w:tc>
          <w:tcPr>
            <w:tcW w:w="900" w:type="dxa"/>
          </w:tcPr>
          <w:p w:rsidR="00E86AEF" w:rsidRDefault="00333EF4" w:rsidP="00AE62AB">
            <w:pPr>
              <w:pStyle w:val="NoSpacing"/>
              <w:rPr>
                <w:rStyle w:val="qps-blocker-label-detail-text"/>
              </w:rPr>
            </w:pPr>
            <w:r>
              <w:rPr>
                <w:rStyle w:val="qps-blocker-label-detail-text"/>
              </w:rPr>
              <w:t>103</w:t>
            </w:r>
          </w:p>
        </w:tc>
        <w:tc>
          <w:tcPr>
            <w:tcW w:w="1800" w:type="dxa"/>
          </w:tcPr>
          <w:p w:rsidR="00E86AEF" w:rsidRDefault="00E86AEF" w:rsidP="00AE62AB">
            <w:pPr>
              <w:pStyle w:val="NoSpacing"/>
            </w:pPr>
            <w:r>
              <w:rPr>
                <w:rStyle w:val="qps-blocker-label-detail-text"/>
              </w:rPr>
              <w:t>American Society of Clinical Oncology</w:t>
            </w:r>
          </w:p>
        </w:tc>
        <w:tc>
          <w:tcPr>
            <w:tcW w:w="1166" w:type="dxa"/>
          </w:tcPr>
          <w:p w:rsidR="00E86AEF" w:rsidRDefault="00E86AEF" w:rsidP="00AE62AB">
            <w:pPr>
              <w:pStyle w:val="NoSpacing"/>
            </w:pPr>
            <w:r>
              <w:t>0211</w:t>
            </w:r>
          </w:p>
        </w:tc>
        <w:tc>
          <w:tcPr>
            <w:tcW w:w="1984" w:type="dxa"/>
          </w:tcPr>
          <w:p w:rsidR="00E86AEF" w:rsidRDefault="00E86AEF" w:rsidP="00AE62AB">
            <w:pPr>
              <w:pStyle w:val="NoSpacing"/>
            </w:pPr>
            <w:r>
              <w:t>Proportion with more than one emergency room visit in the last days of life</w:t>
            </w:r>
          </w:p>
        </w:tc>
        <w:tc>
          <w:tcPr>
            <w:tcW w:w="2790" w:type="dxa"/>
          </w:tcPr>
          <w:p w:rsidR="00E86AEF" w:rsidRDefault="00E86AEF" w:rsidP="00AE62AB">
            <w:pPr>
              <w:pStyle w:val="NoSpacing"/>
            </w:pPr>
            <w:r>
              <w:t>Percentage of patients who died from cancer with more than one emergency room visit in the last days of life</w:t>
            </w:r>
          </w:p>
        </w:tc>
        <w:tc>
          <w:tcPr>
            <w:tcW w:w="1890" w:type="dxa"/>
          </w:tcPr>
          <w:p w:rsidR="00E86AEF" w:rsidRDefault="00E86AEF" w:rsidP="00AE62AB">
            <w:pPr>
              <w:pStyle w:val="NoSpacing"/>
            </w:pPr>
          </w:p>
        </w:tc>
      </w:tr>
      <w:tr w:rsidR="00E86AEF" w:rsidTr="00E86AEF">
        <w:tc>
          <w:tcPr>
            <w:tcW w:w="900" w:type="dxa"/>
          </w:tcPr>
          <w:p w:rsidR="00E86AEF" w:rsidRDefault="00333EF4" w:rsidP="00AE62AB">
            <w:pPr>
              <w:pStyle w:val="NoSpacing"/>
              <w:rPr>
                <w:rStyle w:val="qps-blocker-label-detail-text"/>
              </w:rPr>
            </w:pPr>
            <w:r>
              <w:rPr>
                <w:rStyle w:val="qps-blocker-label-detail-text"/>
              </w:rPr>
              <w:t>104</w:t>
            </w:r>
          </w:p>
        </w:tc>
        <w:tc>
          <w:tcPr>
            <w:tcW w:w="1800" w:type="dxa"/>
          </w:tcPr>
          <w:p w:rsidR="00E86AEF" w:rsidRDefault="00E86AEF" w:rsidP="00AE62AB">
            <w:pPr>
              <w:pStyle w:val="NoSpacing"/>
            </w:pPr>
            <w:r>
              <w:rPr>
                <w:rStyle w:val="qps-blocker-label-detail-text"/>
              </w:rPr>
              <w:t>Alabama Medicaid Agency</w:t>
            </w:r>
          </w:p>
        </w:tc>
        <w:tc>
          <w:tcPr>
            <w:tcW w:w="1166" w:type="dxa"/>
          </w:tcPr>
          <w:p w:rsidR="00E86AEF" w:rsidRDefault="00E86AEF" w:rsidP="00AE62AB">
            <w:pPr>
              <w:pStyle w:val="NoSpacing"/>
            </w:pPr>
            <w:r>
              <w:t>1381</w:t>
            </w:r>
          </w:p>
        </w:tc>
        <w:tc>
          <w:tcPr>
            <w:tcW w:w="1984" w:type="dxa"/>
          </w:tcPr>
          <w:p w:rsidR="00E86AEF" w:rsidRDefault="00E86AEF" w:rsidP="00AE62AB">
            <w:pPr>
              <w:pStyle w:val="NoSpacing"/>
            </w:pPr>
            <w:r>
              <w:t>Asthma Emergency Department Visits</w:t>
            </w:r>
          </w:p>
          <w:p w:rsidR="00E86AEF" w:rsidRDefault="00E86AEF" w:rsidP="00AE62AB">
            <w:pPr>
              <w:pStyle w:val="NoSpacing"/>
            </w:pPr>
          </w:p>
        </w:tc>
        <w:tc>
          <w:tcPr>
            <w:tcW w:w="2790" w:type="dxa"/>
          </w:tcPr>
          <w:p w:rsidR="00E86AEF" w:rsidRDefault="00E86AEF" w:rsidP="00AE62AB">
            <w:pPr>
              <w:pStyle w:val="NoSpacing"/>
            </w:pPr>
            <w:r>
              <w:t>Percentage of patients with asthma who have greater than or equal to one visit to the emergency room for asthma during the measurement period.</w:t>
            </w:r>
          </w:p>
        </w:tc>
        <w:tc>
          <w:tcPr>
            <w:tcW w:w="1890" w:type="dxa"/>
          </w:tcPr>
          <w:p w:rsidR="00E86AEF" w:rsidRDefault="00E86AEF" w:rsidP="00AE62AB">
            <w:pPr>
              <w:pStyle w:val="NoSpacing"/>
            </w:pPr>
          </w:p>
        </w:tc>
      </w:tr>
      <w:tr w:rsidR="00E86AEF" w:rsidTr="00E86AEF">
        <w:tc>
          <w:tcPr>
            <w:tcW w:w="900" w:type="dxa"/>
          </w:tcPr>
          <w:p w:rsidR="00E86AEF" w:rsidRDefault="00333EF4" w:rsidP="00AE62AB">
            <w:pPr>
              <w:pStyle w:val="NoSpacing"/>
              <w:rPr>
                <w:rStyle w:val="qps-blocker-label-detail-text"/>
              </w:rPr>
            </w:pPr>
            <w:r>
              <w:rPr>
                <w:rStyle w:val="qps-blocker-label-detail-text"/>
              </w:rPr>
              <w:t>105</w:t>
            </w:r>
          </w:p>
        </w:tc>
        <w:tc>
          <w:tcPr>
            <w:tcW w:w="1800" w:type="dxa"/>
          </w:tcPr>
          <w:p w:rsidR="00E86AEF" w:rsidRDefault="00E86AEF" w:rsidP="00AE62AB">
            <w:pPr>
              <w:pStyle w:val="NoSpacing"/>
              <w:rPr>
                <w:rStyle w:val="qps-blocker-label-detail-text"/>
              </w:rPr>
            </w:pPr>
            <w:r>
              <w:rPr>
                <w:rStyle w:val="qps-blocker-label-detail-text"/>
              </w:rPr>
              <w:t>CMS</w:t>
            </w:r>
          </w:p>
        </w:tc>
        <w:tc>
          <w:tcPr>
            <w:tcW w:w="1166" w:type="dxa"/>
          </w:tcPr>
          <w:p w:rsidR="00E86AEF" w:rsidRDefault="00E86AEF" w:rsidP="00AE62AB">
            <w:pPr>
              <w:pStyle w:val="NoSpacing"/>
            </w:pPr>
            <w:r>
              <w:t>0173</w:t>
            </w:r>
          </w:p>
        </w:tc>
        <w:tc>
          <w:tcPr>
            <w:tcW w:w="1984" w:type="dxa"/>
          </w:tcPr>
          <w:p w:rsidR="00E86AEF" w:rsidRDefault="00E86AEF" w:rsidP="00AE62AB">
            <w:pPr>
              <w:pStyle w:val="NoSpacing"/>
            </w:pPr>
            <w:r>
              <w:t>Emergency Department Use without Hospitalization</w:t>
            </w:r>
          </w:p>
        </w:tc>
        <w:tc>
          <w:tcPr>
            <w:tcW w:w="2790" w:type="dxa"/>
          </w:tcPr>
          <w:p w:rsidR="00E86AEF" w:rsidRDefault="00E86AEF" w:rsidP="00AE62AB">
            <w:pPr>
              <w:pStyle w:val="NoSpacing"/>
            </w:pPr>
            <w:r>
              <w:t xml:space="preserve">Percentage of home health stays in which patients used the emergency department but were not admitted to </w:t>
            </w:r>
            <w:r>
              <w:lastRenderedPageBreak/>
              <w:t>the hospital during the 60 days following the start of the home health stay.</w:t>
            </w:r>
          </w:p>
        </w:tc>
        <w:tc>
          <w:tcPr>
            <w:tcW w:w="1890" w:type="dxa"/>
          </w:tcPr>
          <w:p w:rsidR="00E86AEF" w:rsidRDefault="00E86AEF" w:rsidP="00AE62AB">
            <w:pPr>
              <w:pStyle w:val="NoSpacing"/>
              <w:rPr>
                <w:highlight w:val="yellow"/>
              </w:rPr>
            </w:pPr>
          </w:p>
        </w:tc>
      </w:tr>
    </w:tbl>
    <w:p w:rsidR="005A1A16" w:rsidRDefault="005A1A16" w:rsidP="005A1A16">
      <w:pPr>
        <w:pStyle w:val="NoSpacing"/>
      </w:pPr>
    </w:p>
    <w:sectPr w:rsidR="005A1A16" w:rsidSect="0024387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7C8" w:rsidRDefault="009E37C8" w:rsidP="00FE5B87">
      <w:pPr>
        <w:spacing w:after="0" w:line="240" w:lineRule="auto"/>
      </w:pPr>
      <w:r>
        <w:separator/>
      </w:r>
    </w:p>
  </w:endnote>
  <w:endnote w:type="continuationSeparator" w:id="0">
    <w:p w:rsidR="009E37C8" w:rsidRDefault="009E37C8" w:rsidP="00FE5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521237"/>
      <w:docPartObj>
        <w:docPartGallery w:val="Page Numbers (Bottom of Page)"/>
        <w:docPartUnique/>
      </w:docPartObj>
    </w:sdtPr>
    <w:sdtEndPr>
      <w:rPr>
        <w:noProof/>
      </w:rPr>
    </w:sdtEndPr>
    <w:sdtContent>
      <w:p w:rsidR="005E4A14" w:rsidRDefault="005E4A14">
        <w:pPr>
          <w:pStyle w:val="Footer"/>
          <w:jc w:val="center"/>
        </w:pPr>
        <w:r>
          <w:fldChar w:fldCharType="begin"/>
        </w:r>
        <w:r>
          <w:instrText xml:space="preserve"> PAGE   \* MERGEFORMAT </w:instrText>
        </w:r>
        <w:r>
          <w:fldChar w:fldCharType="separate"/>
        </w:r>
        <w:r w:rsidR="00BD304C">
          <w:rPr>
            <w:noProof/>
          </w:rPr>
          <w:t>1</w:t>
        </w:r>
        <w:r>
          <w:rPr>
            <w:noProof/>
          </w:rPr>
          <w:fldChar w:fldCharType="end"/>
        </w:r>
      </w:p>
    </w:sdtContent>
  </w:sdt>
  <w:p w:rsidR="005E4A14" w:rsidRDefault="005E4A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7C8" w:rsidRDefault="009E37C8" w:rsidP="00FE5B87">
      <w:pPr>
        <w:spacing w:after="0" w:line="240" w:lineRule="auto"/>
      </w:pPr>
      <w:r>
        <w:separator/>
      </w:r>
    </w:p>
  </w:footnote>
  <w:footnote w:type="continuationSeparator" w:id="0">
    <w:p w:rsidR="009E37C8" w:rsidRDefault="009E37C8" w:rsidP="00FE5B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4130538"/>
      <w:docPartObj>
        <w:docPartGallery w:val="Watermarks"/>
        <w:docPartUnique/>
      </w:docPartObj>
    </w:sdtPr>
    <w:sdtEndPr/>
    <w:sdtContent>
      <w:p w:rsidR="005E4A14" w:rsidRDefault="00BD304C">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14248"/>
    <w:multiLevelType w:val="hybridMultilevel"/>
    <w:tmpl w:val="0C28D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6C26F1"/>
    <w:multiLevelType w:val="hybridMultilevel"/>
    <w:tmpl w:val="3FD65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4655F6"/>
    <w:multiLevelType w:val="hybridMultilevel"/>
    <w:tmpl w:val="F170F5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CBF289C"/>
    <w:multiLevelType w:val="hybridMultilevel"/>
    <w:tmpl w:val="2554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774639"/>
    <w:multiLevelType w:val="hybridMultilevel"/>
    <w:tmpl w:val="8990F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953AC8"/>
    <w:multiLevelType w:val="hybridMultilevel"/>
    <w:tmpl w:val="054C99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64A"/>
    <w:rsid w:val="00181E01"/>
    <w:rsid w:val="0024387C"/>
    <w:rsid w:val="00287F9B"/>
    <w:rsid w:val="002E764A"/>
    <w:rsid w:val="002F2372"/>
    <w:rsid w:val="00304B6C"/>
    <w:rsid w:val="003142B6"/>
    <w:rsid w:val="00333EF4"/>
    <w:rsid w:val="0034680A"/>
    <w:rsid w:val="003A2A9B"/>
    <w:rsid w:val="003D0000"/>
    <w:rsid w:val="00415A26"/>
    <w:rsid w:val="00434603"/>
    <w:rsid w:val="004A232C"/>
    <w:rsid w:val="004E516F"/>
    <w:rsid w:val="00504E72"/>
    <w:rsid w:val="00552970"/>
    <w:rsid w:val="00564F13"/>
    <w:rsid w:val="005A1A16"/>
    <w:rsid w:val="005B3173"/>
    <w:rsid w:val="005B47E1"/>
    <w:rsid w:val="005E4A14"/>
    <w:rsid w:val="00624EED"/>
    <w:rsid w:val="00656F8A"/>
    <w:rsid w:val="006A0E7A"/>
    <w:rsid w:val="006A6FDC"/>
    <w:rsid w:val="006C00CE"/>
    <w:rsid w:val="006E00AE"/>
    <w:rsid w:val="00747518"/>
    <w:rsid w:val="00762D2E"/>
    <w:rsid w:val="00763F6C"/>
    <w:rsid w:val="007B5CE0"/>
    <w:rsid w:val="007C4F44"/>
    <w:rsid w:val="008021EF"/>
    <w:rsid w:val="00804EAD"/>
    <w:rsid w:val="008674EB"/>
    <w:rsid w:val="00887434"/>
    <w:rsid w:val="008F22C9"/>
    <w:rsid w:val="00910765"/>
    <w:rsid w:val="00946BB9"/>
    <w:rsid w:val="00971CCC"/>
    <w:rsid w:val="009E27C1"/>
    <w:rsid w:val="009E37C8"/>
    <w:rsid w:val="00A226EF"/>
    <w:rsid w:val="00A81F81"/>
    <w:rsid w:val="00AA209F"/>
    <w:rsid w:val="00AC3B72"/>
    <w:rsid w:val="00AC4EBA"/>
    <w:rsid w:val="00AD56DF"/>
    <w:rsid w:val="00AE62AB"/>
    <w:rsid w:val="00AE6F11"/>
    <w:rsid w:val="00AF10F4"/>
    <w:rsid w:val="00B038F5"/>
    <w:rsid w:val="00B04DE3"/>
    <w:rsid w:val="00B22230"/>
    <w:rsid w:val="00B41174"/>
    <w:rsid w:val="00B54383"/>
    <w:rsid w:val="00B74152"/>
    <w:rsid w:val="00B748F2"/>
    <w:rsid w:val="00BC6ADC"/>
    <w:rsid w:val="00BD18DD"/>
    <w:rsid w:val="00BD304C"/>
    <w:rsid w:val="00BD6B27"/>
    <w:rsid w:val="00C4271B"/>
    <w:rsid w:val="00C73082"/>
    <w:rsid w:val="00CC4A65"/>
    <w:rsid w:val="00D6680C"/>
    <w:rsid w:val="00D71936"/>
    <w:rsid w:val="00D95A8B"/>
    <w:rsid w:val="00E02B72"/>
    <w:rsid w:val="00E270E0"/>
    <w:rsid w:val="00E838B4"/>
    <w:rsid w:val="00E86AEF"/>
    <w:rsid w:val="00E94E32"/>
    <w:rsid w:val="00EB18E7"/>
    <w:rsid w:val="00EC164F"/>
    <w:rsid w:val="00EC2DD3"/>
    <w:rsid w:val="00EE29DB"/>
    <w:rsid w:val="00F6182A"/>
    <w:rsid w:val="00FA11AF"/>
    <w:rsid w:val="00FC27C9"/>
    <w:rsid w:val="00FE5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8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38B4"/>
    <w:pPr>
      <w:spacing w:after="0" w:line="240" w:lineRule="auto"/>
    </w:pPr>
  </w:style>
  <w:style w:type="paragraph" w:styleId="BalloonText">
    <w:name w:val="Balloon Text"/>
    <w:basedOn w:val="Normal"/>
    <w:link w:val="BalloonTextChar"/>
    <w:uiPriority w:val="99"/>
    <w:semiHidden/>
    <w:unhideWhenUsed/>
    <w:rsid w:val="00D668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80C"/>
    <w:rPr>
      <w:rFonts w:ascii="Segoe UI" w:hAnsi="Segoe UI" w:cs="Segoe UI"/>
      <w:sz w:val="18"/>
      <w:szCs w:val="18"/>
    </w:rPr>
  </w:style>
  <w:style w:type="table" w:styleId="TableGrid">
    <w:name w:val="Table Grid"/>
    <w:basedOn w:val="TableNormal"/>
    <w:uiPriority w:val="39"/>
    <w:rsid w:val="005A1A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ps-blocker-label-detail-text">
    <w:name w:val="qps-blocker-label-detail-text"/>
    <w:basedOn w:val="DefaultParagraphFont"/>
    <w:rsid w:val="002F2372"/>
  </w:style>
  <w:style w:type="character" w:customStyle="1" w:styleId="qps-blocker-label-text">
    <w:name w:val="qps-blocker-label-text"/>
    <w:basedOn w:val="DefaultParagraphFont"/>
    <w:rsid w:val="00AE6F11"/>
  </w:style>
  <w:style w:type="paragraph" w:styleId="Header">
    <w:name w:val="header"/>
    <w:basedOn w:val="Normal"/>
    <w:link w:val="HeaderChar"/>
    <w:uiPriority w:val="99"/>
    <w:unhideWhenUsed/>
    <w:rsid w:val="00FE5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B87"/>
  </w:style>
  <w:style w:type="paragraph" w:styleId="Footer">
    <w:name w:val="footer"/>
    <w:basedOn w:val="Normal"/>
    <w:link w:val="FooterChar"/>
    <w:uiPriority w:val="99"/>
    <w:unhideWhenUsed/>
    <w:rsid w:val="00FE5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B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8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38B4"/>
    <w:pPr>
      <w:spacing w:after="0" w:line="240" w:lineRule="auto"/>
    </w:pPr>
  </w:style>
  <w:style w:type="paragraph" w:styleId="BalloonText">
    <w:name w:val="Balloon Text"/>
    <w:basedOn w:val="Normal"/>
    <w:link w:val="BalloonTextChar"/>
    <w:uiPriority w:val="99"/>
    <w:semiHidden/>
    <w:unhideWhenUsed/>
    <w:rsid w:val="00D668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80C"/>
    <w:rPr>
      <w:rFonts w:ascii="Segoe UI" w:hAnsi="Segoe UI" w:cs="Segoe UI"/>
      <w:sz w:val="18"/>
      <w:szCs w:val="18"/>
    </w:rPr>
  </w:style>
  <w:style w:type="table" w:styleId="TableGrid">
    <w:name w:val="Table Grid"/>
    <w:basedOn w:val="TableNormal"/>
    <w:uiPriority w:val="39"/>
    <w:rsid w:val="005A1A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ps-blocker-label-detail-text">
    <w:name w:val="qps-blocker-label-detail-text"/>
    <w:basedOn w:val="DefaultParagraphFont"/>
    <w:rsid w:val="002F2372"/>
  </w:style>
  <w:style w:type="character" w:customStyle="1" w:styleId="qps-blocker-label-text">
    <w:name w:val="qps-blocker-label-text"/>
    <w:basedOn w:val="DefaultParagraphFont"/>
    <w:rsid w:val="00AE6F11"/>
  </w:style>
  <w:style w:type="paragraph" w:styleId="Header">
    <w:name w:val="header"/>
    <w:basedOn w:val="Normal"/>
    <w:link w:val="HeaderChar"/>
    <w:uiPriority w:val="99"/>
    <w:unhideWhenUsed/>
    <w:rsid w:val="00FE5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B87"/>
  </w:style>
  <w:style w:type="paragraph" w:styleId="Footer">
    <w:name w:val="footer"/>
    <w:basedOn w:val="Normal"/>
    <w:link w:val="FooterChar"/>
    <w:uiPriority w:val="99"/>
    <w:unhideWhenUsed/>
    <w:rsid w:val="00FE5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076990">
      <w:bodyDiv w:val="1"/>
      <w:marLeft w:val="0"/>
      <w:marRight w:val="0"/>
      <w:marTop w:val="0"/>
      <w:marBottom w:val="0"/>
      <w:divBdr>
        <w:top w:val="none" w:sz="0" w:space="0" w:color="auto"/>
        <w:left w:val="none" w:sz="0" w:space="0" w:color="auto"/>
        <w:bottom w:val="none" w:sz="0" w:space="0" w:color="auto"/>
        <w:right w:val="none" w:sz="0" w:space="0" w:color="auto"/>
      </w:divBdr>
      <w:divsChild>
        <w:div w:id="102652154">
          <w:marLeft w:val="0"/>
          <w:marRight w:val="0"/>
          <w:marTop w:val="0"/>
          <w:marBottom w:val="0"/>
          <w:divBdr>
            <w:top w:val="none" w:sz="0" w:space="0" w:color="auto"/>
            <w:left w:val="none" w:sz="0" w:space="0" w:color="auto"/>
            <w:bottom w:val="none" w:sz="0" w:space="0" w:color="auto"/>
            <w:right w:val="none" w:sz="0" w:space="0" w:color="auto"/>
          </w:divBdr>
        </w:div>
      </w:divsChild>
    </w:div>
    <w:div w:id="495414541">
      <w:bodyDiv w:val="1"/>
      <w:marLeft w:val="0"/>
      <w:marRight w:val="0"/>
      <w:marTop w:val="0"/>
      <w:marBottom w:val="0"/>
      <w:divBdr>
        <w:top w:val="none" w:sz="0" w:space="0" w:color="auto"/>
        <w:left w:val="none" w:sz="0" w:space="0" w:color="auto"/>
        <w:bottom w:val="none" w:sz="0" w:space="0" w:color="auto"/>
        <w:right w:val="none" w:sz="0" w:space="0" w:color="auto"/>
      </w:divBdr>
      <w:divsChild>
        <w:div w:id="1360935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D6976-A394-490E-A7FE-BF35259ECD5E}"/>
</file>

<file path=customXml/itemProps2.xml><?xml version="1.0" encoding="utf-8"?>
<ds:datastoreItem xmlns:ds="http://schemas.openxmlformats.org/officeDocument/2006/customXml" ds:itemID="{281A0FD5-AFB8-4F67-B91D-304A0A8508D7}"/>
</file>

<file path=customXml/itemProps3.xml><?xml version="1.0" encoding="utf-8"?>
<ds:datastoreItem xmlns:ds="http://schemas.openxmlformats.org/officeDocument/2006/customXml" ds:itemID="{7ED7F71B-B051-40C8-B6FA-302CC978896D}"/>
</file>

<file path=customXml/itemProps4.xml><?xml version="1.0" encoding="utf-8"?>
<ds:datastoreItem xmlns:ds="http://schemas.openxmlformats.org/officeDocument/2006/customXml" ds:itemID="{951DE7B4-4C48-43E1-9F11-3B6A26631E70}"/>
</file>

<file path=docProps/app.xml><?xml version="1.0" encoding="utf-8"?>
<Properties xmlns="http://schemas.openxmlformats.org/officeDocument/2006/extended-properties" xmlns:vt="http://schemas.openxmlformats.org/officeDocument/2006/docPropsVTypes">
  <Template>Normal</Template>
  <TotalTime>0</TotalTime>
  <Pages>17</Pages>
  <Words>3811</Words>
  <Characters>21726</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Valuck</dc:creator>
  <cp:lastModifiedBy>Dianne Feeney</cp:lastModifiedBy>
  <cp:revision>2</cp:revision>
  <cp:lastPrinted>2014-03-09T18:12:00Z</cp:lastPrinted>
  <dcterms:created xsi:type="dcterms:W3CDTF">2014-03-14T19:43:00Z</dcterms:created>
  <dcterms:modified xsi:type="dcterms:W3CDTF">2014-03-14T19:43:00Z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