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954" w:rsidRDefault="00201205" w:rsidP="00497F41">
      <w:pPr>
        <w:spacing w:after="0" w:line="240" w:lineRule="auto"/>
        <w:jc w:val="center"/>
        <w:rPr>
          <w:b/>
          <w:sz w:val="28"/>
          <w:szCs w:val="24"/>
        </w:rPr>
      </w:pPr>
      <w:r w:rsidRPr="00201205">
        <w:rPr>
          <w:b/>
          <w:sz w:val="28"/>
          <w:szCs w:val="24"/>
        </w:rPr>
        <w:t xml:space="preserve">HSCRC Transformation Implementation </w:t>
      </w:r>
      <w:r w:rsidR="00282954">
        <w:rPr>
          <w:b/>
          <w:sz w:val="28"/>
          <w:szCs w:val="24"/>
        </w:rPr>
        <w:t>Program</w:t>
      </w:r>
    </w:p>
    <w:p w:rsidR="00282954" w:rsidRDefault="00201205" w:rsidP="00497F41">
      <w:pPr>
        <w:spacing w:after="0" w:line="240" w:lineRule="auto"/>
        <w:jc w:val="center"/>
        <w:rPr>
          <w:b/>
          <w:sz w:val="24"/>
          <w:szCs w:val="24"/>
        </w:rPr>
      </w:pPr>
      <w:r w:rsidRPr="00201205">
        <w:rPr>
          <w:b/>
          <w:sz w:val="28"/>
          <w:szCs w:val="24"/>
        </w:rPr>
        <w:t>Request for Proposal</w:t>
      </w:r>
      <w:r w:rsidR="00282954">
        <w:rPr>
          <w:b/>
          <w:sz w:val="24"/>
          <w:szCs w:val="24"/>
        </w:rPr>
        <w:t xml:space="preserve"> </w:t>
      </w:r>
    </w:p>
    <w:p w:rsidR="00282954" w:rsidRDefault="00282954" w:rsidP="00282954">
      <w:pPr>
        <w:spacing w:after="0" w:line="240" w:lineRule="auto"/>
        <w:jc w:val="center"/>
        <w:rPr>
          <w:b/>
          <w:sz w:val="24"/>
          <w:szCs w:val="24"/>
        </w:rPr>
      </w:pPr>
    </w:p>
    <w:p w:rsidR="00497F41" w:rsidRDefault="009F3C9C" w:rsidP="00497F41">
      <w:pPr>
        <w:spacing w:after="0" w:line="240" w:lineRule="auto"/>
        <w:jc w:val="center"/>
        <w:rPr>
          <w:sz w:val="24"/>
          <w:szCs w:val="24"/>
        </w:rPr>
      </w:pPr>
      <w:r>
        <w:rPr>
          <w:sz w:val="24"/>
          <w:szCs w:val="24"/>
        </w:rPr>
        <w:t xml:space="preserve">Updated </w:t>
      </w:r>
      <w:r w:rsidR="00B25A0D">
        <w:rPr>
          <w:sz w:val="24"/>
          <w:szCs w:val="24"/>
        </w:rPr>
        <w:t>November 13</w:t>
      </w:r>
      <w:r w:rsidR="00D33B20">
        <w:rPr>
          <w:sz w:val="24"/>
          <w:szCs w:val="24"/>
        </w:rPr>
        <w:t>,</w:t>
      </w:r>
      <w:r w:rsidR="00282954">
        <w:rPr>
          <w:sz w:val="24"/>
          <w:szCs w:val="24"/>
        </w:rPr>
        <w:t xml:space="preserve"> </w:t>
      </w:r>
      <w:r w:rsidR="00497F41">
        <w:rPr>
          <w:sz w:val="24"/>
          <w:szCs w:val="24"/>
        </w:rPr>
        <w:t>2015</w:t>
      </w:r>
    </w:p>
    <w:p w:rsidR="00497F41" w:rsidRPr="00497F41" w:rsidRDefault="00497F41" w:rsidP="00497F41">
      <w:pPr>
        <w:spacing w:after="0" w:line="240" w:lineRule="auto"/>
        <w:jc w:val="center"/>
        <w:rPr>
          <w:sz w:val="24"/>
          <w:szCs w:val="24"/>
        </w:rPr>
      </w:pPr>
    </w:p>
    <w:p w:rsidR="00282954" w:rsidRDefault="00282954" w:rsidP="00316FA2">
      <w:pPr>
        <w:spacing w:after="0" w:line="240" w:lineRule="auto"/>
        <w:rPr>
          <w:sz w:val="24"/>
          <w:szCs w:val="24"/>
        </w:rPr>
      </w:pPr>
    </w:p>
    <w:p w:rsidR="00316FA2" w:rsidRDefault="00316FA2" w:rsidP="00CD0C3E">
      <w:pPr>
        <w:spacing w:after="120"/>
        <w:rPr>
          <w:sz w:val="24"/>
          <w:szCs w:val="24"/>
        </w:rPr>
      </w:pPr>
      <w:r w:rsidRPr="00316FA2">
        <w:rPr>
          <w:sz w:val="24"/>
          <w:szCs w:val="24"/>
        </w:rPr>
        <w:t>The Health Services Cost Review Commission (HSCRC) seek</w:t>
      </w:r>
      <w:r w:rsidR="003D155B">
        <w:rPr>
          <w:sz w:val="24"/>
          <w:szCs w:val="24"/>
        </w:rPr>
        <w:t xml:space="preserve">s </w:t>
      </w:r>
      <w:r w:rsidRPr="00316FA2">
        <w:rPr>
          <w:sz w:val="24"/>
          <w:szCs w:val="24"/>
        </w:rPr>
        <w:t xml:space="preserve">proposals </w:t>
      </w:r>
      <w:r w:rsidR="00062237">
        <w:rPr>
          <w:sz w:val="24"/>
          <w:szCs w:val="24"/>
        </w:rPr>
        <w:t>regarding</w:t>
      </w:r>
      <w:r w:rsidR="006A0EA2">
        <w:rPr>
          <w:sz w:val="24"/>
          <w:szCs w:val="24"/>
        </w:rPr>
        <w:t xml:space="preserve"> the implementation of plans to</w:t>
      </w:r>
      <w:r w:rsidRPr="00316FA2">
        <w:rPr>
          <w:sz w:val="24"/>
          <w:szCs w:val="24"/>
        </w:rPr>
        <w:t xml:space="preserve"> improve care coordination and population health in support </w:t>
      </w:r>
      <w:r>
        <w:rPr>
          <w:sz w:val="24"/>
          <w:szCs w:val="24"/>
        </w:rPr>
        <w:t xml:space="preserve">of </w:t>
      </w:r>
      <w:r w:rsidRPr="00316FA2">
        <w:rPr>
          <w:sz w:val="24"/>
          <w:szCs w:val="24"/>
        </w:rPr>
        <w:t>Maryland’s All-Payer Model.</w:t>
      </w:r>
    </w:p>
    <w:p w:rsidR="00316FA2" w:rsidRDefault="00316FA2" w:rsidP="00CD0C3E">
      <w:pPr>
        <w:spacing w:after="120"/>
        <w:rPr>
          <w:sz w:val="24"/>
          <w:szCs w:val="24"/>
        </w:rPr>
      </w:pPr>
      <w:r w:rsidRPr="00316FA2">
        <w:rPr>
          <w:sz w:val="24"/>
          <w:szCs w:val="24"/>
        </w:rPr>
        <w:t>In 2014, the State of Maryland and the Center for Medicare &amp; Medicaid Innovation (CMMI) reached an agreement to modernize Maryland’s all-payer rate-setting system for hospital services. This initiative allow</w:t>
      </w:r>
      <w:r>
        <w:rPr>
          <w:sz w:val="24"/>
          <w:szCs w:val="24"/>
        </w:rPr>
        <w:t>ed</w:t>
      </w:r>
      <w:r w:rsidRPr="00316FA2">
        <w:rPr>
          <w:sz w:val="24"/>
          <w:szCs w:val="24"/>
        </w:rPr>
        <w:t xml:space="preserve"> Maryland to adopt new and innovative policies aimed at improving care, improving population health, and moderating the growth in hospital costs. Transforming Maryland’s health care system to be highly reliable, highly efficient, and a point of pride in our communities require</w:t>
      </w:r>
      <w:r>
        <w:rPr>
          <w:sz w:val="24"/>
          <w:szCs w:val="24"/>
        </w:rPr>
        <w:t>s</w:t>
      </w:r>
      <w:r w:rsidRPr="00316FA2">
        <w:rPr>
          <w:sz w:val="24"/>
          <w:szCs w:val="24"/>
        </w:rPr>
        <w:t xml:space="preserve"> increased collaboration </w:t>
      </w:r>
      <w:r w:rsidR="006A0EA2">
        <w:rPr>
          <w:sz w:val="24"/>
          <w:szCs w:val="24"/>
        </w:rPr>
        <w:t xml:space="preserve">among </w:t>
      </w:r>
      <w:r w:rsidRPr="00316FA2">
        <w:rPr>
          <w:sz w:val="24"/>
          <w:szCs w:val="24"/>
        </w:rPr>
        <w:t xml:space="preserve">health systems, payers, community hospitals, ambulatory physician practices, long-term care, and other providers, as well as </w:t>
      </w:r>
      <w:r w:rsidR="00BB4D58">
        <w:rPr>
          <w:sz w:val="24"/>
          <w:szCs w:val="24"/>
        </w:rPr>
        <w:t xml:space="preserve">patients and families, </w:t>
      </w:r>
      <w:r w:rsidRPr="00316FA2">
        <w:rPr>
          <w:sz w:val="24"/>
          <w:szCs w:val="24"/>
        </w:rPr>
        <w:t>public health</w:t>
      </w:r>
      <w:r w:rsidR="00BB4D58">
        <w:rPr>
          <w:sz w:val="24"/>
          <w:szCs w:val="24"/>
        </w:rPr>
        <w:t>,</w:t>
      </w:r>
      <w:r w:rsidRPr="00316FA2">
        <w:rPr>
          <w:sz w:val="24"/>
          <w:szCs w:val="24"/>
        </w:rPr>
        <w:t xml:space="preserve"> and community-based organizations. </w:t>
      </w:r>
    </w:p>
    <w:p w:rsidR="00316FA2" w:rsidRPr="00316FA2" w:rsidRDefault="00316FA2" w:rsidP="00CD0C3E">
      <w:pPr>
        <w:pStyle w:val="Heading2"/>
      </w:pPr>
      <w:r w:rsidRPr="00316FA2">
        <w:t>Background</w:t>
      </w:r>
    </w:p>
    <w:p w:rsidR="00C117D5" w:rsidRDefault="00316FA2" w:rsidP="00CD0C3E">
      <w:pPr>
        <w:spacing w:after="120"/>
        <w:rPr>
          <w:sz w:val="24"/>
          <w:szCs w:val="24"/>
        </w:rPr>
      </w:pPr>
      <w:r w:rsidRPr="00316FA2">
        <w:rPr>
          <w:sz w:val="24"/>
          <w:szCs w:val="24"/>
        </w:rPr>
        <w:t xml:space="preserve">The </w:t>
      </w:r>
      <w:r w:rsidR="00786F7C">
        <w:rPr>
          <w:sz w:val="24"/>
          <w:szCs w:val="24"/>
        </w:rPr>
        <w:t>S</w:t>
      </w:r>
      <w:r w:rsidRPr="00316FA2">
        <w:rPr>
          <w:sz w:val="24"/>
          <w:szCs w:val="24"/>
        </w:rPr>
        <w:t>tate of Maryland is leading a transformative effort to improve care and lower the growth in health care spending through Maryland’s All-Payer Model. Effective January 1, 2014, Mary</w:t>
      </w:r>
      <w:r w:rsidR="00C117D5">
        <w:rPr>
          <w:sz w:val="24"/>
          <w:szCs w:val="24"/>
        </w:rPr>
        <w:t xml:space="preserve">land and CMMI entered into an </w:t>
      </w:r>
      <w:r w:rsidR="006A0EA2">
        <w:rPr>
          <w:sz w:val="24"/>
          <w:szCs w:val="24"/>
        </w:rPr>
        <w:t>agreement</w:t>
      </w:r>
      <w:r w:rsidR="006A0EA2" w:rsidRPr="00316FA2">
        <w:rPr>
          <w:sz w:val="24"/>
          <w:szCs w:val="24"/>
        </w:rPr>
        <w:t xml:space="preserve"> </w:t>
      </w:r>
      <w:r w:rsidRPr="00316FA2">
        <w:rPr>
          <w:sz w:val="24"/>
          <w:szCs w:val="24"/>
        </w:rPr>
        <w:t>to modernize Maryland’s unique rate-setting system for hospital serv</w:t>
      </w:r>
      <w:r w:rsidR="006B609A">
        <w:rPr>
          <w:sz w:val="24"/>
          <w:szCs w:val="24"/>
        </w:rPr>
        <w:t xml:space="preserve">ices. This initiative </w:t>
      </w:r>
      <w:r w:rsidRPr="00316FA2">
        <w:rPr>
          <w:sz w:val="24"/>
          <w:szCs w:val="24"/>
        </w:rPr>
        <w:t xml:space="preserve">aims to enhance patient care, improve population health, and lower total costs. </w:t>
      </w:r>
      <w:r w:rsidR="00C117D5" w:rsidRPr="00C117D5">
        <w:rPr>
          <w:sz w:val="24"/>
          <w:szCs w:val="24"/>
        </w:rPr>
        <w:t xml:space="preserve">HSCRC and DHMH envision a health care system in which multi-disciplinary teams including physicians and nurses, as well as individuals outside the medical model such as nutritionists, social workers, public health practitioners, community health workers, </w:t>
      </w:r>
      <w:r w:rsidR="00D36E33">
        <w:rPr>
          <w:sz w:val="24"/>
          <w:szCs w:val="24"/>
        </w:rPr>
        <w:t xml:space="preserve">and </w:t>
      </w:r>
      <w:r w:rsidR="006F5972">
        <w:rPr>
          <w:sz w:val="24"/>
          <w:szCs w:val="24"/>
        </w:rPr>
        <w:t>religious</w:t>
      </w:r>
      <w:r w:rsidR="00D36E33">
        <w:rPr>
          <w:sz w:val="24"/>
          <w:szCs w:val="24"/>
        </w:rPr>
        <w:t xml:space="preserve"> leaders </w:t>
      </w:r>
      <w:r w:rsidR="00C117D5" w:rsidRPr="00C117D5">
        <w:rPr>
          <w:sz w:val="24"/>
          <w:szCs w:val="24"/>
        </w:rPr>
        <w:t xml:space="preserve">work with high-need/high-resource patients and their families to manage chronic conditions and address functional limitations and socioeconomic determinants of health. The All-Payer Model </w:t>
      </w:r>
      <w:r w:rsidR="00C117D5">
        <w:rPr>
          <w:sz w:val="24"/>
          <w:szCs w:val="24"/>
        </w:rPr>
        <w:t>operates</w:t>
      </w:r>
      <w:r w:rsidR="00C117D5" w:rsidRPr="00C117D5">
        <w:rPr>
          <w:sz w:val="24"/>
          <w:szCs w:val="24"/>
        </w:rPr>
        <w:t xml:space="preserve"> in conjunction with a number of other endeavors currently underway in Maryland, including efforts to strengthen primary care and coordinate hospital care with community care; map and track preventable disease and health costs; develop public-private coalitions for improved health outcomes; </w:t>
      </w:r>
      <w:r w:rsidR="00786F7C">
        <w:rPr>
          <w:sz w:val="24"/>
          <w:szCs w:val="24"/>
        </w:rPr>
        <w:t xml:space="preserve">and </w:t>
      </w:r>
      <w:r w:rsidR="00C117D5" w:rsidRPr="00C117D5">
        <w:rPr>
          <w:sz w:val="24"/>
          <w:szCs w:val="24"/>
        </w:rPr>
        <w:t xml:space="preserve">establish </w:t>
      </w:r>
      <w:r w:rsidR="00786F7C">
        <w:rPr>
          <w:sz w:val="24"/>
          <w:szCs w:val="24"/>
        </w:rPr>
        <w:t>R</w:t>
      </w:r>
      <w:r w:rsidR="00C117D5">
        <w:rPr>
          <w:sz w:val="24"/>
          <w:szCs w:val="24"/>
        </w:rPr>
        <w:t xml:space="preserve">egional </w:t>
      </w:r>
      <w:r w:rsidR="00786F7C">
        <w:rPr>
          <w:sz w:val="24"/>
          <w:szCs w:val="24"/>
        </w:rPr>
        <w:t>P</w:t>
      </w:r>
      <w:r w:rsidR="00C117D5">
        <w:rPr>
          <w:sz w:val="24"/>
          <w:szCs w:val="24"/>
        </w:rPr>
        <w:t>artnership</w:t>
      </w:r>
      <w:r w:rsidR="006B609A">
        <w:rPr>
          <w:sz w:val="24"/>
          <w:szCs w:val="24"/>
        </w:rPr>
        <w:t>s</w:t>
      </w:r>
      <w:r w:rsidR="00C117D5" w:rsidRPr="00C117D5">
        <w:rPr>
          <w:sz w:val="24"/>
          <w:szCs w:val="24"/>
        </w:rPr>
        <w:t>.</w:t>
      </w:r>
    </w:p>
    <w:p w:rsidR="00497F41" w:rsidRDefault="00C117D5" w:rsidP="00CD0C3E">
      <w:pPr>
        <w:spacing w:after="120"/>
        <w:rPr>
          <w:sz w:val="24"/>
          <w:szCs w:val="24"/>
        </w:rPr>
      </w:pPr>
      <w:r w:rsidRPr="00C117D5">
        <w:rPr>
          <w:sz w:val="24"/>
          <w:szCs w:val="24"/>
        </w:rPr>
        <w:t xml:space="preserve">While changes to hospital payment mechanisms consistent with the </w:t>
      </w:r>
      <w:r w:rsidR="004C0AAB">
        <w:rPr>
          <w:sz w:val="24"/>
          <w:szCs w:val="24"/>
        </w:rPr>
        <w:t>All-Payer</w:t>
      </w:r>
      <w:r w:rsidRPr="00C117D5">
        <w:rPr>
          <w:sz w:val="24"/>
          <w:szCs w:val="24"/>
        </w:rPr>
        <w:t xml:space="preserve"> </w:t>
      </w:r>
      <w:r w:rsidR="004C0AAB">
        <w:rPr>
          <w:sz w:val="24"/>
          <w:szCs w:val="24"/>
        </w:rPr>
        <w:t>M</w:t>
      </w:r>
      <w:r w:rsidRPr="00C117D5">
        <w:rPr>
          <w:sz w:val="24"/>
          <w:szCs w:val="24"/>
        </w:rPr>
        <w:t xml:space="preserve">odel are well underway, </w:t>
      </w:r>
      <w:r w:rsidR="004C0AAB">
        <w:rPr>
          <w:sz w:val="24"/>
          <w:szCs w:val="24"/>
        </w:rPr>
        <w:t>continued work and investments are</w:t>
      </w:r>
      <w:r w:rsidRPr="00C117D5">
        <w:rPr>
          <w:sz w:val="24"/>
          <w:szCs w:val="24"/>
        </w:rPr>
        <w:t xml:space="preserve"> needed to integrate and support the efforts of health systems, payers, community hospitals, independent ambulatory physicians, community providers, public health, and others to improve care delivery for patients. </w:t>
      </w:r>
      <w:r w:rsidR="006B609A">
        <w:rPr>
          <w:sz w:val="24"/>
          <w:szCs w:val="24"/>
        </w:rPr>
        <w:t>In accord</w:t>
      </w:r>
      <w:r w:rsidR="00963F21">
        <w:rPr>
          <w:sz w:val="24"/>
          <w:szCs w:val="24"/>
        </w:rPr>
        <w:t>ance</w:t>
      </w:r>
      <w:r w:rsidR="006B609A">
        <w:rPr>
          <w:sz w:val="24"/>
          <w:szCs w:val="24"/>
        </w:rPr>
        <w:t xml:space="preserve"> with the </w:t>
      </w:r>
      <w:r w:rsidRPr="00C117D5">
        <w:rPr>
          <w:sz w:val="24"/>
          <w:szCs w:val="24"/>
        </w:rPr>
        <w:t xml:space="preserve"> Budget Reconciliation and Financing Act (BRFA) of 2014, </w:t>
      </w:r>
      <w:r w:rsidR="006B609A" w:rsidRPr="006B609A">
        <w:rPr>
          <w:sz w:val="24"/>
          <w:szCs w:val="24"/>
        </w:rPr>
        <w:t>the Commission increased rates</w:t>
      </w:r>
      <w:r w:rsidR="00514AC1">
        <w:rPr>
          <w:sz w:val="24"/>
          <w:szCs w:val="24"/>
        </w:rPr>
        <w:t xml:space="preserve"> </w:t>
      </w:r>
      <w:r w:rsidR="00514AC1">
        <w:rPr>
          <w:sz w:val="24"/>
          <w:szCs w:val="24"/>
        </w:rPr>
        <w:lastRenderedPageBreak/>
        <w:t xml:space="preserve">on </w:t>
      </w:r>
      <w:r w:rsidR="006B609A" w:rsidRPr="006B609A">
        <w:rPr>
          <w:sz w:val="24"/>
          <w:szCs w:val="24"/>
        </w:rPr>
        <w:t>May 1, 2015 to provide up to $15 million for the purpose of funding the planning of regional partnerships throughout the State</w:t>
      </w:r>
      <w:r w:rsidR="00EC06DA">
        <w:rPr>
          <w:sz w:val="24"/>
          <w:szCs w:val="24"/>
        </w:rPr>
        <w:t xml:space="preserve"> along with</w:t>
      </w:r>
      <w:r w:rsidR="006B609A" w:rsidRPr="006B609A">
        <w:rPr>
          <w:sz w:val="24"/>
          <w:szCs w:val="24"/>
        </w:rPr>
        <w:t xml:space="preserve"> statewide infrastructure to support care management, coordination, and planning. </w:t>
      </w:r>
      <w:r w:rsidR="006B609A">
        <w:rPr>
          <w:sz w:val="24"/>
          <w:szCs w:val="24"/>
        </w:rPr>
        <w:t>During its June 2015 public meeting</w:t>
      </w:r>
      <w:r w:rsidR="00016C8B">
        <w:rPr>
          <w:sz w:val="24"/>
          <w:szCs w:val="24"/>
        </w:rPr>
        <w:t xml:space="preserve"> (see below)</w:t>
      </w:r>
      <w:r w:rsidR="006B609A">
        <w:rPr>
          <w:sz w:val="24"/>
          <w:szCs w:val="24"/>
        </w:rPr>
        <w:t xml:space="preserve">, the Commission approved additional increases for </w:t>
      </w:r>
      <w:r w:rsidR="004C0AAB">
        <w:rPr>
          <w:sz w:val="24"/>
          <w:szCs w:val="24"/>
        </w:rPr>
        <w:t>al</w:t>
      </w:r>
      <w:r w:rsidR="002F7E32" w:rsidRPr="002F7E32">
        <w:rPr>
          <w:sz w:val="24"/>
          <w:szCs w:val="24"/>
        </w:rPr>
        <w:t>l global budgets</w:t>
      </w:r>
      <w:r w:rsidR="00016C8B">
        <w:rPr>
          <w:sz w:val="24"/>
          <w:szCs w:val="24"/>
        </w:rPr>
        <w:t>.</w:t>
      </w:r>
      <w:r w:rsidR="002F7E32" w:rsidRPr="002F7E32">
        <w:rPr>
          <w:sz w:val="24"/>
          <w:szCs w:val="24"/>
        </w:rPr>
        <w:t xml:space="preserve"> </w:t>
      </w:r>
      <w:r w:rsidR="00B500E5">
        <w:rPr>
          <w:sz w:val="24"/>
          <w:szCs w:val="24"/>
        </w:rPr>
        <w:t>Global Budget Revenue (“</w:t>
      </w:r>
      <w:r w:rsidR="002F7E32" w:rsidRPr="002F7E32">
        <w:rPr>
          <w:sz w:val="24"/>
          <w:szCs w:val="24"/>
        </w:rPr>
        <w:t>GBR</w:t>
      </w:r>
      <w:r w:rsidR="00B500E5">
        <w:rPr>
          <w:sz w:val="24"/>
          <w:szCs w:val="24"/>
        </w:rPr>
        <w:t>”)</w:t>
      </w:r>
      <w:r w:rsidR="002F7E32" w:rsidRPr="002F7E32">
        <w:rPr>
          <w:sz w:val="24"/>
          <w:szCs w:val="24"/>
        </w:rPr>
        <w:t xml:space="preserve"> hospitals will receive an increase of 0.4</w:t>
      </w:r>
      <w:r w:rsidR="00781927">
        <w:rPr>
          <w:sz w:val="24"/>
          <w:szCs w:val="24"/>
        </w:rPr>
        <w:t>0</w:t>
      </w:r>
      <w:r w:rsidR="002F7E32" w:rsidRPr="002F7E32">
        <w:rPr>
          <w:sz w:val="24"/>
          <w:szCs w:val="24"/>
        </w:rPr>
        <w:t>% for infrastructure investments</w:t>
      </w:r>
      <w:r w:rsidR="00F544BB">
        <w:rPr>
          <w:sz w:val="24"/>
          <w:szCs w:val="24"/>
        </w:rPr>
        <w:t xml:space="preserve"> in FY 2016</w:t>
      </w:r>
      <w:r w:rsidR="002F7E32" w:rsidRPr="002F7E32">
        <w:rPr>
          <w:sz w:val="24"/>
          <w:szCs w:val="24"/>
        </w:rPr>
        <w:t xml:space="preserve">. </w:t>
      </w:r>
      <w:r w:rsidR="00B736D2">
        <w:rPr>
          <w:sz w:val="24"/>
          <w:szCs w:val="24"/>
        </w:rPr>
        <w:t>DHMH and HSCRC are announcing an additional funding opportunity t</w:t>
      </w:r>
      <w:r w:rsidR="00B736D2" w:rsidRPr="00316FA2">
        <w:rPr>
          <w:sz w:val="24"/>
          <w:szCs w:val="24"/>
        </w:rPr>
        <w:t>o improve care coordination and population health</w:t>
      </w:r>
      <w:r w:rsidR="00B736D2">
        <w:rPr>
          <w:sz w:val="24"/>
          <w:szCs w:val="24"/>
        </w:rPr>
        <w:t xml:space="preserve">. The funds are intended to supplement </w:t>
      </w:r>
      <w:r w:rsidR="00C17C1F">
        <w:rPr>
          <w:sz w:val="24"/>
          <w:szCs w:val="24"/>
        </w:rPr>
        <w:t xml:space="preserve">related </w:t>
      </w:r>
      <w:r w:rsidR="00B736D2">
        <w:rPr>
          <w:sz w:val="24"/>
          <w:szCs w:val="24"/>
        </w:rPr>
        <w:t>existing infrastructure</w:t>
      </w:r>
      <w:r w:rsidR="00C17C1F">
        <w:rPr>
          <w:sz w:val="24"/>
          <w:szCs w:val="24"/>
        </w:rPr>
        <w:t xml:space="preserve"> initiatives</w:t>
      </w:r>
      <w:r w:rsidR="00B736D2">
        <w:rPr>
          <w:sz w:val="24"/>
          <w:szCs w:val="24"/>
        </w:rPr>
        <w:t xml:space="preserve">. </w:t>
      </w:r>
      <w:r w:rsidR="00B736D2" w:rsidRPr="00B736D2">
        <w:rPr>
          <w:b/>
          <w:sz w:val="24"/>
          <w:szCs w:val="24"/>
        </w:rPr>
        <w:t>C</w:t>
      </w:r>
      <w:r w:rsidR="002F7E32" w:rsidRPr="00F544BB">
        <w:rPr>
          <w:b/>
          <w:i/>
          <w:sz w:val="24"/>
          <w:szCs w:val="24"/>
        </w:rPr>
        <w:t>ompetitive transformation implementation awards</w:t>
      </w:r>
      <w:r w:rsidR="002F7E32" w:rsidRPr="002F7E32">
        <w:rPr>
          <w:sz w:val="24"/>
          <w:szCs w:val="24"/>
        </w:rPr>
        <w:t xml:space="preserve"> will be available to </w:t>
      </w:r>
      <w:r w:rsidR="00514AC1">
        <w:rPr>
          <w:sz w:val="24"/>
          <w:szCs w:val="24"/>
        </w:rPr>
        <w:t>any Maryland acute care</w:t>
      </w:r>
      <w:r w:rsidR="00934632">
        <w:rPr>
          <w:sz w:val="24"/>
          <w:szCs w:val="24"/>
        </w:rPr>
        <w:t xml:space="preserve"> or specialty</w:t>
      </w:r>
      <w:r w:rsidR="00514AC1">
        <w:rPr>
          <w:sz w:val="24"/>
          <w:szCs w:val="24"/>
        </w:rPr>
        <w:t xml:space="preserve"> </w:t>
      </w:r>
      <w:r w:rsidR="002F7E32" w:rsidRPr="002F7E32">
        <w:rPr>
          <w:sz w:val="24"/>
          <w:szCs w:val="24"/>
        </w:rPr>
        <w:t>hospital</w:t>
      </w:r>
      <w:r w:rsidR="005A48C6">
        <w:rPr>
          <w:sz w:val="24"/>
          <w:szCs w:val="24"/>
        </w:rPr>
        <w:t xml:space="preserve"> (including TPR hospitals)</w:t>
      </w:r>
      <w:r w:rsidR="00514AC1">
        <w:rPr>
          <w:sz w:val="24"/>
          <w:szCs w:val="24"/>
        </w:rPr>
        <w:t xml:space="preserve"> that submits a successful </w:t>
      </w:r>
      <w:r w:rsidR="00EC06DA">
        <w:rPr>
          <w:sz w:val="24"/>
          <w:szCs w:val="24"/>
        </w:rPr>
        <w:t>bid.</w:t>
      </w:r>
      <w:r w:rsidR="00514AC1">
        <w:rPr>
          <w:sz w:val="24"/>
          <w:szCs w:val="24"/>
        </w:rPr>
        <w:t xml:space="preserve"> </w:t>
      </w:r>
      <w:r w:rsidR="00EC06DA">
        <w:rPr>
          <w:sz w:val="24"/>
          <w:szCs w:val="24"/>
        </w:rPr>
        <w:t>T</w:t>
      </w:r>
      <w:r w:rsidR="00514AC1">
        <w:rPr>
          <w:sz w:val="24"/>
          <w:szCs w:val="24"/>
        </w:rPr>
        <w:t xml:space="preserve">he </w:t>
      </w:r>
      <w:r w:rsidR="00D15965">
        <w:rPr>
          <w:sz w:val="24"/>
          <w:szCs w:val="24"/>
        </w:rPr>
        <w:t xml:space="preserve">aggregate amount </w:t>
      </w:r>
      <w:r w:rsidR="00514AC1">
        <w:rPr>
          <w:sz w:val="24"/>
          <w:szCs w:val="24"/>
        </w:rPr>
        <w:t xml:space="preserve">available for these awards is </w:t>
      </w:r>
      <w:r w:rsidR="00786F7C">
        <w:rPr>
          <w:sz w:val="24"/>
          <w:szCs w:val="24"/>
        </w:rPr>
        <w:t xml:space="preserve">up </w:t>
      </w:r>
      <w:r w:rsidR="00D15965">
        <w:rPr>
          <w:sz w:val="24"/>
          <w:szCs w:val="24"/>
        </w:rPr>
        <w:t>to 0.25%</w:t>
      </w:r>
      <w:r w:rsidR="00786F7C">
        <w:rPr>
          <w:sz w:val="24"/>
          <w:szCs w:val="24"/>
        </w:rPr>
        <w:t xml:space="preserve"> of </w:t>
      </w:r>
      <w:r w:rsidR="00FD065D">
        <w:rPr>
          <w:sz w:val="24"/>
          <w:szCs w:val="24"/>
        </w:rPr>
        <w:t xml:space="preserve">statewide </w:t>
      </w:r>
      <w:r w:rsidR="00786F7C">
        <w:rPr>
          <w:sz w:val="24"/>
          <w:szCs w:val="24"/>
        </w:rPr>
        <w:t>revenue</w:t>
      </w:r>
      <w:r w:rsidR="00EC06DA">
        <w:rPr>
          <w:sz w:val="24"/>
          <w:szCs w:val="24"/>
        </w:rPr>
        <w:t>,</w:t>
      </w:r>
      <w:r w:rsidR="00514AC1">
        <w:rPr>
          <w:sz w:val="24"/>
          <w:szCs w:val="24"/>
        </w:rPr>
        <w:t xml:space="preserve"> although</w:t>
      </w:r>
      <w:r w:rsidR="00F73903">
        <w:rPr>
          <w:sz w:val="24"/>
          <w:szCs w:val="24"/>
        </w:rPr>
        <w:t xml:space="preserve"> the maximum amount a hospital may receive from multiple successful applications</w:t>
      </w:r>
      <w:r w:rsidR="00514AC1">
        <w:rPr>
          <w:sz w:val="24"/>
          <w:szCs w:val="24"/>
        </w:rPr>
        <w:t xml:space="preserve"> </w:t>
      </w:r>
      <w:r w:rsidR="00EC06DA">
        <w:rPr>
          <w:sz w:val="24"/>
          <w:szCs w:val="24"/>
        </w:rPr>
        <w:t xml:space="preserve">may </w:t>
      </w:r>
      <w:r w:rsidR="00F73903">
        <w:rPr>
          <w:sz w:val="24"/>
          <w:szCs w:val="24"/>
        </w:rPr>
        <w:t>not exceed 0.</w:t>
      </w:r>
      <w:r w:rsidR="00D7145E">
        <w:rPr>
          <w:sz w:val="24"/>
          <w:szCs w:val="24"/>
        </w:rPr>
        <w:t>7</w:t>
      </w:r>
      <w:r w:rsidR="006121EF">
        <w:rPr>
          <w:sz w:val="24"/>
          <w:szCs w:val="24"/>
        </w:rPr>
        <w:t>5</w:t>
      </w:r>
      <w:r w:rsidR="00514AC1">
        <w:rPr>
          <w:sz w:val="24"/>
          <w:szCs w:val="24"/>
        </w:rPr>
        <w:t xml:space="preserve">% of the </w:t>
      </w:r>
      <w:r w:rsidR="00872D00">
        <w:rPr>
          <w:sz w:val="24"/>
          <w:szCs w:val="24"/>
        </w:rPr>
        <w:t xml:space="preserve">hospital’s FY 2015 </w:t>
      </w:r>
      <w:r w:rsidR="006F5972">
        <w:rPr>
          <w:sz w:val="24"/>
          <w:szCs w:val="24"/>
        </w:rPr>
        <w:t xml:space="preserve">approved </w:t>
      </w:r>
      <w:r w:rsidR="00872D00">
        <w:rPr>
          <w:sz w:val="24"/>
          <w:szCs w:val="24"/>
        </w:rPr>
        <w:t>net patient revenue plus markup</w:t>
      </w:r>
      <w:r w:rsidR="00D15965">
        <w:rPr>
          <w:sz w:val="24"/>
          <w:szCs w:val="24"/>
        </w:rPr>
        <w:t xml:space="preserve">. </w:t>
      </w:r>
      <w:r w:rsidR="002F7E32" w:rsidRPr="002F7E32">
        <w:rPr>
          <w:sz w:val="24"/>
          <w:szCs w:val="24"/>
        </w:rPr>
        <w:t xml:space="preserve"> </w:t>
      </w:r>
    </w:p>
    <w:p w:rsidR="00DF5437" w:rsidRDefault="000053AC" w:rsidP="00CD0C3E">
      <w:pPr>
        <w:spacing w:after="120"/>
        <w:rPr>
          <w:sz w:val="24"/>
          <w:szCs w:val="24"/>
        </w:rPr>
      </w:pPr>
      <w:r>
        <w:rPr>
          <w:sz w:val="24"/>
          <w:szCs w:val="24"/>
        </w:rPr>
        <w:t xml:space="preserve">The </w:t>
      </w:r>
      <w:r w:rsidRPr="000053AC">
        <w:rPr>
          <w:b/>
          <w:i/>
          <w:sz w:val="24"/>
          <w:szCs w:val="24"/>
        </w:rPr>
        <w:t>competitive transformation implementation awards</w:t>
      </w:r>
      <w:r>
        <w:rPr>
          <w:sz w:val="24"/>
          <w:szCs w:val="24"/>
        </w:rPr>
        <w:t xml:space="preserve"> are intended to support and leverage </w:t>
      </w:r>
      <w:r w:rsidRPr="00497F41">
        <w:rPr>
          <w:sz w:val="24"/>
          <w:szCs w:val="24"/>
        </w:rPr>
        <w:t xml:space="preserve">a culmination of </w:t>
      </w:r>
      <w:r>
        <w:rPr>
          <w:sz w:val="24"/>
          <w:szCs w:val="24"/>
        </w:rPr>
        <w:t xml:space="preserve">investments and </w:t>
      </w:r>
      <w:r w:rsidRPr="00497F41">
        <w:rPr>
          <w:sz w:val="24"/>
          <w:szCs w:val="24"/>
        </w:rPr>
        <w:t xml:space="preserve">activities related to partnerships, strategies, progress, and vision for care coordination </w:t>
      </w:r>
      <w:r>
        <w:rPr>
          <w:sz w:val="24"/>
          <w:szCs w:val="24"/>
        </w:rPr>
        <w:t xml:space="preserve">and provider alignment </w:t>
      </w:r>
      <w:r w:rsidRPr="00497F41">
        <w:rPr>
          <w:sz w:val="24"/>
          <w:szCs w:val="24"/>
        </w:rPr>
        <w:t>in the State</w:t>
      </w:r>
      <w:r w:rsidR="00BA3620">
        <w:rPr>
          <w:sz w:val="24"/>
          <w:szCs w:val="24"/>
        </w:rPr>
        <w:t xml:space="preserve"> (See Appendix D for summary of care coordination investment and Timeline of related activities)</w:t>
      </w:r>
      <w:r w:rsidRPr="00497F41">
        <w:rPr>
          <w:sz w:val="24"/>
          <w:szCs w:val="24"/>
        </w:rPr>
        <w:t xml:space="preserve">. </w:t>
      </w:r>
      <w:r w:rsidR="00DF5437">
        <w:rPr>
          <w:sz w:val="24"/>
          <w:szCs w:val="24"/>
        </w:rPr>
        <w:t xml:space="preserve"> The intent of these partnerships and strategies is to reduce potentially avoidable utilization</w:t>
      </w:r>
      <w:r w:rsidR="00AE7932">
        <w:rPr>
          <w:sz w:val="24"/>
          <w:szCs w:val="24"/>
        </w:rPr>
        <w:t xml:space="preserve"> </w:t>
      </w:r>
      <w:r w:rsidR="00DF5437">
        <w:rPr>
          <w:sz w:val="24"/>
          <w:szCs w:val="24"/>
        </w:rPr>
        <w:t>at Maryland hospitals through better care coordination and provider alignment</w:t>
      </w:r>
      <w:r w:rsidR="006F5972">
        <w:rPr>
          <w:sz w:val="24"/>
          <w:szCs w:val="24"/>
        </w:rPr>
        <w:t>,</w:t>
      </w:r>
      <w:r w:rsidR="00DF5437">
        <w:rPr>
          <w:sz w:val="24"/>
          <w:szCs w:val="24"/>
        </w:rPr>
        <w:t xml:space="preserve"> </w:t>
      </w:r>
      <w:r w:rsidR="006F5972">
        <w:rPr>
          <w:sz w:val="24"/>
          <w:szCs w:val="24"/>
        </w:rPr>
        <w:t>which</w:t>
      </w:r>
      <w:r w:rsidR="00DF5437">
        <w:rPr>
          <w:sz w:val="24"/>
          <w:szCs w:val="24"/>
        </w:rPr>
        <w:t xml:space="preserve"> results in improv</w:t>
      </w:r>
      <w:r w:rsidR="00EE6112">
        <w:rPr>
          <w:sz w:val="24"/>
          <w:szCs w:val="24"/>
        </w:rPr>
        <w:t>ement</w:t>
      </w:r>
      <w:r w:rsidR="00DF5437">
        <w:rPr>
          <w:sz w:val="24"/>
          <w:szCs w:val="24"/>
        </w:rPr>
        <w:t xml:space="preserve"> on the metrics required under the new All-Payer </w:t>
      </w:r>
      <w:r w:rsidR="00EE6112">
        <w:rPr>
          <w:sz w:val="24"/>
          <w:szCs w:val="24"/>
        </w:rPr>
        <w:t>M</w:t>
      </w:r>
      <w:r w:rsidR="00DF5437">
        <w:rPr>
          <w:sz w:val="24"/>
          <w:szCs w:val="24"/>
        </w:rPr>
        <w:t>odel.  Those metrics include:</w:t>
      </w:r>
    </w:p>
    <w:p w:rsidR="00DF5437" w:rsidRDefault="00DF5437" w:rsidP="00496DC7">
      <w:pPr>
        <w:pStyle w:val="ListParagraph"/>
        <w:numPr>
          <w:ilvl w:val="0"/>
          <w:numId w:val="40"/>
        </w:numPr>
        <w:spacing w:after="120"/>
        <w:rPr>
          <w:sz w:val="24"/>
          <w:szCs w:val="24"/>
        </w:rPr>
      </w:pPr>
      <w:r>
        <w:rPr>
          <w:sz w:val="24"/>
          <w:szCs w:val="24"/>
        </w:rPr>
        <w:t>Keeping the all-payer total hospital per capita revenue growth rate for Maryland residents below 3.58%;</w:t>
      </w:r>
    </w:p>
    <w:p w:rsidR="00DF5437" w:rsidRDefault="00DF5437" w:rsidP="00496DC7">
      <w:pPr>
        <w:pStyle w:val="ListParagraph"/>
        <w:numPr>
          <w:ilvl w:val="0"/>
          <w:numId w:val="40"/>
        </w:numPr>
        <w:spacing w:after="120"/>
        <w:rPr>
          <w:sz w:val="24"/>
          <w:szCs w:val="24"/>
        </w:rPr>
      </w:pPr>
      <w:r>
        <w:rPr>
          <w:sz w:val="24"/>
          <w:szCs w:val="24"/>
        </w:rPr>
        <w:t xml:space="preserve">Achieving Medicare savings for Maryland beneficiaries </w:t>
      </w:r>
      <w:r w:rsidR="00EE6112">
        <w:rPr>
          <w:sz w:val="24"/>
          <w:szCs w:val="24"/>
        </w:rPr>
        <w:t>in the amount of</w:t>
      </w:r>
      <w:r>
        <w:rPr>
          <w:sz w:val="24"/>
          <w:szCs w:val="24"/>
        </w:rPr>
        <w:t xml:space="preserve"> $330 million over 5 years compared to Medicare trend;</w:t>
      </w:r>
    </w:p>
    <w:p w:rsidR="00DF5437" w:rsidRDefault="00DF5437" w:rsidP="00496DC7">
      <w:pPr>
        <w:pStyle w:val="ListParagraph"/>
        <w:numPr>
          <w:ilvl w:val="0"/>
          <w:numId w:val="40"/>
        </w:numPr>
        <w:spacing w:after="120"/>
        <w:rPr>
          <w:sz w:val="24"/>
          <w:szCs w:val="24"/>
        </w:rPr>
      </w:pPr>
      <w:r>
        <w:rPr>
          <w:sz w:val="24"/>
          <w:szCs w:val="24"/>
        </w:rPr>
        <w:t>Bringing the Maryland Medicare readmission rate to below the national average;</w:t>
      </w:r>
    </w:p>
    <w:p w:rsidR="00DF5437" w:rsidRDefault="00DF5437" w:rsidP="00496DC7">
      <w:pPr>
        <w:pStyle w:val="ListParagraph"/>
        <w:numPr>
          <w:ilvl w:val="0"/>
          <w:numId w:val="40"/>
        </w:numPr>
        <w:spacing w:after="120"/>
        <w:rPr>
          <w:sz w:val="24"/>
          <w:szCs w:val="24"/>
        </w:rPr>
      </w:pPr>
      <w:r>
        <w:rPr>
          <w:sz w:val="24"/>
          <w:szCs w:val="24"/>
        </w:rPr>
        <w:t>Reducing Maryland Hospital Acquired Conditions in the State by 30%</w:t>
      </w:r>
      <w:r w:rsidR="00EE6112">
        <w:rPr>
          <w:sz w:val="24"/>
          <w:szCs w:val="24"/>
        </w:rPr>
        <w:t xml:space="preserve"> over 5 years</w:t>
      </w:r>
      <w:r>
        <w:rPr>
          <w:sz w:val="24"/>
          <w:szCs w:val="24"/>
        </w:rPr>
        <w:t xml:space="preserve">; and </w:t>
      </w:r>
    </w:p>
    <w:p w:rsidR="00DF5437" w:rsidRPr="00496DC7" w:rsidRDefault="00AE7932" w:rsidP="00496DC7">
      <w:pPr>
        <w:pStyle w:val="ListParagraph"/>
        <w:numPr>
          <w:ilvl w:val="0"/>
          <w:numId w:val="40"/>
        </w:numPr>
        <w:spacing w:after="120"/>
        <w:rPr>
          <w:sz w:val="24"/>
          <w:szCs w:val="24"/>
        </w:rPr>
      </w:pPr>
      <w:r>
        <w:rPr>
          <w:sz w:val="24"/>
          <w:szCs w:val="24"/>
        </w:rPr>
        <w:t xml:space="preserve">Keeping Maryland Medicare per beneficiary growth over any two-year period at or below </w:t>
      </w:r>
      <w:r w:rsidR="00EE6112">
        <w:rPr>
          <w:sz w:val="24"/>
          <w:szCs w:val="24"/>
        </w:rPr>
        <w:t xml:space="preserve">the </w:t>
      </w:r>
      <w:r>
        <w:rPr>
          <w:sz w:val="24"/>
          <w:szCs w:val="24"/>
        </w:rPr>
        <w:t>national growth.</w:t>
      </w:r>
    </w:p>
    <w:p w:rsidR="00781927" w:rsidRDefault="00DF5437" w:rsidP="00CD0C3E">
      <w:pPr>
        <w:spacing w:after="120"/>
        <w:rPr>
          <w:sz w:val="24"/>
          <w:szCs w:val="24"/>
        </w:rPr>
      </w:pPr>
      <w:r>
        <w:rPr>
          <w:sz w:val="24"/>
          <w:szCs w:val="24"/>
        </w:rPr>
        <w:t xml:space="preserve"> Awards </w:t>
      </w:r>
      <w:r w:rsidR="000053AC">
        <w:rPr>
          <w:sz w:val="24"/>
          <w:szCs w:val="24"/>
        </w:rPr>
        <w:t>are meant to build upon GBR infrastructure increases received in FY 2014 and FY 2015</w:t>
      </w:r>
      <w:r w:rsidR="00736B6C">
        <w:rPr>
          <w:sz w:val="24"/>
          <w:szCs w:val="24"/>
        </w:rPr>
        <w:t xml:space="preserve"> and</w:t>
      </w:r>
      <w:r w:rsidR="000053AC">
        <w:rPr>
          <w:sz w:val="24"/>
          <w:szCs w:val="24"/>
        </w:rPr>
        <w:t xml:space="preserve"> </w:t>
      </w:r>
      <w:r w:rsidR="00EC06DA">
        <w:rPr>
          <w:sz w:val="24"/>
          <w:szCs w:val="24"/>
        </w:rPr>
        <w:t xml:space="preserve">those </w:t>
      </w:r>
      <w:r w:rsidR="000053AC">
        <w:rPr>
          <w:sz w:val="24"/>
          <w:szCs w:val="24"/>
        </w:rPr>
        <w:t xml:space="preserve">plans </w:t>
      </w:r>
      <w:r w:rsidR="004F2042">
        <w:rPr>
          <w:sz w:val="24"/>
          <w:szCs w:val="24"/>
        </w:rPr>
        <w:t xml:space="preserve">being </w:t>
      </w:r>
      <w:r w:rsidR="000053AC">
        <w:rPr>
          <w:sz w:val="24"/>
          <w:szCs w:val="24"/>
        </w:rPr>
        <w:t>developed for the Regional Partnerships.</w:t>
      </w:r>
      <w:r w:rsidR="00786F7C">
        <w:rPr>
          <w:sz w:val="24"/>
          <w:szCs w:val="24"/>
        </w:rPr>
        <w:t xml:space="preserve"> </w:t>
      </w:r>
    </w:p>
    <w:p w:rsidR="002F7E32" w:rsidRPr="002F7E32" w:rsidRDefault="00016C8B" w:rsidP="00CD0C3E">
      <w:pPr>
        <w:spacing w:after="120"/>
        <w:rPr>
          <w:sz w:val="24"/>
          <w:szCs w:val="24"/>
        </w:rPr>
      </w:pPr>
      <w:r w:rsidRPr="002F7E32">
        <w:rPr>
          <w:sz w:val="24"/>
          <w:szCs w:val="24"/>
        </w:rPr>
        <w:t xml:space="preserve">Hospitals interested in applying will be required to submit proposals describing how they will use these additional funds </w:t>
      </w:r>
      <w:r>
        <w:rPr>
          <w:sz w:val="24"/>
          <w:szCs w:val="24"/>
        </w:rPr>
        <w:t>to work</w:t>
      </w:r>
      <w:r w:rsidRPr="002F7E32">
        <w:rPr>
          <w:sz w:val="24"/>
          <w:szCs w:val="24"/>
        </w:rPr>
        <w:t xml:space="preserve"> in collaboration with other hospitals, physicians, post-acute providers and other community based providers</w:t>
      </w:r>
      <w:r w:rsidR="00BB4D58">
        <w:rPr>
          <w:sz w:val="24"/>
          <w:szCs w:val="24"/>
        </w:rPr>
        <w:t xml:space="preserve"> as well as patient and family advisory groups and </w:t>
      </w:r>
      <w:r>
        <w:rPr>
          <w:sz w:val="24"/>
          <w:szCs w:val="24"/>
        </w:rPr>
        <w:t xml:space="preserve">organizations </w:t>
      </w:r>
      <w:r w:rsidRPr="002F7E32">
        <w:rPr>
          <w:sz w:val="24"/>
          <w:szCs w:val="24"/>
        </w:rPr>
        <w:t>to improve care coordination and population health</w:t>
      </w:r>
      <w:r>
        <w:rPr>
          <w:sz w:val="24"/>
          <w:szCs w:val="24"/>
        </w:rPr>
        <w:t>. Successful applicants will have care coordination and population health models underway and requir</w:t>
      </w:r>
      <w:r w:rsidR="00973F0B">
        <w:rPr>
          <w:sz w:val="24"/>
          <w:szCs w:val="24"/>
        </w:rPr>
        <w:t>e</w:t>
      </w:r>
      <w:r>
        <w:rPr>
          <w:sz w:val="24"/>
          <w:szCs w:val="24"/>
        </w:rPr>
        <w:t xml:space="preserve"> additional infrastructure</w:t>
      </w:r>
      <w:r w:rsidR="00973F0B">
        <w:rPr>
          <w:sz w:val="24"/>
          <w:szCs w:val="24"/>
        </w:rPr>
        <w:t xml:space="preserve"> support</w:t>
      </w:r>
      <w:r>
        <w:rPr>
          <w:sz w:val="24"/>
          <w:szCs w:val="24"/>
        </w:rPr>
        <w:t xml:space="preserve"> </w:t>
      </w:r>
      <w:r w:rsidR="00973F0B">
        <w:rPr>
          <w:sz w:val="24"/>
          <w:szCs w:val="24"/>
        </w:rPr>
        <w:t xml:space="preserve">to bolster </w:t>
      </w:r>
      <w:r>
        <w:rPr>
          <w:sz w:val="24"/>
          <w:szCs w:val="24"/>
        </w:rPr>
        <w:t>immediate implementation o</w:t>
      </w:r>
      <w:r w:rsidR="00EA4FC5">
        <w:rPr>
          <w:sz w:val="24"/>
          <w:szCs w:val="24"/>
        </w:rPr>
        <w:t>f</w:t>
      </w:r>
      <w:r>
        <w:rPr>
          <w:sz w:val="24"/>
          <w:szCs w:val="24"/>
        </w:rPr>
        <w:t xml:space="preserve"> projects in the final stage of </w:t>
      </w:r>
      <w:r>
        <w:rPr>
          <w:sz w:val="24"/>
          <w:szCs w:val="24"/>
        </w:rPr>
        <w:lastRenderedPageBreak/>
        <w:t>planning</w:t>
      </w:r>
      <w:r w:rsidR="006F5972">
        <w:rPr>
          <w:sz w:val="24"/>
          <w:szCs w:val="24"/>
        </w:rPr>
        <w:t>,</w:t>
      </w:r>
      <w:r>
        <w:rPr>
          <w:sz w:val="24"/>
          <w:szCs w:val="24"/>
        </w:rPr>
        <w:t xml:space="preserve"> </w:t>
      </w:r>
      <w:r w:rsidR="009E1582">
        <w:rPr>
          <w:sz w:val="24"/>
          <w:szCs w:val="24"/>
        </w:rPr>
        <w:t>w</w:t>
      </w:r>
      <w:r w:rsidR="006F5972">
        <w:rPr>
          <w:sz w:val="24"/>
          <w:szCs w:val="24"/>
        </w:rPr>
        <w:t>hich</w:t>
      </w:r>
      <w:r>
        <w:rPr>
          <w:sz w:val="24"/>
          <w:szCs w:val="24"/>
        </w:rPr>
        <w:t xml:space="preserve"> will result in a positive return on investment, particularly through an early </w:t>
      </w:r>
      <w:r w:rsidR="00973F0B">
        <w:rPr>
          <w:sz w:val="24"/>
          <w:szCs w:val="24"/>
        </w:rPr>
        <w:t xml:space="preserve">emphasis </w:t>
      </w:r>
      <w:r>
        <w:rPr>
          <w:sz w:val="24"/>
          <w:szCs w:val="24"/>
        </w:rPr>
        <w:t>on high utilizers</w:t>
      </w:r>
      <w:r w:rsidRPr="002F7E32">
        <w:rPr>
          <w:sz w:val="24"/>
          <w:szCs w:val="24"/>
        </w:rPr>
        <w:t>.</w:t>
      </w:r>
      <w:r w:rsidR="0029033D">
        <w:rPr>
          <w:sz w:val="24"/>
          <w:szCs w:val="24"/>
        </w:rPr>
        <w:t xml:space="preserve"> </w:t>
      </w:r>
      <w:r w:rsidR="002F7E32" w:rsidRPr="002F7E32">
        <w:rPr>
          <w:sz w:val="24"/>
          <w:szCs w:val="24"/>
        </w:rPr>
        <w:t>The collective goal of these activities is to help support delivery system change with a focus on:</w:t>
      </w:r>
    </w:p>
    <w:p w:rsidR="002F7E32" w:rsidRPr="00F544BB" w:rsidRDefault="002F0030" w:rsidP="00CD0C3E">
      <w:pPr>
        <w:pStyle w:val="ListParagraph"/>
        <w:numPr>
          <w:ilvl w:val="0"/>
          <w:numId w:val="10"/>
        </w:numPr>
        <w:spacing w:after="120"/>
        <w:rPr>
          <w:sz w:val="24"/>
          <w:szCs w:val="24"/>
        </w:rPr>
      </w:pPr>
      <w:r>
        <w:rPr>
          <w:sz w:val="24"/>
          <w:szCs w:val="24"/>
        </w:rPr>
        <w:t>Supportive services for persons living with c</w:t>
      </w:r>
      <w:r w:rsidR="002F7E32" w:rsidRPr="00F544BB">
        <w:rPr>
          <w:sz w:val="24"/>
          <w:szCs w:val="24"/>
        </w:rPr>
        <w:t>hronic disease</w:t>
      </w:r>
    </w:p>
    <w:p w:rsidR="002F7E32" w:rsidRPr="00F544BB" w:rsidRDefault="002F7E32" w:rsidP="00CD0C3E">
      <w:pPr>
        <w:pStyle w:val="ListParagraph"/>
        <w:numPr>
          <w:ilvl w:val="0"/>
          <w:numId w:val="10"/>
        </w:numPr>
        <w:spacing w:after="120"/>
        <w:rPr>
          <w:sz w:val="24"/>
          <w:szCs w:val="24"/>
        </w:rPr>
      </w:pPr>
      <w:r w:rsidRPr="00F544BB">
        <w:rPr>
          <w:sz w:val="24"/>
          <w:szCs w:val="24"/>
        </w:rPr>
        <w:t>Long</w:t>
      </w:r>
      <w:r w:rsidR="002F0030">
        <w:rPr>
          <w:sz w:val="24"/>
          <w:szCs w:val="24"/>
        </w:rPr>
        <w:t>-</w:t>
      </w:r>
      <w:r w:rsidRPr="00F544BB">
        <w:rPr>
          <w:sz w:val="24"/>
          <w:szCs w:val="24"/>
        </w:rPr>
        <w:t xml:space="preserve">term </w:t>
      </w:r>
      <w:r w:rsidR="002F0030">
        <w:rPr>
          <w:sz w:val="24"/>
          <w:szCs w:val="24"/>
        </w:rPr>
        <w:t xml:space="preserve">care </w:t>
      </w:r>
      <w:r w:rsidRPr="00F544BB">
        <w:rPr>
          <w:sz w:val="24"/>
          <w:szCs w:val="24"/>
        </w:rPr>
        <w:t>and post-acute care integration and coordination</w:t>
      </w:r>
    </w:p>
    <w:p w:rsidR="002F7E32" w:rsidRPr="00F544BB" w:rsidRDefault="002F0030" w:rsidP="00CD0C3E">
      <w:pPr>
        <w:pStyle w:val="ListParagraph"/>
        <w:numPr>
          <w:ilvl w:val="0"/>
          <w:numId w:val="10"/>
        </w:numPr>
        <w:spacing w:after="120"/>
        <w:rPr>
          <w:sz w:val="24"/>
          <w:szCs w:val="24"/>
        </w:rPr>
      </w:pPr>
      <w:r>
        <w:rPr>
          <w:sz w:val="24"/>
          <w:szCs w:val="24"/>
        </w:rPr>
        <w:t>Integration and coordination of p</w:t>
      </w:r>
      <w:r w:rsidR="002F7E32" w:rsidRPr="00F544BB">
        <w:rPr>
          <w:sz w:val="24"/>
          <w:szCs w:val="24"/>
        </w:rPr>
        <w:t xml:space="preserve">hysical and behavioral health </w:t>
      </w:r>
      <w:r w:rsidR="00FF50AC">
        <w:rPr>
          <w:sz w:val="24"/>
          <w:szCs w:val="24"/>
        </w:rPr>
        <w:t>services</w:t>
      </w:r>
    </w:p>
    <w:p w:rsidR="002F7E32" w:rsidRPr="00F544BB" w:rsidRDefault="00FF50AC" w:rsidP="00CD0C3E">
      <w:pPr>
        <w:pStyle w:val="ListParagraph"/>
        <w:numPr>
          <w:ilvl w:val="0"/>
          <w:numId w:val="10"/>
        </w:numPr>
        <w:spacing w:after="120"/>
        <w:rPr>
          <w:sz w:val="24"/>
          <w:szCs w:val="24"/>
        </w:rPr>
      </w:pPr>
      <w:r>
        <w:rPr>
          <w:sz w:val="24"/>
          <w:szCs w:val="24"/>
        </w:rPr>
        <w:t>Support of p</w:t>
      </w:r>
      <w:r w:rsidR="002F7E32" w:rsidRPr="00F544BB">
        <w:rPr>
          <w:sz w:val="24"/>
          <w:szCs w:val="24"/>
        </w:rPr>
        <w:t>rimary care</w:t>
      </w:r>
      <w:r>
        <w:rPr>
          <w:sz w:val="24"/>
          <w:szCs w:val="24"/>
        </w:rPr>
        <w:t xml:space="preserve">, particularly so that care plans and most medical services are </w:t>
      </w:r>
      <w:r w:rsidR="00EE6112">
        <w:rPr>
          <w:sz w:val="24"/>
          <w:szCs w:val="24"/>
        </w:rPr>
        <w:t xml:space="preserve">well </w:t>
      </w:r>
      <w:r>
        <w:rPr>
          <w:sz w:val="24"/>
          <w:szCs w:val="24"/>
        </w:rPr>
        <w:t>coordinated</w:t>
      </w:r>
    </w:p>
    <w:p w:rsidR="002F7E32" w:rsidRPr="00F544BB" w:rsidRDefault="00D52FD9" w:rsidP="00CD0C3E">
      <w:pPr>
        <w:pStyle w:val="ListParagraph"/>
        <w:numPr>
          <w:ilvl w:val="0"/>
          <w:numId w:val="10"/>
        </w:numPr>
        <w:spacing w:after="120"/>
        <w:rPr>
          <w:sz w:val="24"/>
          <w:szCs w:val="24"/>
        </w:rPr>
      </w:pPr>
      <w:r>
        <w:rPr>
          <w:sz w:val="24"/>
          <w:szCs w:val="24"/>
        </w:rPr>
        <w:t>Identification, c</w:t>
      </w:r>
      <w:r w:rsidR="002F7E32" w:rsidRPr="00F544BB">
        <w:rPr>
          <w:sz w:val="24"/>
          <w:szCs w:val="24"/>
        </w:rPr>
        <w:t>ase management</w:t>
      </w:r>
      <w:r w:rsidR="00EE6112">
        <w:rPr>
          <w:sz w:val="24"/>
          <w:szCs w:val="24"/>
        </w:rPr>
        <w:t>,</w:t>
      </w:r>
      <w:r w:rsidR="002F7E32" w:rsidRPr="00F544BB">
        <w:rPr>
          <w:sz w:val="24"/>
          <w:szCs w:val="24"/>
        </w:rPr>
        <w:t xml:space="preserve"> and other supports for high needs and complex patients</w:t>
      </w:r>
    </w:p>
    <w:p w:rsidR="002F7E32" w:rsidRPr="00F544BB" w:rsidRDefault="002F7E32" w:rsidP="00CD0C3E">
      <w:pPr>
        <w:pStyle w:val="ListParagraph"/>
        <w:numPr>
          <w:ilvl w:val="0"/>
          <w:numId w:val="10"/>
        </w:numPr>
        <w:spacing w:after="120"/>
        <w:rPr>
          <w:sz w:val="24"/>
          <w:szCs w:val="24"/>
        </w:rPr>
      </w:pPr>
      <w:r w:rsidRPr="00F544BB">
        <w:rPr>
          <w:sz w:val="24"/>
          <w:szCs w:val="24"/>
        </w:rPr>
        <w:t xml:space="preserve">Episode improvements, including quality and efficiency improvements </w:t>
      </w:r>
    </w:p>
    <w:p w:rsidR="002F7E32" w:rsidRDefault="00BB4D58" w:rsidP="00CD0C3E">
      <w:pPr>
        <w:pStyle w:val="ListParagraph"/>
        <w:numPr>
          <w:ilvl w:val="0"/>
          <w:numId w:val="10"/>
        </w:numPr>
        <w:spacing w:after="120"/>
        <w:rPr>
          <w:sz w:val="24"/>
          <w:szCs w:val="24"/>
        </w:rPr>
      </w:pPr>
      <w:r>
        <w:rPr>
          <w:sz w:val="24"/>
          <w:szCs w:val="24"/>
        </w:rPr>
        <w:t>Patient-centered cl</w:t>
      </w:r>
      <w:r w:rsidR="002F7E32" w:rsidRPr="00F544BB">
        <w:rPr>
          <w:sz w:val="24"/>
          <w:szCs w:val="24"/>
        </w:rPr>
        <w:t>inical consolidation and modernization to improve quality and efficiency</w:t>
      </w:r>
    </w:p>
    <w:p w:rsidR="00BB4D58" w:rsidRPr="00F544BB" w:rsidRDefault="00BB4D58" w:rsidP="00CD0C3E">
      <w:pPr>
        <w:pStyle w:val="ListParagraph"/>
        <w:numPr>
          <w:ilvl w:val="0"/>
          <w:numId w:val="10"/>
        </w:numPr>
        <w:spacing w:after="120"/>
        <w:rPr>
          <w:sz w:val="24"/>
          <w:szCs w:val="24"/>
        </w:rPr>
      </w:pPr>
      <w:r>
        <w:rPr>
          <w:sz w:val="24"/>
          <w:szCs w:val="24"/>
        </w:rPr>
        <w:t>Consumer and community engagement strategies aimed at improving patient and family-centered care and communication.</w:t>
      </w:r>
    </w:p>
    <w:p w:rsidR="002F7E32" w:rsidRPr="00F544BB" w:rsidRDefault="002F7E32" w:rsidP="00CD0C3E">
      <w:pPr>
        <w:pStyle w:val="ListParagraph"/>
        <w:numPr>
          <w:ilvl w:val="0"/>
          <w:numId w:val="10"/>
        </w:numPr>
        <w:spacing w:after="120"/>
        <w:rPr>
          <w:sz w:val="24"/>
          <w:szCs w:val="24"/>
        </w:rPr>
      </w:pPr>
      <w:r w:rsidRPr="00F544BB">
        <w:rPr>
          <w:sz w:val="24"/>
          <w:szCs w:val="24"/>
        </w:rPr>
        <w:t>Integration of community resources relative to social determinants of health and activities of daily living</w:t>
      </w:r>
    </w:p>
    <w:p w:rsidR="0053056C" w:rsidRDefault="007B68E5" w:rsidP="00CD0C3E">
      <w:pPr>
        <w:spacing w:after="120"/>
        <w:rPr>
          <w:sz w:val="24"/>
          <w:szCs w:val="24"/>
        </w:rPr>
      </w:pPr>
      <w:r w:rsidRPr="007B68E5">
        <w:rPr>
          <w:sz w:val="24"/>
          <w:szCs w:val="24"/>
        </w:rPr>
        <w:t xml:space="preserve">Competitive transformation implementation </w:t>
      </w:r>
      <w:r w:rsidR="00EA4FC5">
        <w:rPr>
          <w:sz w:val="24"/>
          <w:szCs w:val="24"/>
        </w:rPr>
        <w:t xml:space="preserve">awards are intended </w:t>
      </w:r>
      <w:r w:rsidR="00EC06DA">
        <w:rPr>
          <w:sz w:val="24"/>
          <w:szCs w:val="24"/>
        </w:rPr>
        <w:t>as an add-on</w:t>
      </w:r>
      <w:r w:rsidRPr="007B68E5">
        <w:rPr>
          <w:sz w:val="24"/>
          <w:szCs w:val="24"/>
        </w:rPr>
        <w:t xml:space="preserve"> to </w:t>
      </w:r>
      <w:r w:rsidR="00EC06DA">
        <w:rPr>
          <w:sz w:val="24"/>
          <w:szCs w:val="24"/>
        </w:rPr>
        <w:t xml:space="preserve">approved </w:t>
      </w:r>
      <w:r w:rsidR="00EA4FC5">
        <w:rPr>
          <w:sz w:val="24"/>
          <w:szCs w:val="24"/>
        </w:rPr>
        <w:t xml:space="preserve">hospital </w:t>
      </w:r>
      <w:r w:rsidRPr="007B68E5">
        <w:rPr>
          <w:sz w:val="24"/>
          <w:szCs w:val="24"/>
        </w:rPr>
        <w:t>rates.  If awarded, enhanced GBR reporting will be expected</w:t>
      </w:r>
      <w:r w:rsidR="00EC06DA">
        <w:rPr>
          <w:sz w:val="24"/>
          <w:szCs w:val="24"/>
        </w:rPr>
        <w:t>.</w:t>
      </w:r>
      <w:r w:rsidRPr="007B68E5">
        <w:rPr>
          <w:sz w:val="24"/>
          <w:szCs w:val="24"/>
        </w:rPr>
        <w:t xml:space="preserve"> </w:t>
      </w:r>
      <w:r w:rsidR="00EC06DA">
        <w:rPr>
          <w:sz w:val="24"/>
          <w:szCs w:val="24"/>
        </w:rPr>
        <w:t>A</w:t>
      </w:r>
      <w:r w:rsidRPr="007B68E5">
        <w:rPr>
          <w:sz w:val="24"/>
          <w:szCs w:val="24"/>
        </w:rPr>
        <w:t xml:space="preserve">ctivities will be monitored and measured </w:t>
      </w:r>
      <w:r w:rsidR="00EC06DA">
        <w:rPr>
          <w:sz w:val="24"/>
          <w:szCs w:val="24"/>
        </w:rPr>
        <w:t xml:space="preserve">to </w:t>
      </w:r>
      <w:r w:rsidRPr="007B68E5">
        <w:rPr>
          <w:sz w:val="24"/>
          <w:szCs w:val="24"/>
        </w:rPr>
        <w:t>demonstrat</w:t>
      </w:r>
      <w:r w:rsidR="00EC06DA">
        <w:rPr>
          <w:sz w:val="24"/>
          <w:szCs w:val="24"/>
        </w:rPr>
        <w:t>e</w:t>
      </w:r>
      <w:r w:rsidRPr="007B68E5">
        <w:rPr>
          <w:sz w:val="24"/>
          <w:szCs w:val="24"/>
        </w:rPr>
        <w:t xml:space="preserve"> how funds have been used to improve performance and </w:t>
      </w:r>
      <w:r w:rsidR="00EC06DA">
        <w:rPr>
          <w:sz w:val="24"/>
          <w:szCs w:val="24"/>
        </w:rPr>
        <w:t xml:space="preserve">show </w:t>
      </w:r>
      <w:r w:rsidRPr="007B68E5">
        <w:rPr>
          <w:sz w:val="24"/>
          <w:szCs w:val="24"/>
        </w:rPr>
        <w:t xml:space="preserve">the impact </w:t>
      </w:r>
      <w:r w:rsidR="00973F0B">
        <w:rPr>
          <w:sz w:val="24"/>
          <w:szCs w:val="24"/>
        </w:rPr>
        <w:t>that</w:t>
      </w:r>
      <w:r w:rsidRPr="007B68E5">
        <w:rPr>
          <w:sz w:val="24"/>
          <w:szCs w:val="24"/>
        </w:rPr>
        <w:t xml:space="preserve"> the related programs and interventions have on </w:t>
      </w:r>
      <w:r w:rsidR="00B51170">
        <w:rPr>
          <w:sz w:val="24"/>
          <w:szCs w:val="24"/>
        </w:rPr>
        <w:t xml:space="preserve">core </w:t>
      </w:r>
      <w:r w:rsidRPr="007B68E5">
        <w:rPr>
          <w:sz w:val="24"/>
          <w:szCs w:val="24"/>
        </w:rPr>
        <w:t>outcomes</w:t>
      </w:r>
      <w:r w:rsidR="00973F0B">
        <w:rPr>
          <w:sz w:val="24"/>
          <w:szCs w:val="24"/>
        </w:rPr>
        <w:t>.</w:t>
      </w:r>
      <w:r w:rsidR="0053056C">
        <w:rPr>
          <w:sz w:val="24"/>
          <w:szCs w:val="24"/>
        </w:rPr>
        <w:t xml:space="preserve"> </w:t>
      </w:r>
    </w:p>
    <w:p w:rsidR="007B68E5" w:rsidRDefault="00604573" w:rsidP="00CD0C3E">
      <w:pPr>
        <w:spacing w:after="120"/>
        <w:rPr>
          <w:sz w:val="24"/>
          <w:szCs w:val="24"/>
        </w:rPr>
      </w:pPr>
      <w:r>
        <w:rPr>
          <w:sz w:val="24"/>
          <w:szCs w:val="24"/>
        </w:rPr>
        <w:t xml:space="preserve">Appendix A represents a </w:t>
      </w:r>
      <w:r w:rsidR="00973F0B">
        <w:rPr>
          <w:sz w:val="24"/>
          <w:szCs w:val="24"/>
        </w:rPr>
        <w:t xml:space="preserve">sample </w:t>
      </w:r>
      <w:r>
        <w:rPr>
          <w:sz w:val="24"/>
          <w:szCs w:val="24"/>
        </w:rPr>
        <w:t xml:space="preserve">of the type of metrics that </w:t>
      </w:r>
      <w:r w:rsidR="00EC06DA">
        <w:rPr>
          <w:sz w:val="24"/>
          <w:szCs w:val="24"/>
        </w:rPr>
        <w:t>may</w:t>
      </w:r>
      <w:r>
        <w:rPr>
          <w:sz w:val="24"/>
          <w:szCs w:val="24"/>
        </w:rPr>
        <w:t xml:space="preserve"> be required for reporting.</w:t>
      </w:r>
      <w:r w:rsidR="00973F0B">
        <w:rPr>
          <w:sz w:val="24"/>
          <w:szCs w:val="24"/>
        </w:rPr>
        <w:t xml:space="preserve"> Final reporting requirements will be issued following the award process</w:t>
      </w:r>
      <w:r w:rsidR="003D155B">
        <w:rPr>
          <w:sz w:val="24"/>
          <w:szCs w:val="24"/>
        </w:rPr>
        <w:t>.</w:t>
      </w:r>
    </w:p>
    <w:p w:rsidR="0029033D" w:rsidRPr="00CD0C3E" w:rsidRDefault="004558F4" w:rsidP="00CD0C3E">
      <w:pPr>
        <w:pStyle w:val="Heading2"/>
        <w:rPr>
          <w:b w:val="0"/>
        </w:rPr>
      </w:pPr>
      <w:r w:rsidRPr="00CD0C3E">
        <w:t>Application Requirements and Timeline</w:t>
      </w:r>
    </w:p>
    <w:p w:rsidR="004558F4" w:rsidRPr="00F77A2D" w:rsidRDefault="004558F4" w:rsidP="00CD0C3E">
      <w:pPr>
        <w:spacing w:after="120"/>
        <w:rPr>
          <w:b/>
          <w:sz w:val="24"/>
          <w:szCs w:val="24"/>
        </w:rPr>
      </w:pPr>
      <w:r w:rsidRPr="006121EF">
        <w:rPr>
          <w:sz w:val="24"/>
          <w:szCs w:val="24"/>
        </w:rPr>
        <w:t xml:space="preserve">Applications must be </w:t>
      </w:r>
      <w:r w:rsidR="00D746C0" w:rsidRPr="006121EF">
        <w:rPr>
          <w:sz w:val="24"/>
          <w:szCs w:val="24"/>
        </w:rPr>
        <w:t xml:space="preserve">single-spaced, </w:t>
      </w:r>
      <w:r w:rsidR="007A1FDC" w:rsidRPr="006121EF">
        <w:rPr>
          <w:sz w:val="24"/>
          <w:szCs w:val="24"/>
        </w:rPr>
        <w:t xml:space="preserve">single sided, </w:t>
      </w:r>
      <w:r w:rsidR="00D746C0" w:rsidRPr="006121EF">
        <w:rPr>
          <w:sz w:val="24"/>
          <w:szCs w:val="24"/>
        </w:rPr>
        <w:t xml:space="preserve">Calibri </w:t>
      </w:r>
      <w:r w:rsidR="007A1FDC" w:rsidRPr="006121EF">
        <w:rPr>
          <w:sz w:val="24"/>
          <w:szCs w:val="24"/>
        </w:rPr>
        <w:t>style and 11 point font size</w:t>
      </w:r>
      <w:r w:rsidR="00D746C0" w:rsidRPr="006121EF">
        <w:rPr>
          <w:sz w:val="24"/>
          <w:szCs w:val="24"/>
        </w:rPr>
        <w:t xml:space="preserve"> and </w:t>
      </w:r>
      <w:r w:rsidRPr="006121EF">
        <w:rPr>
          <w:sz w:val="24"/>
          <w:szCs w:val="24"/>
        </w:rPr>
        <w:t>submitted by the date below to</w:t>
      </w:r>
      <w:r w:rsidR="00EE7626" w:rsidRPr="006121EF">
        <w:rPr>
          <w:sz w:val="24"/>
          <w:szCs w:val="24"/>
        </w:rPr>
        <w:t xml:space="preserve"> </w:t>
      </w:r>
      <w:hyperlink r:id="rId8" w:history="1">
        <w:r w:rsidR="00EE7626" w:rsidRPr="006121EF">
          <w:rPr>
            <w:rStyle w:val="Hyperlink"/>
            <w:sz w:val="24"/>
            <w:szCs w:val="24"/>
          </w:rPr>
          <w:t>hscrc.rfp-implement@maryland.gov</w:t>
        </w:r>
      </w:hyperlink>
      <w:r w:rsidR="00EE7626" w:rsidRPr="006121EF">
        <w:rPr>
          <w:sz w:val="24"/>
          <w:szCs w:val="24"/>
        </w:rPr>
        <w:t>.</w:t>
      </w:r>
      <w:r w:rsidRPr="006121EF">
        <w:rPr>
          <w:sz w:val="24"/>
          <w:szCs w:val="24"/>
        </w:rPr>
        <w:t xml:space="preserve"> A </w:t>
      </w:r>
      <w:r w:rsidR="00DC602B">
        <w:rPr>
          <w:sz w:val="24"/>
          <w:szCs w:val="24"/>
        </w:rPr>
        <w:t>review</w:t>
      </w:r>
      <w:r w:rsidRPr="006121EF">
        <w:rPr>
          <w:sz w:val="24"/>
          <w:szCs w:val="24"/>
        </w:rPr>
        <w:t xml:space="preserve"> committee</w:t>
      </w:r>
      <w:r w:rsidR="00DC602B">
        <w:rPr>
          <w:sz w:val="24"/>
          <w:szCs w:val="24"/>
        </w:rPr>
        <w:t xml:space="preserve"> </w:t>
      </w:r>
      <w:r w:rsidR="00906174">
        <w:rPr>
          <w:sz w:val="24"/>
          <w:szCs w:val="24"/>
        </w:rPr>
        <w:t>a</w:t>
      </w:r>
      <w:r w:rsidR="00DC602B">
        <w:rPr>
          <w:sz w:val="24"/>
          <w:szCs w:val="24"/>
        </w:rPr>
        <w:t xml:space="preserve">ppointed by the </w:t>
      </w:r>
      <w:r w:rsidR="00906174">
        <w:rPr>
          <w:sz w:val="24"/>
          <w:szCs w:val="24"/>
        </w:rPr>
        <w:t>HSCRC</w:t>
      </w:r>
      <w:r w:rsidRPr="006121EF">
        <w:rPr>
          <w:sz w:val="24"/>
          <w:szCs w:val="24"/>
        </w:rPr>
        <w:t xml:space="preserve"> will review the applications. Funding guidelines and </w:t>
      </w:r>
      <w:r w:rsidR="00DD641B" w:rsidRPr="006121EF">
        <w:rPr>
          <w:sz w:val="24"/>
          <w:szCs w:val="24"/>
        </w:rPr>
        <w:t>selection criteria</w:t>
      </w:r>
      <w:r w:rsidR="00D746C0" w:rsidRPr="006121EF">
        <w:rPr>
          <w:sz w:val="24"/>
          <w:szCs w:val="24"/>
        </w:rPr>
        <w:t>, listed on page 4 and page</w:t>
      </w:r>
      <w:r w:rsidR="00EE7626" w:rsidRPr="006121EF">
        <w:rPr>
          <w:sz w:val="24"/>
          <w:szCs w:val="24"/>
        </w:rPr>
        <w:t>s 8-10, respectively,</w:t>
      </w:r>
      <w:r w:rsidRPr="006121EF">
        <w:rPr>
          <w:sz w:val="24"/>
          <w:szCs w:val="24"/>
        </w:rPr>
        <w:t xml:space="preserve"> will be used by the committee to recommend funding decisions. </w:t>
      </w:r>
    </w:p>
    <w:p w:rsidR="0024167A" w:rsidRPr="00395B63" w:rsidRDefault="0029033D" w:rsidP="00CD0C3E">
      <w:pPr>
        <w:pStyle w:val="ListParagraph"/>
        <w:numPr>
          <w:ilvl w:val="0"/>
          <w:numId w:val="24"/>
        </w:numPr>
        <w:spacing w:after="120"/>
      </w:pPr>
      <w:r w:rsidRPr="0029033D">
        <w:rPr>
          <w:sz w:val="24"/>
          <w:szCs w:val="24"/>
        </w:rPr>
        <w:t>Funding announcement:</w:t>
      </w:r>
      <w:r w:rsidRPr="0029033D">
        <w:rPr>
          <w:sz w:val="24"/>
          <w:szCs w:val="24"/>
        </w:rPr>
        <w:tab/>
      </w:r>
      <w:r>
        <w:rPr>
          <w:sz w:val="24"/>
          <w:szCs w:val="24"/>
        </w:rPr>
        <w:tab/>
      </w:r>
      <w:r w:rsidR="00430B89">
        <w:rPr>
          <w:sz w:val="24"/>
          <w:szCs w:val="24"/>
        </w:rPr>
        <w:t>August 28, 2015</w:t>
      </w:r>
    </w:p>
    <w:p w:rsidR="00F544BB" w:rsidRPr="00B25A0D" w:rsidRDefault="0029033D" w:rsidP="00CD0C3E">
      <w:pPr>
        <w:pStyle w:val="ListParagraph"/>
        <w:numPr>
          <w:ilvl w:val="0"/>
          <w:numId w:val="24"/>
        </w:numPr>
        <w:spacing w:after="120"/>
        <w:rPr>
          <w:color w:val="FF0000"/>
          <w:sz w:val="24"/>
          <w:szCs w:val="24"/>
        </w:rPr>
      </w:pPr>
      <w:r w:rsidRPr="00B25A0D">
        <w:rPr>
          <w:color w:val="FF0000"/>
          <w:sz w:val="24"/>
          <w:szCs w:val="24"/>
        </w:rPr>
        <w:t>Application deadline</w:t>
      </w:r>
      <w:r w:rsidR="00F544BB" w:rsidRPr="00B25A0D">
        <w:rPr>
          <w:color w:val="FF0000"/>
          <w:sz w:val="24"/>
          <w:szCs w:val="24"/>
        </w:rPr>
        <w:t xml:space="preserve">: </w:t>
      </w:r>
      <w:r w:rsidRPr="00B25A0D">
        <w:rPr>
          <w:color w:val="FF0000"/>
          <w:sz w:val="24"/>
          <w:szCs w:val="24"/>
        </w:rPr>
        <w:tab/>
      </w:r>
      <w:r w:rsidRPr="00B25A0D">
        <w:rPr>
          <w:color w:val="FF0000"/>
          <w:sz w:val="24"/>
          <w:szCs w:val="24"/>
        </w:rPr>
        <w:tab/>
      </w:r>
      <w:r w:rsidRPr="00B25A0D">
        <w:rPr>
          <w:color w:val="FF0000"/>
          <w:sz w:val="24"/>
          <w:szCs w:val="24"/>
        </w:rPr>
        <w:tab/>
      </w:r>
      <w:r w:rsidR="00217AC0" w:rsidRPr="00B25A0D">
        <w:rPr>
          <w:color w:val="FF0000"/>
          <w:sz w:val="24"/>
          <w:szCs w:val="24"/>
        </w:rPr>
        <w:t xml:space="preserve">December </w:t>
      </w:r>
      <w:r w:rsidR="00B25A0D" w:rsidRPr="00B25A0D">
        <w:rPr>
          <w:color w:val="FF0000"/>
          <w:sz w:val="24"/>
          <w:szCs w:val="24"/>
        </w:rPr>
        <w:t>21</w:t>
      </w:r>
      <w:r w:rsidR="00F544BB" w:rsidRPr="00B25A0D">
        <w:rPr>
          <w:color w:val="FF0000"/>
          <w:sz w:val="24"/>
          <w:szCs w:val="24"/>
        </w:rPr>
        <w:t>, 2015</w:t>
      </w:r>
      <w:r w:rsidR="00692876" w:rsidRPr="00B25A0D">
        <w:rPr>
          <w:color w:val="FF0000"/>
          <w:sz w:val="24"/>
          <w:szCs w:val="24"/>
        </w:rPr>
        <w:t xml:space="preserve">, 11:59 pm </w:t>
      </w:r>
    </w:p>
    <w:p w:rsidR="0029033D" w:rsidRPr="00B56374" w:rsidRDefault="0029033D" w:rsidP="00CD0C3E">
      <w:pPr>
        <w:pStyle w:val="ListParagraph"/>
        <w:numPr>
          <w:ilvl w:val="0"/>
          <w:numId w:val="24"/>
        </w:numPr>
        <w:spacing w:after="120"/>
        <w:rPr>
          <w:color w:val="FF0000"/>
          <w:sz w:val="24"/>
          <w:szCs w:val="24"/>
        </w:rPr>
      </w:pPr>
      <w:r w:rsidRPr="00B56374">
        <w:rPr>
          <w:color w:val="FF0000"/>
          <w:sz w:val="24"/>
          <w:szCs w:val="24"/>
        </w:rPr>
        <w:t>Anticipated award announcement:</w:t>
      </w:r>
      <w:r w:rsidRPr="00B56374">
        <w:rPr>
          <w:color w:val="FF0000"/>
          <w:sz w:val="24"/>
          <w:szCs w:val="24"/>
        </w:rPr>
        <w:tab/>
      </w:r>
      <w:r w:rsidR="00B25A0D" w:rsidRPr="00B56374">
        <w:rPr>
          <w:color w:val="FF0000"/>
          <w:sz w:val="24"/>
          <w:szCs w:val="24"/>
        </w:rPr>
        <w:t>February</w:t>
      </w:r>
      <w:r w:rsidRPr="00B56374">
        <w:rPr>
          <w:color w:val="FF0000"/>
          <w:sz w:val="24"/>
          <w:szCs w:val="24"/>
        </w:rPr>
        <w:t xml:space="preserve"> 201</w:t>
      </w:r>
      <w:r w:rsidR="00924763" w:rsidRPr="00B56374">
        <w:rPr>
          <w:color w:val="FF0000"/>
          <w:sz w:val="24"/>
          <w:szCs w:val="24"/>
        </w:rPr>
        <w:t>6</w:t>
      </w:r>
      <w:bookmarkStart w:id="0" w:name="_GoBack"/>
      <w:bookmarkEnd w:id="0"/>
    </w:p>
    <w:p w:rsidR="0037385E" w:rsidRDefault="00692876" w:rsidP="00CD0C3E">
      <w:pPr>
        <w:spacing w:after="120"/>
        <w:rPr>
          <w:sz w:val="24"/>
          <w:szCs w:val="24"/>
        </w:rPr>
      </w:pPr>
      <w:r>
        <w:rPr>
          <w:sz w:val="24"/>
          <w:szCs w:val="24"/>
        </w:rPr>
        <w:t xml:space="preserve">Sections 1-6 </w:t>
      </w:r>
      <w:r w:rsidR="00035C95">
        <w:rPr>
          <w:sz w:val="24"/>
          <w:szCs w:val="24"/>
        </w:rPr>
        <w:t xml:space="preserve">and </w:t>
      </w:r>
      <w:r w:rsidR="00FB1C0F">
        <w:rPr>
          <w:sz w:val="24"/>
          <w:szCs w:val="24"/>
        </w:rPr>
        <w:t>8-</w:t>
      </w:r>
      <w:r w:rsidR="00035C95">
        <w:rPr>
          <w:sz w:val="24"/>
          <w:szCs w:val="24"/>
        </w:rPr>
        <w:t xml:space="preserve">9 </w:t>
      </w:r>
      <w:r>
        <w:rPr>
          <w:sz w:val="24"/>
          <w:szCs w:val="24"/>
        </w:rPr>
        <w:t xml:space="preserve">of the Narrative must be submitted in Word or similar formats.  </w:t>
      </w:r>
    </w:p>
    <w:p w:rsidR="0037385E" w:rsidRDefault="00692876" w:rsidP="00CD0C3E">
      <w:pPr>
        <w:spacing w:after="120"/>
        <w:rPr>
          <w:sz w:val="24"/>
          <w:szCs w:val="24"/>
        </w:rPr>
      </w:pPr>
      <w:r>
        <w:rPr>
          <w:sz w:val="24"/>
          <w:szCs w:val="24"/>
        </w:rPr>
        <w:t>Section 7 of the Narrative (Implementation Work</w:t>
      </w:r>
      <w:r w:rsidR="00035C95">
        <w:rPr>
          <w:sz w:val="24"/>
          <w:szCs w:val="24"/>
        </w:rPr>
        <w:t xml:space="preserve"> P</w:t>
      </w:r>
      <w:r>
        <w:rPr>
          <w:sz w:val="24"/>
          <w:szCs w:val="24"/>
        </w:rPr>
        <w:t xml:space="preserve">lan) </w:t>
      </w:r>
      <w:r w:rsidR="00035C95">
        <w:rPr>
          <w:sz w:val="24"/>
          <w:szCs w:val="24"/>
        </w:rPr>
        <w:t xml:space="preserve">must be submitted in </w:t>
      </w:r>
      <w:r w:rsidR="00CD0C3E">
        <w:rPr>
          <w:sz w:val="24"/>
          <w:szCs w:val="24"/>
        </w:rPr>
        <w:t xml:space="preserve">a PDF of Microsoft Excel or a common </w:t>
      </w:r>
      <w:r w:rsidR="00035C95">
        <w:rPr>
          <w:sz w:val="24"/>
          <w:szCs w:val="24"/>
        </w:rPr>
        <w:t xml:space="preserve">project management software, such as Microsoft project. </w:t>
      </w:r>
    </w:p>
    <w:p w:rsidR="00915F38" w:rsidRPr="00CD0C3E" w:rsidRDefault="005A48C6" w:rsidP="00CD0C3E">
      <w:pPr>
        <w:pStyle w:val="Heading2"/>
        <w:rPr>
          <w:b w:val="0"/>
        </w:rPr>
      </w:pPr>
      <w:r w:rsidRPr="00CD0C3E">
        <w:lastRenderedPageBreak/>
        <w:t xml:space="preserve">Contact Information </w:t>
      </w:r>
    </w:p>
    <w:p w:rsidR="00217AC0" w:rsidRPr="00915F38" w:rsidRDefault="00915F38" w:rsidP="00CD0C3E">
      <w:pPr>
        <w:spacing w:after="120"/>
        <w:rPr>
          <w:sz w:val="24"/>
          <w:szCs w:val="24"/>
        </w:rPr>
      </w:pPr>
      <w:r w:rsidRPr="00915F38">
        <w:rPr>
          <w:sz w:val="24"/>
          <w:szCs w:val="24"/>
        </w:rPr>
        <w:t>During the application process, questions and answers will be posted on the HSCRC website. Additional questions may be submitted to</w:t>
      </w:r>
      <w:r w:rsidR="002A0C66">
        <w:rPr>
          <w:sz w:val="24"/>
          <w:szCs w:val="24"/>
        </w:rPr>
        <w:t>:</w:t>
      </w:r>
      <w:r w:rsidR="005A48C6">
        <w:rPr>
          <w:sz w:val="24"/>
          <w:szCs w:val="24"/>
        </w:rPr>
        <w:t xml:space="preserve"> </w:t>
      </w:r>
      <w:r w:rsidRPr="00915F38">
        <w:rPr>
          <w:sz w:val="24"/>
          <w:szCs w:val="24"/>
        </w:rPr>
        <w:t xml:space="preserve"> </w:t>
      </w:r>
    </w:p>
    <w:p w:rsidR="005A48C6" w:rsidRPr="004D4218" w:rsidRDefault="00CD0C3E" w:rsidP="00CD0C3E">
      <w:pPr>
        <w:spacing w:after="0"/>
        <w:rPr>
          <w:sz w:val="24"/>
          <w:szCs w:val="24"/>
        </w:rPr>
      </w:pPr>
      <w:r>
        <w:rPr>
          <w:sz w:val="24"/>
          <w:szCs w:val="24"/>
        </w:rPr>
        <w:t>Steve Ports</w:t>
      </w:r>
    </w:p>
    <w:p w:rsidR="005A48C6" w:rsidRDefault="005A48C6" w:rsidP="00CD0C3E">
      <w:pPr>
        <w:spacing w:after="0"/>
        <w:rPr>
          <w:sz w:val="24"/>
          <w:szCs w:val="24"/>
        </w:rPr>
      </w:pPr>
      <w:r w:rsidRPr="004D4218">
        <w:rPr>
          <w:sz w:val="24"/>
          <w:szCs w:val="24"/>
        </w:rPr>
        <w:t xml:space="preserve">Director, Center for Engagement and Alignment </w:t>
      </w:r>
    </w:p>
    <w:p w:rsidR="005A48C6" w:rsidRDefault="005A48C6" w:rsidP="00CD0C3E">
      <w:pPr>
        <w:spacing w:after="0"/>
        <w:rPr>
          <w:sz w:val="24"/>
          <w:szCs w:val="24"/>
        </w:rPr>
      </w:pPr>
      <w:r w:rsidRPr="004D4218">
        <w:rPr>
          <w:sz w:val="24"/>
          <w:szCs w:val="24"/>
        </w:rPr>
        <w:t xml:space="preserve">Maryland Health Services Cost Review Commission </w:t>
      </w:r>
    </w:p>
    <w:p w:rsidR="005A48C6" w:rsidRPr="004D4218" w:rsidRDefault="005A48C6" w:rsidP="00CD0C3E">
      <w:pPr>
        <w:spacing w:after="0"/>
        <w:rPr>
          <w:sz w:val="24"/>
          <w:szCs w:val="24"/>
        </w:rPr>
      </w:pPr>
      <w:r w:rsidRPr="004D4218">
        <w:rPr>
          <w:sz w:val="24"/>
          <w:szCs w:val="24"/>
        </w:rPr>
        <w:t>Phone: (410) 764-2591</w:t>
      </w:r>
    </w:p>
    <w:p w:rsidR="007F6EF3" w:rsidRDefault="005A48C6" w:rsidP="00CD0C3E">
      <w:pPr>
        <w:spacing w:after="0"/>
        <w:rPr>
          <w:rStyle w:val="Hyperlink"/>
        </w:rPr>
      </w:pPr>
      <w:r w:rsidRPr="004D4218">
        <w:rPr>
          <w:sz w:val="24"/>
          <w:szCs w:val="24"/>
        </w:rPr>
        <w:t xml:space="preserve">Email: </w:t>
      </w:r>
      <w:hyperlink r:id="rId9" w:history="1">
        <w:r w:rsidR="00EE7626">
          <w:rPr>
            <w:rStyle w:val="Hyperlink"/>
          </w:rPr>
          <w:t>hscrc.rfp-implement@maryland.gov</w:t>
        </w:r>
      </w:hyperlink>
    </w:p>
    <w:p w:rsidR="00F20E51" w:rsidRDefault="00F20E51" w:rsidP="00CD0C3E">
      <w:pPr>
        <w:pStyle w:val="Heading2"/>
        <w:spacing w:before="240"/>
      </w:pPr>
      <w:r w:rsidRPr="00F20E51">
        <w:t>Eligibility Criteria</w:t>
      </w:r>
    </w:p>
    <w:p w:rsidR="00F84397" w:rsidRDefault="00857F07" w:rsidP="00CD0C3E">
      <w:pPr>
        <w:spacing w:after="120"/>
        <w:rPr>
          <w:sz w:val="24"/>
          <w:szCs w:val="24"/>
        </w:rPr>
      </w:pPr>
      <w:r>
        <w:rPr>
          <w:sz w:val="24"/>
          <w:szCs w:val="24"/>
        </w:rPr>
        <w:t>Applications</w:t>
      </w:r>
      <w:r w:rsidR="00101766">
        <w:rPr>
          <w:sz w:val="24"/>
          <w:szCs w:val="24"/>
        </w:rPr>
        <w:t xml:space="preserve"> for a competitive transformation implementation award</w:t>
      </w:r>
      <w:r>
        <w:rPr>
          <w:sz w:val="24"/>
          <w:szCs w:val="24"/>
        </w:rPr>
        <w:t xml:space="preserve"> </w:t>
      </w:r>
      <w:r w:rsidR="00EC06DA">
        <w:rPr>
          <w:sz w:val="24"/>
          <w:szCs w:val="24"/>
        </w:rPr>
        <w:t>may</w:t>
      </w:r>
      <w:r>
        <w:rPr>
          <w:sz w:val="24"/>
          <w:szCs w:val="24"/>
        </w:rPr>
        <w:t xml:space="preserve"> be submitted by:</w:t>
      </w:r>
      <w:r w:rsidR="00101766">
        <w:rPr>
          <w:sz w:val="24"/>
          <w:szCs w:val="24"/>
        </w:rPr>
        <w:t xml:space="preserve"> </w:t>
      </w:r>
    </w:p>
    <w:p w:rsidR="00F84397" w:rsidRPr="00CD0C3E" w:rsidRDefault="00101766" w:rsidP="00CD0C3E">
      <w:pPr>
        <w:pStyle w:val="ListParagraph"/>
        <w:numPr>
          <w:ilvl w:val="0"/>
          <w:numId w:val="38"/>
        </w:numPr>
        <w:spacing w:after="120"/>
        <w:rPr>
          <w:sz w:val="24"/>
          <w:szCs w:val="24"/>
        </w:rPr>
      </w:pPr>
      <w:r w:rsidRPr="00CD0C3E">
        <w:rPr>
          <w:sz w:val="24"/>
          <w:szCs w:val="24"/>
        </w:rPr>
        <w:t>An individual hospital</w:t>
      </w:r>
    </w:p>
    <w:p w:rsidR="00F84397" w:rsidRPr="00CD0C3E" w:rsidRDefault="00101766" w:rsidP="00CD0C3E">
      <w:pPr>
        <w:pStyle w:val="ListParagraph"/>
        <w:numPr>
          <w:ilvl w:val="0"/>
          <w:numId w:val="38"/>
        </w:numPr>
        <w:spacing w:after="120"/>
        <w:rPr>
          <w:sz w:val="24"/>
          <w:szCs w:val="24"/>
        </w:rPr>
      </w:pPr>
      <w:r w:rsidRPr="00CD0C3E">
        <w:rPr>
          <w:sz w:val="24"/>
          <w:szCs w:val="24"/>
        </w:rPr>
        <w:t xml:space="preserve">Multiple hospitals </w:t>
      </w:r>
      <w:r w:rsidR="00857F07" w:rsidRPr="00CD0C3E">
        <w:rPr>
          <w:sz w:val="24"/>
          <w:szCs w:val="24"/>
        </w:rPr>
        <w:t>as</w:t>
      </w:r>
      <w:r w:rsidRPr="00CD0C3E">
        <w:rPr>
          <w:sz w:val="24"/>
          <w:szCs w:val="24"/>
        </w:rPr>
        <w:t xml:space="preserve"> lead applicants </w:t>
      </w:r>
    </w:p>
    <w:p w:rsidR="00101766" w:rsidRPr="00CD0C3E" w:rsidRDefault="00101766" w:rsidP="00CD0C3E">
      <w:pPr>
        <w:pStyle w:val="ListParagraph"/>
        <w:numPr>
          <w:ilvl w:val="0"/>
          <w:numId w:val="38"/>
        </w:numPr>
        <w:spacing w:after="120"/>
        <w:rPr>
          <w:sz w:val="24"/>
          <w:szCs w:val="24"/>
        </w:rPr>
      </w:pPr>
      <w:r w:rsidRPr="00CD0C3E">
        <w:rPr>
          <w:sz w:val="24"/>
          <w:szCs w:val="24"/>
        </w:rPr>
        <w:t xml:space="preserve">A hospital participant from a regional partnership </w:t>
      </w:r>
      <w:r w:rsidR="00857F07" w:rsidRPr="00CD0C3E">
        <w:rPr>
          <w:sz w:val="24"/>
          <w:szCs w:val="24"/>
        </w:rPr>
        <w:t>as</w:t>
      </w:r>
      <w:r w:rsidRPr="00CD0C3E">
        <w:rPr>
          <w:sz w:val="24"/>
          <w:szCs w:val="24"/>
        </w:rPr>
        <w:t xml:space="preserve"> a lead applicant apply</w:t>
      </w:r>
      <w:r w:rsidR="00857F07" w:rsidRPr="00CD0C3E">
        <w:rPr>
          <w:sz w:val="24"/>
          <w:szCs w:val="24"/>
        </w:rPr>
        <w:t>ing</w:t>
      </w:r>
      <w:r w:rsidRPr="00CD0C3E">
        <w:rPr>
          <w:sz w:val="24"/>
          <w:szCs w:val="24"/>
        </w:rPr>
        <w:t xml:space="preserve"> on behalf of </w:t>
      </w:r>
      <w:r w:rsidR="00857F07" w:rsidRPr="00CD0C3E">
        <w:rPr>
          <w:sz w:val="24"/>
          <w:szCs w:val="24"/>
        </w:rPr>
        <w:t>a</w:t>
      </w:r>
      <w:r w:rsidRPr="00CD0C3E">
        <w:rPr>
          <w:sz w:val="24"/>
          <w:szCs w:val="24"/>
        </w:rPr>
        <w:t xml:space="preserve"> regional partnership</w:t>
      </w:r>
    </w:p>
    <w:p w:rsidR="00857F07" w:rsidRDefault="00857F07" w:rsidP="00CD0C3E">
      <w:pPr>
        <w:spacing w:after="120"/>
        <w:rPr>
          <w:sz w:val="24"/>
          <w:szCs w:val="24"/>
        </w:rPr>
      </w:pPr>
      <w:r>
        <w:rPr>
          <w:sz w:val="24"/>
          <w:szCs w:val="24"/>
        </w:rPr>
        <w:t xml:space="preserve">All applications </w:t>
      </w:r>
      <w:r w:rsidR="00101766" w:rsidRPr="00857F07">
        <w:rPr>
          <w:b/>
          <w:i/>
          <w:sz w:val="24"/>
          <w:szCs w:val="24"/>
        </w:rPr>
        <w:t>must</w:t>
      </w:r>
      <w:r w:rsidR="00101766" w:rsidRPr="00497F41">
        <w:rPr>
          <w:sz w:val="24"/>
          <w:szCs w:val="24"/>
        </w:rPr>
        <w:t xml:space="preserve"> include </w:t>
      </w:r>
      <w:r w:rsidR="00604573">
        <w:rPr>
          <w:sz w:val="24"/>
          <w:szCs w:val="24"/>
        </w:rPr>
        <w:t>(</w:t>
      </w:r>
      <w:r>
        <w:rPr>
          <w:sz w:val="24"/>
          <w:szCs w:val="24"/>
        </w:rPr>
        <w:t xml:space="preserve">in addition to </w:t>
      </w:r>
      <w:r w:rsidR="00604573">
        <w:rPr>
          <w:sz w:val="24"/>
          <w:szCs w:val="24"/>
        </w:rPr>
        <w:t>the</w:t>
      </w:r>
      <w:r w:rsidR="00857F46">
        <w:rPr>
          <w:sz w:val="24"/>
          <w:szCs w:val="24"/>
        </w:rPr>
        <w:t xml:space="preserve"> lead</w:t>
      </w:r>
      <w:r>
        <w:rPr>
          <w:sz w:val="24"/>
          <w:szCs w:val="24"/>
        </w:rPr>
        <w:t xml:space="preserve"> hospital or hospitals</w:t>
      </w:r>
      <w:r w:rsidR="00857F46">
        <w:rPr>
          <w:sz w:val="24"/>
          <w:szCs w:val="24"/>
        </w:rPr>
        <w:t>) collaborating</w:t>
      </w:r>
      <w:r>
        <w:rPr>
          <w:sz w:val="24"/>
          <w:szCs w:val="24"/>
        </w:rPr>
        <w:t xml:space="preserve"> providers, </w:t>
      </w:r>
      <w:r w:rsidR="00101766" w:rsidRPr="00497F41">
        <w:rPr>
          <w:sz w:val="24"/>
          <w:szCs w:val="24"/>
        </w:rPr>
        <w:t>physicians</w:t>
      </w:r>
      <w:r w:rsidR="00121FF7">
        <w:rPr>
          <w:sz w:val="24"/>
          <w:szCs w:val="24"/>
        </w:rPr>
        <w:t>,</w:t>
      </w:r>
      <w:r>
        <w:rPr>
          <w:sz w:val="24"/>
          <w:szCs w:val="24"/>
        </w:rPr>
        <w:t xml:space="preserve"> or other community based organizations.</w:t>
      </w:r>
      <w:r w:rsidR="00101766" w:rsidRPr="00497F41">
        <w:rPr>
          <w:sz w:val="24"/>
          <w:szCs w:val="24"/>
        </w:rPr>
        <w:t xml:space="preserve"> </w:t>
      </w:r>
      <w:r>
        <w:rPr>
          <w:sz w:val="24"/>
          <w:szCs w:val="24"/>
        </w:rPr>
        <w:t xml:space="preserve">Applications that include a broad </w:t>
      </w:r>
      <w:r w:rsidR="00EA4FC5">
        <w:rPr>
          <w:sz w:val="24"/>
          <w:szCs w:val="24"/>
        </w:rPr>
        <w:t xml:space="preserve">and meaningful </w:t>
      </w:r>
      <w:r>
        <w:rPr>
          <w:sz w:val="24"/>
          <w:szCs w:val="24"/>
        </w:rPr>
        <w:t>network</w:t>
      </w:r>
      <w:r w:rsidR="00BB4D58">
        <w:rPr>
          <w:sz w:val="24"/>
          <w:szCs w:val="24"/>
        </w:rPr>
        <w:t xml:space="preserve">, including patient and consumer representatives, </w:t>
      </w:r>
      <w:r>
        <w:rPr>
          <w:sz w:val="24"/>
          <w:szCs w:val="24"/>
        </w:rPr>
        <w:t xml:space="preserve">will receive additional points when scored. </w:t>
      </w:r>
    </w:p>
    <w:p w:rsidR="008839BB" w:rsidRDefault="00F6291B" w:rsidP="00CD0C3E">
      <w:pPr>
        <w:spacing w:after="120"/>
        <w:rPr>
          <w:sz w:val="24"/>
          <w:szCs w:val="24"/>
        </w:rPr>
      </w:pPr>
      <w:r>
        <w:rPr>
          <w:sz w:val="24"/>
          <w:szCs w:val="24"/>
        </w:rPr>
        <w:t>A</w:t>
      </w:r>
      <w:r w:rsidR="00101766" w:rsidRPr="00497F41">
        <w:rPr>
          <w:sz w:val="24"/>
          <w:szCs w:val="24"/>
        </w:rPr>
        <w:t xml:space="preserve"> hospital </w:t>
      </w:r>
      <w:r>
        <w:rPr>
          <w:sz w:val="24"/>
          <w:szCs w:val="24"/>
        </w:rPr>
        <w:t xml:space="preserve">may </w:t>
      </w:r>
      <w:r w:rsidR="008839BB">
        <w:rPr>
          <w:sz w:val="24"/>
          <w:szCs w:val="24"/>
        </w:rPr>
        <w:t>participate in multiple applications</w:t>
      </w:r>
      <w:r w:rsidR="00101766" w:rsidRPr="00497F41">
        <w:rPr>
          <w:sz w:val="24"/>
          <w:szCs w:val="24"/>
        </w:rPr>
        <w:t xml:space="preserve"> as a single entity</w:t>
      </w:r>
      <w:r w:rsidR="006F5972">
        <w:rPr>
          <w:sz w:val="24"/>
          <w:szCs w:val="24"/>
        </w:rPr>
        <w:t xml:space="preserve"> or</w:t>
      </w:r>
      <w:r w:rsidR="00101766" w:rsidRPr="00497F41">
        <w:rPr>
          <w:sz w:val="24"/>
          <w:szCs w:val="24"/>
        </w:rPr>
        <w:t xml:space="preserve"> as part of a R</w:t>
      </w:r>
      <w:r>
        <w:rPr>
          <w:sz w:val="24"/>
          <w:szCs w:val="24"/>
        </w:rPr>
        <w:t xml:space="preserve">egional </w:t>
      </w:r>
      <w:r w:rsidR="00101766" w:rsidRPr="00497F41">
        <w:rPr>
          <w:sz w:val="24"/>
          <w:szCs w:val="24"/>
        </w:rPr>
        <w:t>P</w:t>
      </w:r>
      <w:r>
        <w:rPr>
          <w:sz w:val="24"/>
          <w:szCs w:val="24"/>
        </w:rPr>
        <w:t>artnership or other collaboration.</w:t>
      </w:r>
      <w:r w:rsidR="00101766" w:rsidRPr="00497F41">
        <w:rPr>
          <w:sz w:val="24"/>
          <w:szCs w:val="24"/>
        </w:rPr>
        <w:t xml:space="preserve"> </w:t>
      </w:r>
      <w:r>
        <w:rPr>
          <w:sz w:val="24"/>
          <w:szCs w:val="24"/>
        </w:rPr>
        <w:t>E</w:t>
      </w:r>
      <w:r w:rsidR="00101766" w:rsidRPr="00497F41">
        <w:rPr>
          <w:sz w:val="24"/>
          <w:szCs w:val="24"/>
        </w:rPr>
        <w:t>ach application w</w:t>
      </w:r>
      <w:r>
        <w:rPr>
          <w:sz w:val="24"/>
          <w:szCs w:val="24"/>
        </w:rPr>
        <w:t>ill</w:t>
      </w:r>
      <w:r w:rsidR="00101766" w:rsidRPr="00497F41">
        <w:rPr>
          <w:sz w:val="24"/>
          <w:szCs w:val="24"/>
        </w:rPr>
        <w:t xml:space="preserve"> need to demonstrate how </w:t>
      </w:r>
      <w:r>
        <w:rPr>
          <w:sz w:val="24"/>
          <w:szCs w:val="24"/>
        </w:rPr>
        <w:t>plans and resources</w:t>
      </w:r>
      <w:r w:rsidR="00101766" w:rsidRPr="00497F41">
        <w:rPr>
          <w:sz w:val="24"/>
          <w:szCs w:val="24"/>
        </w:rPr>
        <w:t xml:space="preserve"> complement </w:t>
      </w:r>
      <w:r w:rsidR="008F1783">
        <w:rPr>
          <w:sz w:val="24"/>
          <w:szCs w:val="24"/>
        </w:rPr>
        <w:t xml:space="preserve">one another. Applications must </w:t>
      </w:r>
      <w:r w:rsidR="00121FF7">
        <w:rPr>
          <w:sz w:val="24"/>
          <w:szCs w:val="24"/>
        </w:rPr>
        <w:t xml:space="preserve">be </w:t>
      </w:r>
      <w:r w:rsidR="008F1783">
        <w:rPr>
          <w:sz w:val="24"/>
          <w:szCs w:val="24"/>
        </w:rPr>
        <w:t>able to describe how they are distinct from one another and</w:t>
      </w:r>
      <w:r w:rsidR="00B500E5">
        <w:rPr>
          <w:sz w:val="24"/>
          <w:szCs w:val="24"/>
        </w:rPr>
        <w:t>,</w:t>
      </w:r>
      <w:r w:rsidR="008F1783">
        <w:rPr>
          <w:sz w:val="24"/>
          <w:szCs w:val="24"/>
        </w:rPr>
        <w:t xml:space="preserve"> if there is overlap</w:t>
      </w:r>
      <w:r w:rsidR="00B500E5">
        <w:rPr>
          <w:sz w:val="24"/>
          <w:szCs w:val="24"/>
        </w:rPr>
        <w:t>,</w:t>
      </w:r>
      <w:r w:rsidR="00121FF7">
        <w:rPr>
          <w:sz w:val="24"/>
          <w:szCs w:val="24"/>
        </w:rPr>
        <w:t xml:space="preserve"> identify where overlaps exist and where there is distinction with respect to return on investment (ROI) and the budget</w:t>
      </w:r>
      <w:r w:rsidR="008839BB">
        <w:rPr>
          <w:sz w:val="24"/>
          <w:szCs w:val="24"/>
        </w:rPr>
        <w:t>.</w:t>
      </w:r>
      <w:r w:rsidR="00101766" w:rsidRPr="00497F41">
        <w:rPr>
          <w:sz w:val="24"/>
          <w:szCs w:val="24"/>
        </w:rPr>
        <w:t xml:space="preserve"> </w:t>
      </w:r>
    </w:p>
    <w:p w:rsidR="00F73903" w:rsidRPr="00EA4FC5" w:rsidRDefault="008839BB" w:rsidP="00F73903">
      <w:pPr>
        <w:spacing w:after="120"/>
        <w:rPr>
          <w:sz w:val="24"/>
          <w:szCs w:val="24"/>
        </w:rPr>
      </w:pPr>
      <w:r>
        <w:rPr>
          <w:sz w:val="24"/>
          <w:szCs w:val="24"/>
        </w:rPr>
        <w:t xml:space="preserve">There is no </w:t>
      </w:r>
      <w:r w:rsidR="00101766" w:rsidRPr="00497F41">
        <w:rPr>
          <w:sz w:val="24"/>
          <w:szCs w:val="24"/>
        </w:rPr>
        <w:t xml:space="preserve">limit </w:t>
      </w:r>
      <w:r w:rsidR="00C966BB">
        <w:rPr>
          <w:sz w:val="24"/>
          <w:szCs w:val="24"/>
        </w:rPr>
        <w:t>to the</w:t>
      </w:r>
      <w:r w:rsidR="00101766" w:rsidRPr="00497F41">
        <w:rPr>
          <w:sz w:val="24"/>
          <w:szCs w:val="24"/>
        </w:rPr>
        <w:t xml:space="preserve"> number of applications </w:t>
      </w:r>
      <w:r w:rsidR="00B25A0D">
        <w:rPr>
          <w:sz w:val="24"/>
          <w:szCs w:val="24"/>
        </w:rPr>
        <w:t xml:space="preserve">in which </w:t>
      </w:r>
      <w:r w:rsidR="00101766" w:rsidRPr="00497F41">
        <w:rPr>
          <w:sz w:val="24"/>
          <w:szCs w:val="24"/>
        </w:rPr>
        <w:t>any one hospital may participate</w:t>
      </w:r>
      <w:r>
        <w:rPr>
          <w:sz w:val="24"/>
          <w:szCs w:val="24"/>
        </w:rPr>
        <w:t>.</w:t>
      </w:r>
      <w:r w:rsidR="00EA4FC5">
        <w:rPr>
          <w:sz w:val="24"/>
          <w:szCs w:val="24"/>
        </w:rPr>
        <w:t xml:space="preserve">  </w:t>
      </w:r>
      <w:r w:rsidR="00F73903">
        <w:rPr>
          <w:sz w:val="24"/>
          <w:szCs w:val="24"/>
        </w:rPr>
        <w:t>The</w:t>
      </w:r>
      <w:r w:rsidR="00EA4FC5" w:rsidRPr="00EA4FC5">
        <w:rPr>
          <w:sz w:val="24"/>
          <w:szCs w:val="24"/>
        </w:rPr>
        <w:t xml:space="preserve"> </w:t>
      </w:r>
      <w:r w:rsidR="00F73903">
        <w:rPr>
          <w:sz w:val="24"/>
          <w:szCs w:val="24"/>
        </w:rPr>
        <w:t xml:space="preserve">maximum </w:t>
      </w:r>
      <w:r w:rsidR="00EA4FC5" w:rsidRPr="00EA4FC5">
        <w:rPr>
          <w:sz w:val="24"/>
          <w:szCs w:val="24"/>
        </w:rPr>
        <w:t xml:space="preserve">total dollars </w:t>
      </w:r>
      <w:r w:rsidR="00F73903">
        <w:rPr>
          <w:sz w:val="24"/>
          <w:szCs w:val="24"/>
        </w:rPr>
        <w:t xml:space="preserve">that may be </w:t>
      </w:r>
      <w:r w:rsidR="00EA4FC5" w:rsidRPr="00EA4FC5">
        <w:rPr>
          <w:sz w:val="24"/>
          <w:szCs w:val="24"/>
        </w:rPr>
        <w:t xml:space="preserve">awarded to a hospital </w:t>
      </w:r>
      <w:r w:rsidR="00F73903">
        <w:rPr>
          <w:sz w:val="24"/>
          <w:szCs w:val="24"/>
        </w:rPr>
        <w:t xml:space="preserve">for a single application is </w:t>
      </w:r>
      <w:r w:rsidR="00EA4FC5" w:rsidRPr="00EA4FC5">
        <w:rPr>
          <w:sz w:val="24"/>
          <w:szCs w:val="24"/>
        </w:rPr>
        <w:t>0.5% of the hospital’s FY 201</w:t>
      </w:r>
      <w:r w:rsidR="00872D00">
        <w:rPr>
          <w:sz w:val="24"/>
          <w:szCs w:val="24"/>
        </w:rPr>
        <w:t>5</w:t>
      </w:r>
      <w:r w:rsidR="00EA4FC5" w:rsidRPr="00EA4FC5">
        <w:rPr>
          <w:sz w:val="24"/>
          <w:szCs w:val="24"/>
        </w:rPr>
        <w:t xml:space="preserve"> </w:t>
      </w:r>
      <w:r w:rsidR="006F5972">
        <w:rPr>
          <w:sz w:val="24"/>
          <w:szCs w:val="24"/>
        </w:rPr>
        <w:t xml:space="preserve">approved </w:t>
      </w:r>
      <w:r w:rsidR="00872D00">
        <w:rPr>
          <w:sz w:val="24"/>
          <w:szCs w:val="24"/>
        </w:rPr>
        <w:t>net patient revenue plus markup</w:t>
      </w:r>
      <w:r w:rsidR="00EA4FC5" w:rsidRPr="00EA4FC5">
        <w:rPr>
          <w:sz w:val="24"/>
          <w:szCs w:val="24"/>
        </w:rPr>
        <w:t xml:space="preserve">. </w:t>
      </w:r>
      <w:r w:rsidR="006D14FF">
        <w:rPr>
          <w:sz w:val="24"/>
          <w:szCs w:val="24"/>
        </w:rPr>
        <w:t>There may be multiple lead hospitals in an application and the maximum award for each of those lead hospitals is 0.5%.</w:t>
      </w:r>
      <w:r w:rsidR="00EA4FC5" w:rsidRPr="00EA4FC5">
        <w:rPr>
          <w:sz w:val="24"/>
          <w:szCs w:val="24"/>
        </w:rPr>
        <w:t xml:space="preserve"> </w:t>
      </w:r>
      <w:r w:rsidR="00F73903">
        <w:rPr>
          <w:sz w:val="24"/>
          <w:szCs w:val="24"/>
        </w:rPr>
        <w:t>However, a</w:t>
      </w:r>
      <w:r w:rsidR="006F5972">
        <w:rPr>
          <w:sz w:val="24"/>
          <w:szCs w:val="24"/>
        </w:rPr>
        <w:t>n individual</w:t>
      </w:r>
      <w:r w:rsidR="00F73903">
        <w:rPr>
          <w:sz w:val="24"/>
          <w:szCs w:val="24"/>
        </w:rPr>
        <w:t xml:space="preserve"> hospital may be awarded up to </w:t>
      </w:r>
      <w:r w:rsidR="006F5972">
        <w:rPr>
          <w:sz w:val="24"/>
          <w:szCs w:val="24"/>
        </w:rPr>
        <w:t xml:space="preserve">a total of </w:t>
      </w:r>
      <w:r w:rsidR="00F73903" w:rsidRPr="00EA4FC5">
        <w:rPr>
          <w:sz w:val="24"/>
          <w:szCs w:val="24"/>
        </w:rPr>
        <w:t>0.75% of</w:t>
      </w:r>
      <w:r w:rsidR="006F5972">
        <w:rPr>
          <w:sz w:val="24"/>
          <w:szCs w:val="24"/>
        </w:rPr>
        <w:t xml:space="preserve"> its</w:t>
      </w:r>
      <w:r w:rsidR="00F73903" w:rsidRPr="00EA4FC5">
        <w:rPr>
          <w:sz w:val="24"/>
          <w:szCs w:val="24"/>
        </w:rPr>
        <w:t xml:space="preserve"> FY </w:t>
      </w:r>
      <w:r w:rsidR="00F73903">
        <w:rPr>
          <w:sz w:val="24"/>
          <w:szCs w:val="24"/>
        </w:rPr>
        <w:t xml:space="preserve">2015 </w:t>
      </w:r>
      <w:r w:rsidR="006F5972">
        <w:rPr>
          <w:sz w:val="24"/>
          <w:szCs w:val="24"/>
        </w:rPr>
        <w:t xml:space="preserve">approved </w:t>
      </w:r>
      <w:r w:rsidR="00F73903">
        <w:rPr>
          <w:sz w:val="24"/>
          <w:szCs w:val="24"/>
        </w:rPr>
        <w:t>net patient revenue plus markup for a combination of multiple successful applications</w:t>
      </w:r>
      <w:r w:rsidR="00F73903" w:rsidRPr="00EA4FC5">
        <w:rPr>
          <w:sz w:val="24"/>
          <w:szCs w:val="24"/>
        </w:rPr>
        <w:t>.</w:t>
      </w:r>
    </w:p>
    <w:p w:rsidR="00906174" w:rsidRDefault="00EA4FC5" w:rsidP="00CD0C3E">
      <w:pPr>
        <w:spacing w:after="120"/>
        <w:rPr>
          <w:sz w:val="24"/>
          <w:szCs w:val="24"/>
        </w:rPr>
      </w:pPr>
      <w:r w:rsidRPr="00EA4FC5">
        <w:rPr>
          <w:sz w:val="24"/>
          <w:szCs w:val="24"/>
        </w:rPr>
        <w:t>The State reserves the right to make awards based on applications received and will de</w:t>
      </w:r>
      <w:r w:rsidR="005F1954">
        <w:rPr>
          <w:sz w:val="24"/>
          <w:szCs w:val="24"/>
        </w:rPr>
        <w:t>termine how funds are dispersed</w:t>
      </w:r>
      <w:r w:rsidR="00906174">
        <w:rPr>
          <w:sz w:val="24"/>
          <w:szCs w:val="24"/>
        </w:rPr>
        <w:t>. This means that:</w:t>
      </w:r>
    </w:p>
    <w:p w:rsidR="00906174" w:rsidRDefault="00906174" w:rsidP="00496DC7">
      <w:pPr>
        <w:pStyle w:val="ListParagraph"/>
        <w:numPr>
          <w:ilvl w:val="0"/>
          <w:numId w:val="41"/>
        </w:numPr>
        <w:spacing w:after="120"/>
        <w:rPr>
          <w:sz w:val="24"/>
          <w:szCs w:val="24"/>
        </w:rPr>
      </w:pPr>
      <w:r>
        <w:rPr>
          <w:sz w:val="24"/>
          <w:szCs w:val="24"/>
        </w:rPr>
        <w:t>Determinations by the review committee and HSCRC are final and not subject to appeal</w:t>
      </w:r>
      <w:r w:rsidR="00EE6112">
        <w:rPr>
          <w:sz w:val="24"/>
          <w:szCs w:val="24"/>
        </w:rPr>
        <w:t>;</w:t>
      </w:r>
    </w:p>
    <w:p w:rsidR="00906174" w:rsidRDefault="00906174" w:rsidP="00496DC7">
      <w:pPr>
        <w:pStyle w:val="ListParagraph"/>
        <w:numPr>
          <w:ilvl w:val="0"/>
          <w:numId w:val="41"/>
        </w:numPr>
        <w:spacing w:after="120"/>
        <w:rPr>
          <w:sz w:val="24"/>
          <w:szCs w:val="24"/>
        </w:rPr>
      </w:pPr>
      <w:r>
        <w:rPr>
          <w:sz w:val="24"/>
          <w:szCs w:val="24"/>
        </w:rPr>
        <w:t>T</w:t>
      </w:r>
      <w:r w:rsidRPr="00496DC7">
        <w:rPr>
          <w:sz w:val="24"/>
          <w:szCs w:val="24"/>
        </w:rPr>
        <w:t>he HSCRC may suggest alterations to the scope or amount of a proposal</w:t>
      </w:r>
      <w:r w:rsidR="00EE6112">
        <w:rPr>
          <w:sz w:val="24"/>
          <w:szCs w:val="24"/>
        </w:rPr>
        <w:t xml:space="preserve"> during the process</w:t>
      </w:r>
      <w:r>
        <w:rPr>
          <w:sz w:val="24"/>
          <w:szCs w:val="24"/>
        </w:rPr>
        <w:t>;</w:t>
      </w:r>
    </w:p>
    <w:p w:rsidR="00906174" w:rsidRDefault="00906174" w:rsidP="00496DC7">
      <w:pPr>
        <w:pStyle w:val="ListParagraph"/>
        <w:numPr>
          <w:ilvl w:val="0"/>
          <w:numId w:val="41"/>
        </w:numPr>
        <w:spacing w:after="120"/>
        <w:rPr>
          <w:sz w:val="24"/>
          <w:szCs w:val="24"/>
        </w:rPr>
      </w:pPr>
      <w:r>
        <w:rPr>
          <w:sz w:val="24"/>
          <w:szCs w:val="24"/>
        </w:rPr>
        <w:lastRenderedPageBreak/>
        <w:t>T</w:t>
      </w:r>
      <w:r w:rsidRPr="00496DC7">
        <w:rPr>
          <w:sz w:val="24"/>
          <w:szCs w:val="24"/>
        </w:rPr>
        <w:t xml:space="preserve">he HSCRC </w:t>
      </w:r>
      <w:r>
        <w:rPr>
          <w:sz w:val="24"/>
          <w:szCs w:val="24"/>
        </w:rPr>
        <w:t xml:space="preserve">may </w:t>
      </w:r>
      <w:r w:rsidRPr="00496DC7">
        <w:rPr>
          <w:sz w:val="24"/>
          <w:szCs w:val="24"/>
        </w:rPr>
        <w:t>require an applicant to alter a proposal or proposals to come into compliance with</w:t>
      </w:r>
      <w:r>
        <w:rPr>
          <w:sz w:val="24"/>
          <w:szCs w:val="24"/>
        </w:rPr>
        <w:t xml:space="preserve"> the award limitation described above.</w:t>
      </w:r>
    </w:p>
    <w:p w:rsidR="00101766" w:rsidRPr="00496DC7" w:rsidRDefault="00906174" w:rsidP="00496DC7">
      <w:pPr>
        <w:pStyle w:val="ListParagraph"/>
        <w:spacing w:after="120"/>
        <w:rPr>
          <w:sz w:val="24"/>
          <w:szCs w:val="24"/>
        </w:rPr>
      </w:pPr>
      <w:r w:rsidRPr="00496DC7">
        <w:rPr>
          <w:sz w:val="24"/>
          <w:szCs w:val="24"/>
        </w:rPr>
        <w:t xml:space="preserve"> </w:t>
      </w:r>
    </w:p>
    <w:p w:rsidR="00101766" w:rsidRPr="00CD0C3E" w:rsidRDefault="00101766" w:rsidP="00CD0C3E">
      <w:pPr>
        <w:pStyle w:val="Heading2"/>
        <w:rPr>
          <w:b w:val="0"/>
        </w:rPr>
      </w:pPr>
      <w:r w:rsidRPr="00CD0C3E">
        <w:t>Funding</w:t>
      </w:r>
      <w:r w:rsidR="008839BB" w:rsidRPr="00CD0C3E">
        <w:t xml:space="preserve"> and Budget Guidelines</w:t>
      </w:r>
    </w:p>
    <w:p w:rsidR="00F84397" w:rsidRDefault="00C966BB" w:rsidP="00CD0C3E">
      <w:pPr>
        <w:spacing w:after="120"/>
        <w:rPr>
          <w:sz w:val="24"/>
          <w:szCs w:val="24"/>
        </w:rPr>
      </w:pPr>
      <w:r>
        <w:rPr>
          <w:sz w:val="24"/>
          <w:szCs w:val="24"/>
        </w:rPr>
        <w:t>Consistent with existing law, a</w:t>
      </w:r>
      <w:r w:rsidR="00C81587">
        <w:rPr>
          <w:sz w:val="24"/>
          <w:szCs w:val="24"/>
        </w:rPr>
        <w:t xml:space="preserve">pplications will be required to clarify how </w:t>
      </w:r>
      <w:r w:rsidR="00101766" w:rsidRPr="00497F41">
        <w:rPr>
          <w:sz w:val="24"/>
          <w:szCs w:val="24"/>
        </w:rPr>
        <w:t xml:space="preserve">funds will be distributed </w:t>
      </w:r>
      <w:r w:rsidR="00C81587">
        <w:rPr>
          <w:sz w:val="24"/>
          <w:szCs w:val="24"/>
        </w:rPr>
        <w:t xml:space="preserve">and </w:t>
      </w:r>
      <w:r w:rsidR="00101766" w:rsidRPr="00497F41">
        <w:rPr>
          <w:sz w:val="24"/>
          <w:szCs w:val="24"/>
        </w:rPr>
        <w:t xml:space="preserve">flow to </w:t>
      </w:r>
      <w:r w:rsidR="00FC1089">
        <w:rPr>
          <w:sz w:val="24"/>
          <w:szCs w:val="24"/>
        </w:rPr>
        <w:t>collaborating</w:t>
      </w:r>
      <w:r w:rsidR="00FC1089" w:rsidRPr="00497F41">
        <w:rPr>
          <w:sz w:val="24"/>
          <w:szCs w:val="24"/>
        </w:rPr>
        <w:t xml:space="preserve"> </w:t>
      </w:r>
      <w:r w:rsidR="00101766" w:rsidRPr="00497F41">
        <w:rPr>
          <w:sz w:val="24"/>
          <w:szCs w:val="24"/>
        </w:rPr>
        <w:t>hospital</w:t>
      </w:r>
      <w:r w:rsidR="00FC1089">
        <w:rPr>
          <w:sz w:val="24"/>
          <w:szCs w:val="24"/>
        </w:rPr>
        <w:t>s</w:t>
      </w:r>
      <w:r w:rsidR="00101766" w:rsidRPr="00497F41">
        <w:rPr>
          <w:sz w:val="24"/>
          <w:szCs w:val="24"/>
        </w:rPr>
        <w:t>, provider</w:t>
      </w:r>
      <w:r w:rsidR="00FC1089">
        <w:rPr>
          <w:sz w:val="24"/>
          <w:szCs w:val="24"/>
        </w:rPr>
        <w:t>s</w:t>
      </w:r>
      <w:r w:rsidR="00101766" w:rsidRPr="00497F41">
        <w:rPr>
          <w:sz w:val="24"/>
          <w:szCs w:val="24"/>
        </w:rPr>
        <w:t>, physician</w:t>
      </w:r>
      <w:r w:rsidR="00FC1089">
        <w:rPr>
          <w:sz w:val="24"/>
          <w:szCs w:val="24"/>
        </w:rPr>
        <w:t>s</w:t>
      </w:r>
      <w:r w:rsidR="00101766" w:rsidRPr="00497F41">
        <w:rPr>
          <w:sz w:val="24"/>
          <w:szCs w:val="24"/>
        </w:rPr>
        <w:t xml:space="preserve"> or </w:t>
      </w:r>
      <w:r w:rsidR="002F2130">
        <w:rPr>
          <w:sz w:val="24"/>
          <w:szCs w:val="24"/>
        </w:rPr>
        <w:t>Community-based Organizations (</w:t>
      </w:r>
      <w:r w:rsidR="00101766" w:rsidRPr="00497F41">
        <w:rPr>
          <w:sz w:val="24"/>
          <w:szCs w:val="24"/>
        </w:rPr>
        <w:t>CBO</w:t>
      </w:r>
      <w:r w:rsidR="00FC1089">
        <w:rPr>
          <w:sz w:val="24"/>
          <w:szCs w:val="24"/>
        </w:rPr>
        <w:t>s</w:t>
      </w:r>
      <w:r w:rsidR="002F2130">
        <w:rPr>
          <w:sz w:val="24"/>
          <w:szCs w:val="24"/>
        </w:rPr>
        <w:t>)</w:t>
      </w:r>
      <w:r w:rsidR="00C81587">
        <w:rPr>
          <w:sz w:val="24"/>
          <w:szCs w:val="24"/>
        </w:rPr>
        <w:t>.</w:t>
      </w:r>
      <w:r w:rsidR="00D57637">
        <w:rPr>
          <w:sz w:val="24"/>
          <w:szCs w:val="24"/>
        </w:rPr>
        <w:t xml:space="preserve"> If more than one hospital applies as a lead applicant, the application and budget must clarify if:</w:t>
      </w:r>
    </w:p>
    <w:p w:rsidR="00F84397" w:rsidRPr="00CD0C3E" w:rsidRDefault="002F2130" w:rsidP="00CD0C3E">
      <w:pPr>
        <w:pStyle w:val="ListParagraph"/>
        <w:numPr>
          <w:ilvl w:val="0"/>
          <w:numId w:val="39"/>
        </w:numPr>
        <w:spacing w:after="120"/>
        <w:rPr>
          <w:sz w:val="24"/>
          <w:szCs w:val="24"/>
        </w:rPr>
      </w:pPr>
      <w:r w:rsidRPr="00CD0C3E">
        <w:rPr>
          <w:sz w:val="24"/>
          <w:szCs w:val="24"/>
        </w:rPr>
        <w:t>Each of the lead hospitals</w:t>
      </w:r>
      <w:r w:rsidR="00D57637" w:rsidRPr="00CD0C3E">
        <w:rPr>
          <w:sz w:val="24"/>
          <w:szCs w:val="24"/>
        </w:rPr>
        <w:t xml:space="preserve"> will receive an increase in rates to generate the funds to be shared in accordance with </w:t>
      </w:r>
      <w:r w:rsidR="00C966BB" w:rsidRPr="00CD0C3E">
        <w:rPr>
          <w:sz w:val="24"/>
          <w:szCs w:val="24"/>
        </w:rPr>
        <w:t>a proposal</w:t>
      </w:r>
      <w:r w:rsidRPr="00CD0C3E">
        <w:rPr>
          <w:sz w:val="24"/>
          <w:szCs w:val="24"/>
        </w:rPr>
        <w:t>;</w:t>
      </w:r>
      <w:r w:rsidR="00D57637" w:rsidRPr="00CD0C3E">
        <w:rPr>
          <w:sz w:val="24"/>
          <w:szCs w:val="24"/>
        </w:rPr>
        <w:t xml:space="preserve"> or</w:t>
      </w:r>
    </w:p>
    <w:p w:rsidR="00101766" w:rsidRPr="00CD0C3E" w:rsidRDefault="00C966BB" w:rsidP="00CD0C3E">
      <w:pPr>
        <w:pStyle w:val="ListParagraph"/>
        <w:numPr>
          <w:ilvl w:val="0"/>
          <w:numId w:val="39"/>
        </w:numPr>
        <w:spacing w:after="120"/>
        <w:rPr>
          <w:sz w:val="24"/>
          <w:szCs w:val="24"/>
        </w:rPr>
      </w:pPr>
      <w:r w:rsidRPr="00CD0C3E">
        <w:rPr>
          <w:sz w:val="24"/>
          <w:szCs w:val="24"/>
        </w:rPr>
        <w:t>O</w:t>
      </w:r>
      <w:r w:rsidR="00D57637" w:rsidRPr="00CD0C3E">
        <w:rPr>
          <w:sz w:val="24"/>
          <w:szCs w:val="24"/>
        </w:rPr>
        <w:t xml:space="preserve">ne of the collaborating hospitals will receive an increase </w:t>
      </w:r>
      <w:r w:rsidR="002A0C66" w:rsidRPr="00CD0C3E">
        <w:rPr>
          <w:sz w:val="24"/>
          <w:szCs w:val="24"/>
        </w:rPr>
        <w:t>in</w:t>
      </w:r>
      <w:r w:rsidRPr="00CD0C3E">
        <w:rPr>
          <w:sz w:val="24"/>
          <w:szCs w:val="24"/>
        </w:rPr>
        <w:t xml:space="preserve"> rates to be </w:t>
      </w:r>
      <w:r w:rsidR="00D57637" w:rsidRPr="00CD0C3E">
        <w:rPr>
          <w:sz w:val="24"/>
          <w:szCs w:val="24"/>
        </w:rPr>
        <w:t>shared with the other collaborating hospitals.</w:t>
      </w:r>
    </w:p>
    <w:p w:rsidR="00101766" w:rsidRDefault="00FB7A4D" w:rsidP="00CD0C3E">
      <w:pPr>
        <w:spacing w:after="120"/>
        <w:rPr>
          <w:sz w:val="24"/>
          <w:szCs w:val="24"/>
        </w:rPr>
      </w:pPr>
      <w:r>
        <w:rPr>
          <w:sz w:val="24"/>
          <w:szCs w:val="24"/>
        </w:rPr>
        <w:t>Awarded</w:t>
      </w:r>
      <w:r w:rsidR="00101766" w:rsidRPr="00497F41">
        <w:rPr>
          <w:sz w:val="24"/>
          <w:szCs w:val="24"/>
        </w:rPr>
        <w:t xml:space="preserve"> </w:t>
      </w:r>
      <w:r>
        <w:rPr>
          <w:sz w:val="24"/>
          <w:szCs w:val="24"/>
        </w:rPr>
        <w:t>f</w:t>
      </w:r>
      <w:r w:rsidR="00101766" w:rsidRPr="00497F41">
        <w:rPr>
          <w:sz w:val="24"/>
          <w:szCs w:val="24"/>
        </w:rPr>
        <w:t xml:space="preserve">unds will be </w:t>
      </w:r>
      <w:r w:rsidR="002072B0">
        <w:rPr>
          <w:sz w:val="24"/>
          <w:szCs w:val="24"/>
        </w:rPr>
        <w:t>collected by the hospital through rate increases</w:t>
      </w:r>
      <w:r w:rsidR="00B872D0">
        <w:rPr>
          <w:sz w:val="24"/>
          <w:szCs w:val="24"/>
        </w:rPr>
        <w:t xml:space="preserve"> in</w:t>
      </w:r>
      <w:r w:rsidR="002072B0">
        <w:rPr>
          <w:sz w:val="24"/>
          <w:szCs w:val="24"/>
        </w:rPr>
        <w:t xml:space="preserve"> </w:t>
      </w:r>
      <w:r w:rsidR="00857F46">
        <w:rPr>
          <w:sz w:val="24"/>
          <w:szCs w:val="24"/>
        </w:rPr>
        <w:t>Rate Year</w:t>
      </w:r>
      <w:r w:rsidR="002072B0">
        <w:rPr>
          <w:sz w:val="24"/>
          <w:szCs w:val="24"/>
        </w:rPr>
        <w:t xml:space="preserve"> 2016.</w:t>
      </w:r>
      <w:r>
        <w:rPr>
          <w:sz w:val="24"/>
          <w:szCs w:val="24"/>
        </w:rPr>
        <w:t xml:space="preserve"> It is expected that </w:t>
      </w:r>
      <w:r w:rsidR="0050180E">
        <w:rPr>
          <w:sz w:val="24"/>
          <w:szCs w:val="24"/>
        </w:rPr>
        <w:t xml:space="preserve">Rate Year 2016 </w:t>
      </w:r>
      <w:r>
        <w:rPr>
          <w:sz w:val="24"/>
          <w:szCs w:val="24"/>
        </w:rPr>
        <w:t xml:space="preserve">awards </w:t>
      </w:r>
      <w:r w:rsidR="00990FFD">
        <w:rPr>
          <w:sz w:val="24"/>
          <w:szCs w:val="24"/>
        </w:rPr>
        <w:t xml:space="preserve">will </w:t>
      </w:r>
      <w:r>
        <w:rPr>
          <w:sz w:val="24"/>
          <w:szCs w:val="24"/>
        </w:rPr>
        <w:t>be</w:t>
      </w:r>
      <w:r w:rsidR="00101766" w:rsidRPr="00497F41">
        <w:rPr>
          <w:sz w:val="24"/>
          <w:szCs w:val="24"/>
        </w:rPr>
        <w:t xml:space="preserve"> </w:t>
      </w:r>
      <w:r w:rsidR="00990FFD">
        <w:rPr>
          <w:sz w:val="24"/>
          <w:szCs w:val="24"/>
        </w:rPr>
        <w:t xml:space="preserve">expended </w:t>
      </w:r>
      <w:r w:rsidR="00101766" w:rsidRPr="00497F41">
        <w:rPr>
          <w:sz w:val="24"/>
          <w:szCs w:val="24"/>
        </w:rPr>
        <w:t xml:space="preserve">within </w:t>
      </w:r>
      <w:r>
        <w:rPr>
          <w:sz w:val="24"/>
          <w:szCs w:val="24"/>
        </w:rPr>
        <w:t>CY</w:t>
      </w:r>
      <w:r w:rsidR="002072B0">
        <w:rPr>
          <w:sz w:val="24"/>
          <w:szCs w:val="24"/>
        </w:rPr>
        <w:t xml:space="preserve"> 2016</w:t>
      </w:r>
      <w:r>
        <w:rPr>
          <w:sz w:val="24"/>
          <w:szCs w:val="24"/>
        </w:rPr>
        <w:t xml:space="preserve">. </w:t>
      </w:r>
    </w:p>
    <w:p w:rsidR="00101766" w:rsidRDefault="00113414" w:rsidP="00CD0C3E">
      <w:pPr>
        <w:spacing w:after="120"/>
        <w:rPr>
          <w:sz w:val="24"/>
          <w:szCs w:val="24"/>
        </w:rPr>
      </w:pPr>
      <w:r>
        <w:rPr>
          <w:sz w:val="24"/>
          <w:szCs w:val="24"/>
        </w:rPr>
        <w:t xml:space="preserve">Applicants will be expected to calculate </w:t>
      </w:r>
      <w:r w:rsidR="00990FFD">
        <w:rPr>
          <w:sz w:val="24"/>
          <w:szCs w:val="24"/>
        </w:rPr>
        <w:t xml:space="preserve">the </w:t>
      </w:r>
      <w:r w:rsidR="0050180E">
        <w:rPr>
          <w:sz w:val="24"/>
          <w:szCs w:val="24"/>
        </w:rPr>
        <w:t xml:space="preserve">annual </w:t>
      </w:r>
      <w:r>
        <w:rPr>
          <w:sz w:val="24"/>
          <w:szCs w:val="24"/>
        </w:rPr>
        <w:t>R</w:t>
      </w:r>
      <w:r w:rsidR="003D155B">
        <w:rPr>
          <w:sz w:val="24"/>
          <w:szCs w:val="24"/>
        </w:rPr>
        <w:t>eturn on Investment (R</w:t>
      </w:r>
      <w:r>
        <w:rPr>
          <w:sz w:val="24"/>
          <w:szCs w:val="24"/>
        </w:rPr>
        <w:t>OI</w:t>
      </w:r>
      <w:r w:rsidR="003D155B">
        <w:rPr>
          <w:sz w:val="24"/>
          <w:szCs w:val="24"/>
        </w:rPr>
        <w:t>)</w:t>
      </w:r>
      <w:r>
        <w:rPr>
          <w:sz w:val="24"/>
          <w:szCs w:val="24"/>
        </w:rPr>
        <w:t xml:space="preserve"> for the funds</w:t>
      </w:r>
      <w:r w:rsidR="00CD0C3E">
        <w:rPr>
          <w:sz w:val="24"/>
          <w:szCs w:val="24"/>
        </w:rPr>
        <w:t xml:space="preserve">.  The HSCRC expects that a portion of the ROI accrue to payers.  Applicants are expected to show how the ROI will be apportioned between the hospital(s), and payers and how the payer portion will be applied (global budget reduction, etc.).  </w:t>
      </w:r>
      <w:r w:rsidR="00945660">
        <w:rPr>
          <w:sz w:val="24"/>
          <w:szCs w:val="24"/>
        </w:rPr>
        <w:t xml:space="preserve"> </w:t>
      </w:r>
      <w:r w:rsidR="0050180E" w:rsidRPr="0050180E">
        <w:rPr>
          <w:sz w:val="24"/>
          <w:szCs w:val="24"/>
        </w:rPr>
        <w:t xml:space="preserve">Applicants are also expected to demonstrate </w:t>
      </w:r>
      <w:r w:rsidR="00B872D0">
        <w:rPr>
          <w:sz w:val="24"/>
          <w:szCs w:val="24"/>
        </w:rPr>
        <w:t>how the program/intervention is helping Maryland meet the goals and requirements of the All-</w:t>
      </w:r>
      <w:r w:rsidR="006F3D8F">
        <w:rPr>
          <w:sz w:val="24"/>
          <w:szCs w:val="24"/>
        </w:rPr>
        <w:t>P</w:t>
      </w:r>
      <w:r w:rsidR="00B872D0">
        <w:rPr>
          <w:sz w:val="24"/>
          <w:szCs w:val="24"/>
        </w:rPr>
        <w:t xml:space="preserve">ayer </w:t>
      </w:r>
      <w:r w:rsidR="006F3D8F">
        <w:rPr>
          <w:sz w:val="24"/>
          <w:szCs w:val="24"/>
        </w:rPr>
        <w:t>M</w:t>
      </w:r>
      <w:r w:rsidR="00B872D0">
        <w:rPr>
          <w:sz w:val="24"/>
          <w:szCs w:val="24"/>
        </w:rPr>
        <w:t>odel agreement with CMMI</w:t>
      </w:r>
      <w:r>
        <w:rPr>
          <w:sz w:val="24"/>
          <w:szCs w:val="24"/>
        </w:rPr>
        <w:t>. Given that these awards are intended to build on and leverage previous infrastructure investments</w:t>
      </w:r>
      <w:r w:rsidR="00735F9C">
        <w:rPr>
          <w:sz w:val="24"/>
          <w:szCs w:val="24"/>
        </w:rPr>
        <w:t>,</w:t>
      </w:r>
      <w:r>
        <w:rPr>
          <w:sz w:val="24"/>
          <w:szCs w:val="24"/>
        </w:rPr>
        <w:t xml:space="preserve"> </w:t>
      </w:r>
      <w:r w:rsidR="00990FFD">
        <w:rPr>
          <w:sz w:val="24"/>
          <w:szCs w:val="24"/>
        </w:rPr>
        <w:t xml:space="preserve">the </w:t>
      </w:r>
      <w:r>
        <w:rPr>
          <w:sz w:val="24"/>
          <w:szCs w:val="24"/>
        </w:rPr>
        <w:t xml:space="preserve">ROI </w:t>
      </w:r>
      <w:r w:rsidR="00A52255">
        <w:rPr>
          <w:sz w:val="24"/>
          <w:szCs w:val="24"/>
        </w:rPr>
        <w:t xml:space="preserve">should </w:t>
      </w:r>
      <w:r>
        <w:rPr>
          <w:sz w:val="24"/>
          <w:szCs w:val="24"/>
        </w:rPr>
        <w:t xml:space="preserve">include the </w:t>
      </w:r>
      <w:r w:rsidRPr="00497F41">
        <w:rPr>
          <w:sz w:val="24"/>
          <w:szCs w:val="24"/>
        </w:rPr>
        <w:t>incremental impact of this particular funding with all investments made in mind</w:t>
      </w:r>
      <w:r>
        <w:rPr>
          <w:sz w:val="24"/>
          <w:szCs w:val="24"/>
        </w:rPr>
        <w:t xml:space="preserve">. </w:t>
      </w:r>
      <w:r w:rsidR="0053056C">
        <w:rPr>
          <w:sz w:val="24"/>
          <w:szCs w:val="24"/>
        </w:rPr>
        <w:t xml:space="preserve"> The ROI is intended to sustain successful programs into the future by encouraging continued alignment between hospitals and other providers.  While award dollars may not be used for provider incentive programs (such as pay-for-performance), ROI may be utilized to support such programs, provided of course, that they are permissible under State and Federal Law.</w:t>
      </w:r>
    </w:p>
    <w:p w:rsidR="009B19B6" w:rsidRDefault="009B19B6" w:rsidP="00CD0C3E">
      <w:pPr>
        <w:spacing w:after="120"/>
        <w:rPr>
          <w:sz w:val="24"/>
          <w:szCs w:val="24"/>
        </w:rPr>
      </w:pPr>
      <w:r>
        <w:rPr>
          <w:sz w:val="24"/>
          <w:szCs w:val="24"/>
        </w:rPr>
        <w:t xml:space="preserve">The proposed budget is expected to demonstrate </w:t>
      </w:r>
      <w:r w:rsidR="00990FFD">
        <w:rPr>
          <w:sz w:val="24"/>
          <w:szCs w:val="24"/>
        </w:rPr>
        <w:t xml:space="preserve">the applicant’s </w:t>
      </w:r>
      <w:r>
        <w:rPr>
          <w:sz w:val="24"/>
          <w:szCs w:val="24"/>
        </w:rPr>
        <w:t>ability to execute the intervention</w:t>
      </w:r>
      <w:r w:rsidR="00735F9C">
        <w:rPr>
          <w:sz w:val="24"/>
          <w:szCs w:val="24"/>
        </w:rPr>
        <w:t>, to the extent practicable,</w:t>
      </w:r>
      <w:r>
        <w:rPr>
          <w:sz w:val="24"/>
          <w:szCs w:val="24"/>
        </w:rPr>
        <w:t xml:space="preserve"> within CY</w:t>
      </w:r>
      <w:r w:rsidR="00B872D0">
        <w:rPr>
          <w:sz w:val="24"/>
          <w:szCs w:val="24"/>
        </w:rPr>
        <w:t xml:space="preserve"> 2016</w:t>
      </w:r>
      <w:r>
        <w:rPr>
          <w:sz w:val="24"/>
          <w:szCs w:val="24"/>
        </w:rPr>
        <w:t>. In addition, the budget should clearly detail how funds will flow to all partners included in the application.</w:t>
      </w:r>
    </w:p>
    <w:p w:rsidR="004E5703" w:rsidRDefault="006B3AE6" w:rsidP="00CD0C3E">
      <w:pPr>
        <w:pStyle w:val="Heading2"/>
        <w:spacing w:before="0" w:after="120"/>
      </w:pPr>
      <w:r>
        <w:t>Narrative</w:t>
      </w:r>
      <w:r w:rsidRPr="009F4B61">
        <w:t xml:space="preserve"> </w:t>
      </w:r>
      <w:r w:rsidR="00A46553" w:rsidRPr="009F4B61">
        <w:t>Requirements</w:t>
      </w:r>
      <w:r w:rsidR="002A0C66">
        <w:t xml:space="preserve"> </w:t>
      </w:r>
    </w:p>
    <w:p w:rsidR="00A46553" w:rsidRPr="00963F21" w:rsidRDefault="00F77F50" w:rsidP="00CD0C3E">
      <w:pPr>
        <w:spacing w:after="120"/>
        <w:rPr>
          <w:rFonts w:ascii="Calibri" w:eastAsia="Calibri" w:hAnsi="Calibri" w:cs="Times New Roman"/>
          <w:sz w:val="24"/>
          <w:szCs w:val="24"/>
        </w:rPr>
      </w:pPr>
      <w:r w:rsidRPr="00963F21">
        <w:rPr>
          <w:rFonts w:ascii="Calibri" w:eastAsia="Calibri" w:hAnsi="Calibri" w:cs="Times New Roman"/>
          <w:sz w:val="24"/>
          <w:szCs w:val="24"/>
        </w:rPr>
        <w:t xml:space="preserve">The narrative </w:t>
      </w:r>
      <w:r w:rsidR="004E5703" w:rsidRPr="00963F21">
        <w:rPr>
          <w:rFonts w:ascii="Calibri" w:eastAsia="Calibri" w:hAnsi="Calibri" w:cs="Times New Roman"/>
          <w:sz w:val="24"/>
          <w:szCs w:val="24"/>
        </w:rPr>
        <w:t>descr</w:t>
      </w:r>
      <w:r w:rsidRPr="00963F21">
        <w:rPr>
          <w:rFonts w:ascii="Calibri" w:eastAsia="Calibri" w:hAnsi="Calibri" w:cs="Times New Roman"/>
          <w:sz w:val="24"/>
          <w:szCs w:val="24"/>
        </w:rPr>
        <w:t>ibes your project.  It consists of sections</w:t>
      </w:r>
      <w:r w:rsidR="004E5703" w:rsidRPr="00963F21">
        <w:rPr>
          <w:rFonts w:ascii="Calibri" w:eastAsia="Calibri" w:hAnsi="Calibri" w:cs="Times New Roman"/>
          <w:sz w:val="24"/>
          <w:szCs w:val="24"/>
        </w:rPr>
        <w:t xml:space="preserve"> 1-6 </w:t>
      </w:r>
      <w:r w:rsidR="006F5972">
        <w:rPr>
          <w:rFonts w:ascii="Calibri" w:eastAsia="Calibri" w:hAnsi="Calibri" w:cs="Times New Roman"/>
          <w:sz w:val="24"/>
          <w:szCs w:val="24"/>
        </w:rPr>
        <w:t xml:space="preserve">immediately below </w:t>
      </w:r>
      <w:r w:rsidR="004E5703" w:rsidRPr="00963F21">
        <w:rPr>
          <w:rFonts w:ascii="Calibri" w:eastAsia="Calibri" w:hAnsi="Calibri" w:cs="Times New Roman"/>
          <w:sz w:val="24"/>
          <w:szCs w:val="24"/>
        </w:rPr>
        <w:t>and may not</w:t>
      </w:r>
      <w:r w:rsidR="006F5972">
        <w:rPr>
          <w:rFonts w:ascii="Calibri" w:eastAsia="Calibri" w:hAnsi="Calibri" w:cs="Times New Roman"/>
          <w:sz w:val="24"/>
          <w:szCs w:val="24"/>
        </w:rPr>
        <w:t xml:space="preserve"> exceed</w:t>
      </w:r>
      <w:r w:rsidR="004E5703" w:rsidRPr="00963F21">
        <w:rPr>
          <w:rFonts w:ascii="Calibri" w:eastAsia="Calibri" w:hAnsi="Calibri" w:cs="Times New Roman"/>
          <w:sz w:val="24"/>
          <w:szCs w:val="24"/>
        </w:rPr>
        <w:t xml:space="preserve"> 20 pages.</w:t>
      </w:r>
    </w:p>
    <w:p w:rsidR="00CA5219" w:rsidRPr="00CD0C3E" w:rsidRDefault="002A0C66" w:rsidP="00CD0C3E">
      <w:pPr>
        <w:pStyle w:val="ListParagraph"/>
        <w:numPr>
          <w:ilvl w:val="0"/>
          <w:numId w:val="20"/>
        </w:numPr>
        <w:spacing w:after="120"/>
        <w:rPr>
          <w:rFonts w:ascii="Calibri" w:eastAsia="Calibri" w:hAnsi="Calibri" w:cs="Times New Roman"/>
          <w:sz w:val="24"/>
          <w:szCs w:val="24"/>
        </w:rPr>
      </w:pPr>
      <w:r>
        <w:rPr>
          <w:rFonts w:ascii="Calibri" w:eastAsia="Calibri" w:hAnsi="Calibri" w:cs="Times New Roman"/>
          <w:b/>
          <w:sz w:val="24"/>
          <w:szCs w:val="24"/>
        </w:rPr>
        <w:t>Target Population</w:t>
      </w:r>
    </w:p>
    <w:p w:rsidR="00A46553" w:rsidRDefault="00A46553" w:rsidP="00CD0C3E">
      <w:pPr>
        <w:pStyle w:val="ListParagraph"/>
        <w:spacing w:after="120"/>
        <w:rPr>
          <w:sz w:val="24"/>
          <w:szCs w:val="24"/>
        </w:rPr>
      </w:pPr>
      <w:r w:rsidRPr="00C60A82">
        <w:rPr>
          <w:rFonts w:ascii="Calibri" w:eastAsia="Calibri" w:hAnsi="Calibri" w:cs="Times New Roman"/>
          <w:sz w:val="24"/>
          <w:szCs w:val="24"/>
        </w:rPr>
        <w:t xml:space="preserve">This section must define the geographic scope of the model via a comprehensive list of the ZIP codes included, as well as counties and incorporated cities.  Additionally, data </w:t>
      </w:r>
      <w:r w:rsidRPr="00C60A82">
        <w:rPr>
          <w:rFonts w:ascii="Calibri" w:eastAsia="Calibri" w:hAnsi="Calibri" w:cs="Times New Roman"/>
          <w:sz w:val="24"/>
          <w:szCs w:val="24"/>
        </w:rPr>
        <w:lastRenderedPageBreak/>
        <w:t xml:space="preserve">and a corresponding narrative should be used to describe the health need(s) and condition(s) that the delivery model </w:t>
      </w:r>
      <w:r w:rsidR="00C966BB">
        <w:rPr>
          <w:rFonts w:ascii="Calibri" w:eastAsia="Calibri" w:hAnsi="Calibri" w:cs="Times New Roman"/>
          <w:sz w:val="24"/>
          <w:szCs w:val="24"/>
        </w:rPr>
        <w:t>will</w:t>
      </w:r>
      <w:r w:rsidR="00C966BB" w:rsidRPr="00C60A82">
        <w:rPr>
          <w:rFonts w:ascii="Calibri" w:eastAsia="Calibri" w:hAnsi="Calibri" w:cs="Times New Roman"/>
          <w:sz w:val="24"/>
          <w:szCs w:val="24"/>
        </w:rPr>
        <w:t xml:space="preserve"> </w:t>
      </w:r>
      <w:r w:rsidRPr="00C60A82">
        <w:rPr>
          <w:rFonts w:ascii="Calibri" w:eastAsia="Calibri" w:hAnsi="Calibri" w:cs="Times New Roman"/>
          <w:sz w:val="24"/>
          <w:szCs w:val="24"/>
        </w:rPr>
        <w:t xml:space="preserve">address within the proposed geographic area.  </w:t>
      </w:r>
      <w:r w:rsidRPr="00C60A82">
        <w:rPr>
          <w:sz w:val="24"/>
          <w:szCs w:val="24"/>
        </w:rPr>
        <w:t xml:space="preserve">Applicants are </w:t>
      </w:r>
      <w:r w:rsidR="007B31B5">
        <w:rPr>
          <w:sz w:val="24"/>
          <w:szCs w:val="24"/>
        </w:rPr>
        <w:t>required</w:t>
      </w:r>
      <w:r w:rsidRPr="00C60A82">
        <w:rPr>
          <w:sz w:val="24"/>
          <w:szCs w:val="24"/>
        </w:rPr>
        <w:t xml:space="preserve"> to utilize existing Community Health Needs Assessments (CHNAs) or other related documents to describe the health need. </w:t>
      </w:r>
    </w:p>
    <w:p w:rsidR="00661411" w:rsidRPr="00D702EB" w:rsidRDefault="00661411" w:rsidP="00CD0C3E">
      <w:pPr>
        <w:pStyle w:val="ListParagraph"/>
        <w:spacing w:after="120"/>
        <w:rPr>
          <w:rFonts w:ascii="Calibri" w:eastAsia="Calibri" w:hAnsi="Calibri" w:cs="Times New Roman"/>
          <w:sz w:val="24"/>
          <w:szCs w:val="24"/>
        </w:rPr>
      </w:pPr>
    </w:p>
    <w:p w:rsidR="00CA5219" w:rsidRPr="00CD0C3E" w:rsidRDefault="00F139A1" w:rsidP="00CD0C3E">
      <w:pPr>
        <w:pStyle w:val="ListParagraph"/>
        <w:numPr>
          <w:ilvl w:val="0"/>
          <w:numId w:val="20"/>
        </w:numPr>
        <w:spacing w:after="120"/>
        <w:rPr>
          <w:sz w:val="24"/>
          <w:szCs w:val="24"/>
        </w:rPr>
      </w:pPr>
      <w:r w:rsidRPr="00D702EB">
        <w:rPr>
          <w:rFonts w:ascii="Calibri" w:eastAsia="Calibri" w:hAnsi="Calibri" w:cs="Times New Roman"/>
          <w:b/>
          <w:sz w:val="24"/>
          <w:szCs w:val="24"/>
        </w:rPr>
        <w:t>Proposed Program or Intervention</w:t>
      </w:r>
      <w:r w:rsidR="00FB75B8">
        <w:rPr>
          <w:rFonts w:ascii="Calibri" w:eastAsia="Calibri" w:hAnsi="Calibri" w:cs="Times New Roman"/>
          <w:b/>
          <w:sz w:val="24"/>
          <w:szCs w:val="24"/>
        </w:rPr>
        <w:t>(s)</w:t>
      </w:r>
    </w:p>
    <w:p w:rsidR="00224CB9" w:rsidRDefault="00A46553" w:rsidP="00CD0C3E">
      <w:pPr>
        <w:pStyle w:val="ListParagraph"/>
        <w:spacing w:after="120"/>
        <w:rPr>
          <w:sz w:val="24"/>
          <w:szCs w:val="24"/>
        </w:rPr>
      </w:pPr>
      <w:r w:rsidRPr="00D702EB">
        <w:rPr>
          <w:rFonts w:ascii="Calibri" w:eastAsia="Calibri" w:hAnsi="Calibri" w:cs="Times New Roman"/>
          <w:sz w:val="24"/>
          <w:szCs w:val="24"/>
        </w:rPr>
        <w:t>This</w:t>
      </w:r>
      <w:r w:rsidRPr="00D702EB">
        <w:rPr>
          <w:rFonts w:ascii="Calibri" w:eastAsia="Calibri" w:hAnsi="Calibri" w:cs="Times New Roman"/>
          <w:b/>
          <w:sz w:val="24"/>
          <w:szCs w:val="24"/>
        </w:rPr>
        <w:t xml:space="preserve"> </w:t>
      </w:r>
      <w:r w:rsidRPr="00CD0C3E">
        <w:rPr>
          <w:rFonts w:ascii="Calibri" w:eastAsia="Calibri" w:hAnsi="Calibri" w:cs="Times New Roman"/>
          <w:sz w:val="24"/>
          <w:szCs w:val="24"/>
        </w:rPr>
        <w:t>s</w:t>
      </w:r>
      <w:r w:rsidRPr="00CA5219">
        <w:rPr>
          <w:rFonts w:ascii="Calibri" w:eastAsia="Calibri" w:hAnsi="Calibri" w:cs="Times New Roman"/>
          <w:sz w:val="24"/>
          <w:szCs w:val="24"/>
        </w:rPr>
        <w:t>e</w:t>
      </w:r>
      <w:r w:rsidRPr="00D702EB">
        <w:rPr>
          <w:rFonts w:ascii="Calibri" w:eastAsia="Calibri" w:hAnsi="Calibri" w:cs="Times New Roman"/>
          <w:sz w:val="24"/>
          <w:szCs w:val="24"/>
        </w:rPr>
        <w:t xml:space="preserve">ction must include a description of </w:t>
      </w:r>
      <w:r w:rsidR="00282954">
        <w:rPr>
          <w:rFonts w:ascii="Calibri" w:eastAsia="Calibri" w:hAnsi="Calibri" w:cs="Times New Roman"/>
          <w:sz w:val="24"/>
          <w:szCs w:val="24"/>
        </w:rPr>
        <w:t>the</w:t>
      </w:r>
      <w:r w:rsidRPr="00D702EB">
        <w:rPr>
          <w:rFonts w:ascii="Calibri" w:eastAsia="Calibri" w:hAnsi="Calibri" w:cs="Times New Roman"/>
          <w:sz w:val="24"/>
          <w:szCs w:val="24"/>
        </w:rPr>
        <w:t xml:space="preserve"> proposed delivery/financing model</w:t>
      </w:r>
      <w:r w:rsidR="00282954">
        <w:rPr>
          <w:rFonts w:ascii="Calibri" w:eastAsia="Calibri" w:hAnsi="Calibri" w:cs="Times New Roman"/>
          <w:sz w:val="24"/>
          <w:szCs w:val="24"/>
        </w:rPr>
        <w:t>(s)</w:t>
      </w:r>
      <w:r w:rsidRPr="00D702EB">
        <w:rPr>
          <w:rFonts w:ascii="Calibri" w:eastAsia="Calibri" w:hAnsi="Calibri" w:cs="Times New Roman"/>
          <w:sz w:val="24"/>
          <w:szCs w:val="24"/>
        </w:rPr>
        <w:t xml:space="preserve"> to be implemented</w:t>
      </w:r>
      <w:r w:rsidR="00F139A1" w:rsidRPr="00D702EB">
        <w:rPr>
          <w:rFonts w:ascii="Calibri" w:eastAsia="Calibri" w:hAnsi="Calibri" w:cs="Times New Roman"/>
          <w:sz w:val="24"/>
          <w:szCs w:val="24"/>
        </w:rPr>
        <w:t xml:space="preserve"> or enhanced</w:t>
      </w:r>
      <w:r w:rsidRPr="00D702EB">
        <w:rPr>
          <w:rFonts w:ascii="Calibri" w:eastAsia="Calibri" w:hAnsi="Calibri" w:cs="Times New Roman"/>
          <w:sz w:val="24"/>
          <w:szCs w:val="24"/>
        </w:rPr>
        <w:t xml:space="preserve">.  The description should include information on the target patient population(s), the services and/or interventions the patients </w:t>
      </w:r>
      <w:r w:rsidR="009F24E1" w:rsidRPr="00D702EB">
        <w:rPr>
          <w:rFonts w:ascii="Calibri" w:eastAsia="Calibri" w:hAnsi="Calibri" w:cs="Times New Roman"/>
          <w:sz w:val="24"/>
          <w:szCs w:val="24"/>
        </w:rPr>
        <w:t>will</w:t>
      </w:r>
      <w:r w:rsidRPr="00D702EB">
        <w:rPr>
          <w:rFonts w:ascii="Calibri" w:eastAsia="Calibri" w:hAnsi="Calibri" w:cs="Times New Roman"/>
          <w:sz w:val="24"/>
          <w:szCs w:val="24"/>
        </w:rPr>
        <w:t xml:space="preserve"> receive, and the role of each participating partner</w:t>
      </w:r>
      <w:r w:rsidR="002F2130">
        <w:rPr>
          <w:rFonts w:ascii="Calibri" w:eastAsia="Calibri" w:hAnsi="Calibri" w:cs="Times New Roman"/>
          <w:sz w:val="24"/>
          <w:szCs w:val="24"/>
        </w:rPr>
        <w:t xml:space="preserve"> in the program or intervention</w:t>
      </w:r>
      <w:r w:rsidRPr="00D702EB">
        <w:rPr>
          <w:rFonts w:ascii="Calibri" w:eastAsia="Calibri" w:hAnsi="Calibri" w:cs="Times New Roman"/>
          <w:sz w:val="24"/>
          <w:szCs w:val="24"/>
        </w:rPr>
        <w:t xml:space="preserve">.  This section should also </w:t>
      </w:r>
      <w:r w:rsidR="009F24E1" w:rsidRPr="00D702EB">
        <w:rPr>
          <w:rFonts w:ascii="Calibri" w:eastAsia="Calibri" w:hAnsi="Calibri" w:cs="Times New Roman"/>
          <w:sz w:val="24"/>
          <w:szCs w:val="24"/>
        </w:rPr>
        <w:t xml:space="preserve">describe the </w:t>
      </w:r>
      <w:r w:rsidRPr="00D702EB">
        <w:rPr>
          <w:rFonts w:ascii="Calibri" w:eastAsia="Calibri" w:hAnsi="Calibri" w:cs="Times New Roman"/>
          <w:sz w:val="24"/>
          <w:szCs w:val="24"/>
        </w:rPr>
        <w:t xml:space="preserve">infrastructure (e.g., analytics) and workforce that </w:t>
      </w:r>
      <w:r w:rsidR="00C966BB">
        <w:rPr>
          <w:rFonts w:ascii="Calibri" w:eastAsia="Calibri" w:hAnsi="Calibri" w:cs="Times New Roman"/>
          <w:sz w:val="24"/>
          <w:szCs w:val="24"/>
        </w:rPr>
        <w:t>are</w:t>
      </w:r>
      <w:r w:rsidRPr="00D702EB">
        <w:rPr>
          <w:rFonts w:ascii="Calibri" w:eastAsia="Calibri" w:hAnsi="Calibri" w:cs="Times New Roman"/>
          <w:sz w:val="24"/>
          <w:szCs w:val="24"/>
        </w:rPr>
        <w:t xml:space="preserve"> needed to support the model.  The discussion of the </w:t>
      </w:r>
      <w:r w:rsidR="00F139A1" w:rsidRPr="00D702EB">
        <w:rPr>
          <w:rFonts w:ascii="Calibri" w:eastAsia="Calibri" w:hAnsi="Calibri" w:cs="Times New Roman"/>
          <w:sz w:val="24"/>
          <w:szCs w:val="24"/>
        </w:rPr>
        <w:t>proposed program or intervention</w:t>
      </w:r>
      <w:r w:rsidRPr="00D702EB">
        <w:rPr>
          <w:rFonts w:ascii="Calibri" w:eastAsia="Calibri" w:hAnsi="Calibri" w:cs="Times New Roman"/>
          <w:sz w:val="24"/>
          <w:szCs w:val="24"/>
        </w:rPr>
        <w:t xml:space="preserve"> </w:t>
      </w:r>
      <w:r w:rsidR="00F139A1" w:rsidRPr="00D702EB">
        <w:rPr>
          <w:rFonts w:ascii="Calibri" w:eastAsia="Calibri" w:hAnsi="Calibri" w:cs="Times New Roman"/>
          <w:sz w:val="24"/>
          <w:szCs w:val="24"/>
        </w:rPr>
        <w:t xml:space="preserve">should </w:t>
      </w:r>
      <w:r w:rsidR="009F24E1" w:rsidRPr="00D702EB">
        <w:rPr>
          <w:rFonts w:ascii="Calibri" w:eastAsia="Calibri" w:hAnsi="Calibri" w:cs="Times New Roman"/>
          <w:sz w:val="24"/>
          <w:szCs w:val="24"/>
        </w:rPr>
        <w:t>be very specific</w:t>
      </w:r>
      <w:r w:rsidR="00F139A1" w:rsidRPr="00D702EB">
        <w:rPr>
          <w:rFonts w:ascii="Calibri" w:eastAsia="Calibri" w:hAnsi="Calibri" w:cs="Times New Roman"/>
          <w:sz w:val="24"/>
          <w:szCs w:val="24"/>
        </w:rPr>
        <w:t xml:space="preserve"> and </w:t>
      </w:r>
      <w:r w:rsidR="00224CB9" w:rsidRPr="00D702EB">
        <w:rPr>
          <w:rFonts w:ascii="Calibri" w:eastAsia="Calibri" w:hAnsi="Calibri" w:cs="Times New Roman"/>
          <w:sz w:val="24"/>
          <w:szCs w:val="24"/>
        </w:rPr>
        <w:t>describe</w:t>
      </w:r>
      <w:r w:rsidR="00F139A1" w:rsidRPr="00D702EB">
        <w:rPr>
          <w:rFonts w:ascii="Calibri" w:eastAsia="Calibri" w:hAnsi="Calibri" w:cs="Times New Roman"/>
          <w:sz w:val="24"/>
          <w:szCs w:val="24"/>
        </w:rPr>
        <w:t xml:space="preserve"> how </w:t>
      </w:r>
      <w:r w:rsidR="00224CB9" w:rsidRPr="00D702EB">
        <w:rPr>
          <w:sz w:val="24"/>
          <w:szCs w:val="24"/>
        </w:rPr>
        <w:t>programs, interventions, and resources, complement other programs</w:t>
      </w:r>
      <w:r w:rsidR="00735F9C">
        <w:rPr>
          <w:sz w:val="24"/>
          <w:szCs w:val="24"/>
        </w:rPr>
        <w:t>/</w:t>
      </w:r>
      <w:r w:rsidR="00224CB9" w:rsidRPr="00D702EB">
        <w:rPr>
          <w:sz w:val="24"/>
          <w:szCs w:val="24"/>
        </w:rPr>
        <w:t xml:space="preserve">interventions underway based on previous infrastructure investments being pursued by an individual hospital as part of a Regional Partnership or other collaboration. Also, include a description of how they are distinct from one another and, if there is overlap, clarify how they intersect. </w:t>
      </w:r>
    </w:p>
    <w:p w:rsidR="00BE33AB" w:rsidRDefault="002F2130" w:rsidP="00CD0C3E">
      <w:pPr>
        <w:pStyle w:val="ListParagraph"/>
        <w:spacing w:after="120"/>
        <w:rPr>
          <w:sz w:val="24"/>
          <w:szCs w:val="24"/>
        </w:rPr>
      </w:pPr>
      <w:r w:rsidRPr="00C60A82">
        <w:rPr>
          <w:rFonts w:ascii="Calibri" w:eastAsia="Calibri" w:hAnsi="Calibri" w:cs="Times New Roman"/>
          <w:sz w:val="24"/>
          <w:szCs w:val="24"/>
        </w:rPr>
        <w:t xml:space="preserve">While the </w:t>
      </w:r>
      <w:r>
        <w:rPr>
          <w:rFonts w:ascii="Calibri" w:eastAsia="Calibri" w:hAnsi="Calibri" w:cs="Times New Roman"/>
          <w:sz w:val="24"/>
          <w:szCs w:val="24"/>
        </w:rPr>
        <w:t>program</w:t>
      </w:r>
      <w:r w:rsidR="00C966BB">
        <w:rPr>
          <w:rFonts w:ascii="Calibri" w:eastAsia="Calibri" w:hAnsi="Calibri" w:cs="Times New Roman"/>
          <w:sz w:val="24"/>
          <w:szCs w:val="24"/>
        </w:rPr>
        <w:t>/</w:t>
      </w:r>
      <w:r>
        <w:rPr>
          <w:rFonts w:ascii="Calibri" w:eastAsia="Calibri" w:hAnsi="Calibri" w:cs="Times New Roman"/>
          <w:sz w:val="24"/>
          <w:szCs w:val="24"/>
        </w:rPr>
        <w:t>intervention</w:t>
      </w:r>
      <w:r w:rsidRPr="00C60A82">
        <w:rPr>
          <w:rFonts w:ascii="Calibri" w:eastAsia="Calibri" w:hAnsi="Calibri" w:cs="Times New Roman"/>
          <w:sz w:val="24"/>
          <w:szCs w:val="24"/>
        </w:rPr>
        <w:t xml:space="preserve"> itself should focus on particular patient populations</w:t>
      </w:r>
      <w:r w:rsidRPr="00FC4C05">
        <w:rPr>
          <w:rFonts w:ascii="Calibri" w:eastAsia="Calibri" w:hAnsi="Calibri" w:cs="Times New Roman"/>
          <w:sz w:val="24"/>
          <w:szCs w:val="24"/>
        </w:rPr>
        <w:t xml:space="preserve">, such as </w:t>
      </w:r>
      <w:r w:rsidRPr="00C60A82">
        <w:rPr>
          <w:rFonts w:ascii="Calibri" w:eastAsia="Calibri" w:hAnsi="Calibri" w:cs="Times New Roman"/>
          <w:sz w:val="24"/>
          <w:szCs w:val="24"/>
        </w:rPr>
        <w:t xml:space="preserve">patients with multiple chronic conditions and high resource use, the proposal </w:t>
      </w:r>
      <w:r w:rsidRPr="002F2130">
        <w:rPr>
          <w:rFonts w:ascii="Calibri" w:eastAsia="Calibri" w:hAnsi="Calibri" w:cs="Times New Roman"/>
          <w:sz w:val="24"/>
          <w:szCs w:val="24"/>
        </w:rPr>
        <w:t>should</w:t>
      </w:r>
      <w:r w:rsidR="00201205" w:rsidRPr="00201205">
        <w:rPr>
          <w:sz w:val="24"/>
          <w:szCs w:val="24"/>
        </w:rPr>
        <w:t xml:space="preserve"> describe</w:t>
      </w:r>
      <w:r>
        <w:t xml:space="preserve"> </w:t>
      </w:r>
      <w:r w:rsidRPr="007B31B5">
        <w:rPr>
          <w:rFonts w:ascii="Calibri" w:eastAsia="Calibri" w:hAnsi="Calibri" w:cs="Times New Roman"/>
          <w:sz w:val="24"/>
          <w:szCs w:val="24"/>
        </w:rPr>
        <w:t xml:space="preserve">how the </w:t>
      </w:r>
      <w:r w:rsidR="00C966BB">
        <w:rPr>
          <w:rFonts w:ascii="Calibri" w:eastAsia="Calibri" w:hAnsi="Calibri" w:cs="Times New Roman"/>
          <w:sz w:val="24"/>
          <w:szCs w:val="24"/>
        </w:rPr>
        <w:t>program/</w:t>
      </w:r>
      <w:r w:rsidRPr="007B31B5">
        <w:rPr>
          <w:rFonts w:ascii="Calibri" w:eastAsia="Calibri" w:hAnsi="Calibri" w:cs="Times New Roman"/>
          <w:sz w:val="24"/>
          <w:szCs w:val="24"/>
        </w:rPr>
        <w:t>intervention will improve population health.  The proposal should also describe</w:t>
      </w:r>
      <w:r w:rsidRPr="00C60A82">
        <w:rPr>
          <w:rFonts w:ascii="Calibri" w:eastAsia="Calibri" w:hAnsi="Calibri" w:cs="Times New Roman"/>
          <w:sz w:val="24"/>
          <w:szCs w:val="24"/>
        </w:rPr>
        <w:t xml:space="preserve"> </w:t>
      </w:r>
      <w:r w:rsidRPr="00735F9C">
        <w:rPr>
          <w:rFonts w:ascii="Calibri" w:eastAsia="Calibri" w:hAnsi="Calibri" w:cs="Times New Roman"/>
          <w:sz w:val="24"/>
          <w:szCs w:val="24"/>
        </w:rPr>
        <w:t xml:space="preserve">how </w:t>
      </w:r>
      <w:r>
        <w:rPr>
          <w:sz w:val="24"/>
          <w:szCs w:val="24"/>
        </w:rPr>
        <w:t>the model of intervention</w:t>
      </w:r>
      <w:r w:rsidRPr="00AB7C77">
        <w:rPr>
          <w:sz w:val="24"/>
          <w:szCs w:val="24"/>
        </w:rPr>
        <w:t xml:space="preserve"> fits with</w:t>
      </w:r>
      <w:r w:rsidR="00C966BB">
        <w:rPr>
          <w:sz w:val="24"/>
          <w:szCs w:val="24"/>
        </w:rPr>
        <w:t>in</w:t>
      </w:r>
      <w:r w:rsidRPr="00AB7C77">
        <w:rPr>
          <w:sz w:val="24"/>
          <w:szCs w:val="24"/>
        </w:rPr>
        <w:t xml:space="preserve"> your overall </w:t>
      </w:r>
      <w:r>
        <w:rPr>
          <w:sz w:val="24"/>
          <w:szCs w:val="24"/>
        </w:rPr>
        <w:t xml:space="preserve">hospital strategic </w:t>
      </w:r>
      <w:r w:rsidRPr="00AB7C77">
        <w:rPr>
          <w:sz w:val="24"/>
          <w:szCs w:val="24"/>
        </w:rPr>
        <w:t>transformation plan.</w:t>
      </w:r>
    </w:p>
    <w:p w:rsidR="00661411" w:rsidRDefault="00661411" w:rsidP="00CD0C3E">
      <w:pPr>
        <w:pStyle w:val="ListParagraph"/>
        <w:spacing w:after="120"/>
        <w:rPr>
          <w:sz w:val="24"/>
          <w:szCs w:val="24"/>
        </w:rPr>
      </w:pPr>
    </w:p>
    <w:p w:rsidR="00CA5219" w:rsidRDefault="00201205" w:rsidP="00CD0C3E">
      <w:pPr>
        <w:pStyle w:val="ListParagraph"/>
        <w:numPr>
          <w:ilvl w:val="0"/>
          <w:numId w:val="20"/>
        </w:numPr>
        <w:spacing w:after="120"/>
        <w:rPr>
          <w:sz w:val="24"/>
          <w:szCs w:val="24"/>
        </w:rPr>
      </w:pPr>
      <w:r w:rsidRPr="00201205">
        <w:rPr>
          <w:b/>
          <w:sz w:val="24"/>
          <w:szCs w:val="24"/>
        </w:rPr>
        <w:t>Measurement and Outcome</w:t>
      </w:r>
    </w:p>
    <w:p w:rsidR="00D36E33" w:rsidRDefault="002A0C66" w:rsidP="00CD0C3E">
      <w:pPr>
        <w:pStyle w:val="ListParagraph"/>
        <w:spacing w:after="120"/>
        <w:rPr>
          <w:sz w:val="24"/>
          <w:szCs w:val="24"/>
        </w:rPr>
      </w:pPr>
      <w:r>
        <w:rPr>
          <w:sz w:val="24"/>
          <w:szCs w:val="24"/>
        </w:rPr>
        <w:t>T</w:t>
      </w:r>
      <w:r w:rsidR="00282954">
        <w:rPr>
          <w:sz w:val="24"/>
          <w:szCs w:val="24"/>
        </w:rPr>
        <w:t>his section should describe h</w:t>
      </w:r>
      <w:r w:rsidR="007D2E43">
        <w:rPr>
          <w:sz w:val="24"/>
          <w:szCs w:val="24"/>
        </w:rPr>
        <w:t xml:space="preserve">ow progress on the program, model or intervention be measured.  </w:t>
      </w:r>
      <w:r w:rsidR="00282954">
        <w:rPr>
          <w:sz w:val="24"/>
          <w:szCs w:val="24"/>
        </w:rPr>
        <w:t>The section should describe</w:t>
      </w:r>
      <w:r w:rsidR="007D2E43">
        <w:rPr>
          <w:sz w:val="24"/>
          <w:szCs w:val="24"/>
        </w:rPr>
        <w:t xml:space="preserve"> the expected outcomes</w:t>
      </w:r>
      <w:r w:rsidR="00282954">
        <w:rPr>
          <w:sz w:val="24"/>
          <w:szCs w:val="24"/>
        </w:rPr>
        <w:t xml:space="preserve"> and</w:t>
      </w:r>
      <w:r w:rsidR="007D2E43">
        <w:rPr>
          <w:sz w:val="24"/>
          <w:szCs w:val="24"/>
        </w:rPr>
        <w:t xml:space="preserve"> </w:t>
      </w:r>
      <w:r w:rsidR="00282954">
        <w:rPr>
          <w:sz w:val="24"/>
          <w:szCs w:val="24"/>
        </w:rPr>
        <w:t>i</w:t>
      </w:r>
      <w:r w:rsidR="007D2E43">
        <w:rPr>
          <w:sz w:val="24"/>
          <w:szCs w:val="24"/>
        </w:rPr>
        <w:t xml:space="preserve">nclude baseline data and </w:t>
      </w:r>
      <w:r w:rsidR="00282954">
        <w:rPr>
          <w:sz w:val="24"/>
          <w:szCs w:val="24"/>
        </w:rPr>
        <w:t>measures</w:t>
      </w:r>
      <w:r w:rsidR="007D2E43">
        <w:rPr>
          <w:sz w:val="24"/>
          <w:szCs w:val="24"/>
        </w:rPr>
        <w:t xml:space="preserve">. </w:t>
      </w:r>
      <w:r w:rsidR="007A1FDC">
        <w:rPr>
          <w:sz w:val="24"/>
          <w:szCs w:val="24"/>
        </w:rPr>
        <w:t xml:space="preserve"> Appendix A -</w:t>
      </w:r>
      <w:r w:rsidR="007D2E43">
        <w:rPr>
          <w:sz w:val="24"/>
          <w:szCs w:val="24"/>
        </w:rPr>
        <w:t xml:space="preserve"> Tables 1 and 2 </w:t>
      </w:r>
      <w:r w:rsidR="00C966BB">
        <w:rPr>
          <w:sz w:val="24"/>
          <w:szCs w:val="24"/>
        </w:rPr>
        <w:t>are</w:t>
      </w:r>
      <w:r w:rsidR="007D2E43">
        <w:rPr>
          <w:sz w:val="24"/>
          <w:szCs w:val="24"/>
        </w:rPr>
        <w:t xml:space="preserve"> a guide for types of </w:t>
      </w:r>
      <w:r w:rsidR="00C01310">
        <w:rPr>
          <w:sz w:val="24"/>
          <w:szCs w:val="24"/>
        </w:rPr>
        <w:t>measures</w:t>
      </w:r>
      <w:r w:rsidR="007D2E43">
        <w:rPr>
          <w:sz w:val="24"/>
          <w:szCs w:val="24"/>
        </w:rPr>
        <w:t xml:space="preserve"> that the Commission considers necessary for success on the All-payer Model requirements.</w:t>
      </w:r>
      <w:r w:rsidR="00C01310">
        <w:rPr>
          <w:sz w:val="24"/>
          <w:szCs w:val="24"/>
        </w:rPr>
        <w:t xml:space="preserve">  In addition to high level goals that the applicants are pursuing, specific program-specific measures should be proposed by applicants</w:t>
      </w:r>
      <w:r w:rsidR="00CA5219">
        <w:rPr>
          <w:sz w:val="24"/>
          <w:szCs w:val="24"/>
        </w:rPr>
        <w:t>.</w:t>
      </w:r>
      <w:r w:rsidR="00D36E33">
        <w:rPr>
          <w:sz w:val="24"/>
          <w:szCs w:val="24"/>
        </w:rPr>
        <w:t xml:space="preserve">  Applicants should provide the evidence basis for their approach.</w:t>
      </w:r>
    </w:p>
    <w:p w:rsidR="00D36E33" w:rsidRDefault="00D36E33" w:rsidP="00CD0C3E">
      <w:pPr>
        <w:pStyle w:val="ListParagraph"/>
        <w:spacing w:after="120"/>
        <w:rPr>
          <w:sz w:val="24"/>
          <w:szCs w:val="24"/>
        </w:rPr>
      </w:pPr>
    </w:p>
    <w:p w:rsidR="00CA5219" w:rsidRPr="00CD0C3E" w:rsidRDefault="002A0C66" w:rsidP="00CD0C3E">
      <w:pPr>
        <w:pStyle w:val="ListParagraph"/>
        <w:numPr>
          <w:ilvl w:val="0"/>
          <w:numId w:val="20"/>
        </w:numPr>
        <w:spacing w:after="120"/>
        <w:rPr>
          <w:rFonts w:ascii="Calibri" w:eastAsia="Calibri" w:hAnsi="Calibri" w:cs="Times New Roman"/>
          <w:sz w:val="24"/>
          <w:szCs w:val="24"/>
        </w:rPr>
      </w:pPr>
      <w:r>
        <w:rPr>
          <w:rFonts w:ascii="Calibri" w:eastAsia="Calibri" w:hAnsi="Calibri" w:cs="Times New Roman"/>
          <w:b/>
          <w:sz w:val="24"/>
          <w:szCs w:val="24"/>
        </w:rPr>
        <w:t>Return on Investment</w:t>
      </w:r>
    </w:p>
    <w:p w:rsidR="000646CB" w:rsidRDefault="00A46553" w:rsidP="00CD0C3E">
      <w:pPr>
        <w:pStyle w:val="ListParagraph"/>
        <w:spacing w:after="120"/>
        <w:rPr>
          <w:rFonts w:ascii="Calibri" w:eastAsia="Calibri" w:hAnsi="Calibri" w:cs="Times New Roman"/>
          <w:sz w:val="24"/>
          <w:szCs w:val="24"/>
        </w:rPr>
      </w:pPr>
      <w:r w:rsidRPr="007B31B5">
        <w:rPr>
          <w:rFonts w:ascii="Calibri" w:eastAsia="Calibri" w:hAnsi="Calibri" w:cs="Times New Roman"/>
          <w:sz w:val="24"/>
          <w:szCs w:val="24"/>
        </w:rPr>
        <w:t xml:space="preserve">This section should </w:t>
      </w:r>
      <w:r w:rsidR="00C966BB">
        <w:rPr>
          <w:rFonts w:ascii="Calibri" w:eastAsia="Calibri" w:hAnsi="Calibri" w:cs="Times New Roman"/>
          <w:sz w:val="24"/>
          <w:szCs w:val="24"/>
        </w:rPr>
        <w:t xml:space="preserve">describe </w:t>
      </w:r>
      <w:r w:rsidRPr="007B31B5">
        <w:rPr>
          <w:rFonts w:ascii="Calibri" w:eastAsia="Calibri" w:hAnsi="Calibri" w:cs="Times New Roman"/>
          <w:sz w:val="24"/>
          <w:szCs w:val="24"/>
        </w:rPr>
        <w:t xml:space="preserve">specifically how </w:t>
      </w:r>
      <w:r w:rsidR="0054112D" w:rsidRPr="007B31B5">
        <w:rPr>
          <w:rFonts w:ascii="Calibri" w:eastAsia="Calibri" w:hAnsi="Calibri" w:cs="Times New Roman"/>
          <w:sz w:val="24"/>
          <w:szCs w:val="24"/>
        </w:rPr>
        <w:t>the proposed program or intervention</w:t>
      </w:r>
      <w:r w:rsidRPr="007B31B5">
        <w:rPr>
          <w:rFonts w:ascii="Calibri" w:eastAsia="Calibri" w:hAnsi="Calibri" w:cs="Times New Roman"/>
          <w:sz w:val="24"/>
          <w:szCs w:val="24"/>
        </w:rPr>
        <w:t xml:space="preserve"> will move toward meeting the goals and requirements of the new All-</w:t>
      </w:r>
      <w:r w:rsidR="00F139A1" w:rsidRPr="007B31B5">
        <w:rPr>
          <w:rFonts w:ascii="Calibri" w:eastAsia="Calibri" w:hAnsi="Calibri" w:cs="Times New Roman"/>
          <w:sz w:val="24"/>
          <w:szCs w:val="24"/>
        </w:rPr>
        <w:t>P</w:t>
      </w:r>
      <w:r w:rsidRPr="007B31B5">
        <w:rPr>
          <w:rFonts w:ascii="Calibri" w:eastAsia="Calibri" w:hAnsi="Calibri" w:cs="Times New Roman"/>
          <w:sz w:val="24"/>
          <w:szCs w:val="24"/>
        </w:rPr>
        <w:t xml:space="preserve">ayer </w:t>
      </w:r>
      <w:r w:rsidR="00F139A1" w:rsidRPr="007B31B5">
        <w:rPr>
          <w:rFonts w:ascii="Calibri" w:eastAsia="Calibri" w:hAnsi="Calibri" w:cs="Times New Roman"/>
          <w:sz w:val="24"/>
          <w:szCs w:val="24"/>
        </w:rPr>
        <w:t>M</w:t>
      </w:r>
      <w:r w:rsidRPr="007B31B5">
        <w:rPr>
          <w:rFonts w:ascii="Calibri" w:eastAsia="Calibri" w:hAnsi="Calibri" w:cs="Times New Roman"/>
          <w:sz w:val="24"/>
          <w:szCs w:val="24"/>
        </w:rPr>
        <w:t>odel in Maryland.</w:t>
      </w:r>
      <w:r w:rsidR="00735F9C" w:rsidRPr="007B31B5">
        <w:rPr>
          <w:rFonts w:ascii="Calibri" w:eastAsia="Calibri" w:hAnsi="Calibri" w:cs="Times New Roman"/>
          <w:sz w:val="24"/>
          <w:szCs w:val="24"/>
        </w:rPr>
        <w:t xml:space="preserve"> </w:t>
      </w:r>
      <w:r w:rsidR="007B31B5" w:rsidRPr="007B31B5">
        <w:rPr>
          <w:rFonts w:ascii="Calibri" w:eastAsia="Calibri" w:hAnsi="Calibri" w:cs="Times New Roman"/>
          <w:sz w:val="24"/>
          <w:szCs w:val="24"/>
        </w:rPr>
        <w:t>The expected</w:t>
      </w:r>
      <w:r w:rsidR="002F2130">
        <w:rPr>
          <w:rFonts w:ascii="Calibri" w:eastAsia="Calibri" w:hAnsi="Calibri" w:cs="Times New Roman"/>
          <w:sz w:val="24"/>
          <w:szCs w:val="24"/>
        </w:rPr>
        <w:t xml:space="preserve"> hospital</w:t>
      </w:r>
      <w:r w:rsidR="007B31B5" w:rsidRPr="007B31B5">
        <w:rPr>
          <w:rFonts w:ascii="Calibri" w:eastAsia="Calibri" w:hAnsi="Calibri" w:cs="Times New Roman"/>
          <w:sz w:val="24"/>
          <w:szCs w:val="24"/>
        </w:rPr>
        <w:t xml:space="preserve"> ROI for Rate Years 2017, 2018, and 2019 must be quantified</w:t>
      </w:r>
      <w:r w:rsidR="002F2130">
        <w:rPr>
          <w:rFonts w:ascii="Calibri" w:eastAsia="Calibri" w:hAnsi="Calibri" w:cs="Times New Roman"/>
          <w:sz w:val="24"/>
          <w:szCs w:val="24"/>
        </w:rPr>
        <w:t xml:space="preserve"> (see </w:t>
      </w:r>
      <w:r w:rsidR="007A1FDC">
        <w:rPr>
          <w:rFonts w:ascii="Calibri" w:eastAsia="Calibri" w:hAnsi="Calibri" w:cs="Times New Roman"/>
          <w:sz w:val="24"/>
          <w:szCs w:val="24"/>
        </w:rPr>
        <w:t xml:space="preserve">Appendix </w:t>
      </w:r>
      <w:proofErr w:type="gramStart"/>
      <w:r w:rsidR="007A1FDC">
        <w:rPr>
          <w:rFonts w:ascii="Calibri" w:eastAsia="Calibri" w:hAnsi="Calibri" w:cs="Times New Roman"/>
          <w:sz w:val="24"/>
          <w:szCs w:val="24"/>
        </w:rPr>
        <w:t>A</w:t>
      </w:r>
      <w:proofErr w:type="gramEnd"/>
      <w:r w:rsidR="007A1FDC">
        <w:rPr>
          <w:rFonts w:ascii="Calibri" w:eastAsia="Calibri" w:hAnsi="Calibri" w:cs="Times New Roman"/>
          <w:sz w:val="24"/>
          <w:szCs w:val="24"/>
        </w:rPr>
        <w:t xml:space="preserve"> -</w:t>
      </w:r>
      <w:r w:rsidR="002F2130">
        <w:rPr>
          <w:rFonts w:ascii="Calibri" w:eastAsia="Calibri" w:hAnsi="Calibri" w:cs="Times New Roman"/>
          <w:sz w:val="24"/>
          <w:szCs w:val="24"/>
        </w:rPr>
        <w:t>Table 3 for an example</w:t>
      </w:r>
      <w:r w:rsidR="007F6EF3">
        <w:rPr>
          <w:rFonts w:ascii="Calibri" w:eastAsia="Calibri" w:hAnsi="Calibri" w:cs="Times New Roman"/>
          <w:sz w:val="24"/>
          <w:szCs w:val="24"/>
        </w:rPr>
        <w:t xml:space="preserve"> and a blank template</w:t>
      </w:r>
      <w:r w:rsidR="002F2130">
        <w:rPr>
          <w:rFonts w:ascii="Calibri" w:eastAsia="Calibri" w:hAnsi="Calibri" w:cs="Times New Roman"/>
          <w:sz w:val="24"/>
          <w:szCs w:val="24"/>
        </w:rPr>
        <w:t>)</w:t>
      </w:r>
      <w:r w:rsidR="00C966BB">
        <w:rPr>
          <w:rFonts w:ascii="Calibri" w:eastAsia="Calibri" w:hAnsi="Calibri" w:cs="Times New Roman"/>
          <w:sz w:val="24"/>
          <w:szCs w:val="24"/>
        </w:rPr>
        <w:t>.</w:t>
      </w:r>
      <w:r w:rsidR="007B31B5" w:rsidRPr="007B31B5">
        <w:rPr>
          <w:rFonts w:ascii="Calibri" w:eastAsia="Calibri" w:hAnsi="Calibri" w:cs="Times New Roman"/>
          <w:sz w:val="24"/>
          <w:szCs w:val="24"/>
        </w:rPr>
        <w:t xml:space="preserve"> Plans for utilizing the ROI retained by the hospital or partnership must also be specified</w:t>
      </w:r>
      <w:r w:rsidR="009C7FBA">
        <w:rPr>
          <w:rFonts w:ascii="Calibri" w:eastAsia="Calibri" w:hAnsi="Calibri" w:cs="Times New Roman"/>
          <w:sz w:val="24"/>
          <w:szCs w:val="24"/>
        </w:rPr>
        <w:t xml:space="preserve"> and by </w:t>
      </w:r>
      <w:r w:rsidR="009C7FBA">
        <w:rPr>
          <w:rFonts w:ascii="Calibri" w:eastAsia="Calibri" w:hAnsi="Calibri" w:cs="Times New Roman"/>
          <w:sz w:val="24"/>
          <w:szCs w:val="24"/>
        </w:rPr>
        <w:lastRenderedPageBreak/>
        <w:t>when</w:t>
      </w:r>
      <w:r w:rsidR="007B31B5" w:rsidRPr="007B31B5">
        <w:rPr>
          <w:rFonts w:ascii="Calibri" w:eastAsia="Calibri" w:hAnsi="Calibri" w:cs="Times New Roman"/>
          <w:sz w:val="24"/>
          <w:szCs w:val="24"/>
        </w:rPr>
        <w:t xml:space="preserve">.   </w:t>
      </w:r>
      <w:r w:rsidR="00945660">
        <w:rPr>
          <w:rFonts w:ascii="Calibri" w:eastAsia="Calibri" w:hAnsi="Calibri" w:cs="Times New Roman"/>
          <w:sz w:val="24"/>
          <w:szCs w:val="24"/>
        </w:rPr>
        <w:t xml:space="preserve">In addition to the ROI for the participating hospitals, </w:t>
      </w:r>
      <w:r w:rsidR="0013203B">
        <w:rPr>
          <w:rFonts w:ascii="Calibri" w:eastAsia="Calibri" w:hAnsi="Calibri" w:cs="Times New Roman"/>
          <w:sz w:val="24"/>
          <w:szCs w:val="24"/>
        </w:rPr>
        <w:t>the HSCRC expects that a portion of the ROI accrue to payers.  Applicants are expected to show how the ROI will be apportioned between the hospital(s), and payers, and how the payer portions will be applied (global budget reduction, etc.)</w:t>
      </w:r>
      <w:r w:rsidR="000646CB">
        <w:rPr>
          <w:rFonts w:ascii="Calibri" w:eastAsia="Calibri" w:hAnsi="Calibri" w:cs="Times New Roman"/>
          <w:sz w:val="24"/>
          <w:szCs w:val="24"/>
        </w:rPr>
        <w:t>.</w:t>
      </w:r>
    </w:p>
    <w:p w:rsidR="00650565" w:rsidRDefault="000646CB" w:rsidP="00C7721A">
      <w:pPr>
        <w:spacing w:after="0" w:line="240" w:lineRule="auto"/>
        <w:ind w:left="720"/>
        <w:rPr>
          <w:rFonts w:ascii="Calibri" w:eastAsia="Calibri" w:hAnsi="Calibri" w:cs="Times New Roman"/>
          <w:sz w:val="24"/>
          <w:szCs w:val="24"/>
        </w:rPr>
      </w:pPr>
      <w:r w:rsidRPr="00454D92">
        <w:rPr>
          <w:rFonts w:ascii="Calibri" w:eastAsia="Calibri" w:hAnsi="Calibri" w:cs="Times New Roman"/>
          <w:sz w:val="24"/>
          <w:szCs w:val="24"/>
        </w:rPr>
        <w:t>If the model or interv</w:t>
      </w:r>
      <w:r w:rsidRPr="00727E1D">
        <w:rPr>
          <w:rFonts w:ascii="Calibri" w:eastAsia="Calibri" w:hAnsi="Calibri" w:cs="Times New Roman"/>
          <w:sz w:val="24"/>
          <w:szCs w:val="24"/>
        </w:rPr>
        <w:t>ention is expected to reduc</w:t>
      </w:r>
      <w:r>
        <w:rPr>
          <w:rFonts w:ascii="Calibri" w:eastAsia="Calibri" w:hAnsi="Calibri" w:cs="Times New Roman"/>
          <w:sz w:val="24"/>
          <w:szCs w:val="24"/>
        </w:rPr>
        <w:t>e</w:t>
      </w:r>
      <w:r w:rsidRPr="00727E1D">
        <w:rPr>
          <w:rFonts w:ascii="Calibri" w:eastAsia="Calibri" w:hAnsi="Calibri" w:cs="Times New Roman"/>
          <w:sz w:val="24"/>
          <w:szCs w:val="24"/>
        </w:rPr>
        <w:t xml:space="preserve"> the total cost of care beyond the hospital, please quantify expected savings.</w:t>
      </w:r>
    </w:p>
    <w:p w:rsidR="004D166C" w:rsidRDefault="004D166C" w:rsidP="00C7721A">
      <w:pPr>
        <w:spacing w:after="0" w:line="240" w:lineRule="auto"/>
        <w:ind w:left="720"/>
        <w:rPr>
          <w:rFonts w:ascii="Calibri" w:eastAsia="Calibri" w:hAnsi="Calibri" w:cs="Times New Roman"/>
          <w:sz w:val="24"/>
          <w:szCs w:val="24"/>
        </w:rPr>
      </w:pPr>
    </w:p>
    <w:p w:rsidR="00CA5219" w:rsidRDefault="00916FF4" w:rsidP="00963F21">
      <w:pPr>
        <w:numPr>
          <w:ilvl w:val="0"/>
          <w:numId w:val="20"/>
        </w:numPr>
        <w:spacing w:before="120" w:after="120"/>
        <w:contextualSpacing/>
        <w:rPr>
          <w:rFonts w:ascii="Calibri" w:eastAsia="Calibri" w:hAnsi="Calibri" w:cs="Times New Roman"/>
          <w:b/>
          <w:sz w:val="24"/>
          <w:szCs w:val="24"/>
        </w:rPr>
      </w:pPr>
      <w:r>
        <w:rPr>
          <w:rFonts w:ascii="Calibri" w:eastAsia="Calibri" w:hAnsi="Calibri" w:cs="Times New Roman"/>
          <w:b/>
          <w:sz w:val="24"/>
          <w:szCs w:val="24"/>
        </w:rPr>
        <w:t>Scalability and</w:t>
      </w:r>
      <w:r w:rsidR="002A0C66">
        <w:rPr>
          <w:rFonts w:ascii="Calibri" w:eastAsia="Calibri" w:hAnsi="Calibri" w:cs="Times New Roman"/>
          <w:b/>
          <w:sz w:val="24"/>
          <w:szCs w:val="24"/>
        </w:rPr>
        <w:t xml:space="preserve"> Sustainability</w:t>
      </w:r>
    </w:p>
    <w:p w:rsidR="00A46553" w:rsidRDefault="00A46553" w:rsidP="00CD0C3E">
      <w:pPr>
        <w:spacing w:after="120"/>
        <w:ind w:left="720"/>
        <w:contextualSpacing/>
        <w:rPr>
          <w:rFonts w:ascii="Calibri" w:eastAsia="Calibri" w:hAnsi="Calibri" w:cs="Times New Roman"/>
          <w:sz w:val="24"/>
          <w:szCs w:val="24"/>
        </w:rPr>
      </w:pPr>
      <w:r w:rsidRPr="00C60A82">
        <w:rPr>
          <w:rFonts w:ascii="Calibri" w:eastAsia="Calibri" w:hAnsi="Calibri" w:cs="Times New Roman"/>
          <w:sz w:val="24"/>
          <w:szCs w:val="24"/>
        </w:rPr>
        <w:t xml:space="preserve">This section </w:t>
      </w:r>
      <w:r w:rsidR="00FC4C05">
        <w:rPr>
          <w:rFonts w:ascii="Calibri" w:eastAsia="Calibri" w:hAnsi="Calibri" w:cs="Times New Roman"/>
          <w:sz w:val="24"/>
          <w:szCs w:val="24"/>
        </w:rPr>
        <w:t>sh</w:t>
      </w:r>
      <w:r w:rsidR="00C01310">
        <w:rPr>
          <w:rFonts w:ascii="Calibri" w:eastAsia="Calibri" w:hAnsi="Calibri" w:cs="Times New Roman"/>
          <w:sz w:val="24"/>
          <w:szCs w:val="24"/>
        </w:rPr>
        <w:t>ould</w:t>
      </w:r>
      <w:r w:rsidR="00FC4C05">
        <w:rPr>
          <w:rFonts w:ascii="Calibri" w:eastAsia="Calibri" w:hAnsi="Calibri" w:cs="Times New Roman"/>
          <w:sz w:val="24"/>
          <w:szCs w:val="24"/>
        </w:rPr>
        <w:t xml:space="preserve"> detail </w:t>
      </w:r>
      <w:r w:rsidR="00916FF4" w:rsidRPr="00916FF4">
        <w:rPr>
          <w:rFonts w:ascii="Calibri" w:eastAsia="Calibri" w:hAnsi="Calibri" w:cs="Times New Roman"/>
          <w:sz w:val="24"/>
          <w:szCs w:val="24"/>
        </w:rPr>
        <w:t xml:space="preserve">how the intervention/program is sustainable without additional rate increases in future years (beyond the ongoing amount associated with this competitive award).  Plans for funding an expansion of the program/intervention if it proves successful should also be described.  </w:t>
      </w:r>
      <w:r w:rsidRPr="00C60A82">
        <w:rPr>
          <w:rFonts w:ascii="Calibri" w:eastAsia="Calibri" w:hAnsi="Calibri" w:cs="Times New Roman"/>
          <w:sz w:val="24"/>
          <w:szCs w:val="24"/>
        </w:rPr>
        <w:t>The partners should demonstrate a commitment to sharing resources and addressing alignment of payment models on an ongoing basis.</w:t>
      </w:r>
    </w:p>
    <w:p w:rsidR="00661411" w:rsidRPr="00650565" w:rsidRDefault="00661411" w:rsidP="00CD0C3E">
      <w:pPr>
        <w:spacing w:after="120"/>
        <w:ind w:left="720"/>
        <w:contextualSpacing/>
        <w:rPr>
          <w:rFonts w:ascii="Calibri" w:eastAsia="Calibri" w:hAnsi="Calibri" w:cs="Times New Roman"/>
          <w:b/>
          <w:sz w:val="24"/>
          <w:szCs w:val="24"/>
        </w:rPr>
      </w:pPr>
    </w:p>
    <w:p w:rsidR="00CA5219" w:rsidRPr="00CD0C3E" w:rsidRDefault="00250502" w:rsidP="00CD0C3E">
      <w:pPr>
        <w:numPr>
          <w:ilvl w:val="0"/>
          <w:numId w:val="20"/>
        </w:numPr>
        <w:spacing w:after="120"/>
        <w:contextualSpacing/>
        <w:rPr>
          <w:rFonts w:ascii="Calibri" w:eastAsia="Calibri" w:hAnsi="Calibri" w:cs="Times New Roman"/>
          <w:sz w:val="24"/>
          <w:szCs w:val="24"/>
        </w:rPr>
      </w:pPr>
      <w:r>
        <w:rPr>
          <w:rFonts w:ascii="Calibri" w:eastAsia="Calibri" w:hAnsi="Calibri" w:cs="Times New Roman"/>
          <w:b/>
          <w:sz w:val="24"/>
          <w:szCs w:val="24"/>
        </w:rPr>
        <w:t>Participating Part</w:t>
      </w:r>
      <w:r w:rsidR="002A0C66">
        <w:rPr>
          <w:rFonts w:ascii="Calibri" w:eastAsia="Calibri" w:hAnsi="Calibri" w:cs="Times New Roman"/>
          <w:b/>
          <w:sz w:val="24"/>
          <w:szCs w:val="24"/>
        </w:rPr>
        <w:t>ners and Decision-Making Process</w:t>
      </w:r>
    </w:p>
    <w:p w:rsidR="00661411" w:rsidRDefault="00A46553" w:rsidP="00CD0C3E">
      <w:pPr>
        <w:spacing w:after="120"/>
        <w:ind w:left="720"/>
        <w:contextualSpacing/>
        <w:rPr>
          <w:rFonts w:ascii="Calibri" w:eastAsia="Calibri" w:hAnsi="Calibri" w:cs="Times New Roman"/>
          <w:sz w:val="24"/>
          <w:szCs w:val="24"/>
        </w:rPr>
      </w:pPr>
      <w:r w:rsidRPr="00C60A82">
        <w:rPr>
          <w:rFonts w:ascii="Calibri" w:eastAsia="Calibri" w:hAnsi="Calibri" w:cs="Times New Roman"/>
          <w:sz w:val="24"/>
          <w:szCs w:val="24"/>
        </w:rPr>
        <w:t>This section should include a list of the participating entities</w:t>
      </w:r>
      <w:r w:rsidR="00FC4C05" w:rsidRPr="00FC4C05">
        <w:rPr>
          <w:rFonts w:ascii="Calibri" w:eastAsia="Calibri" w:hAnsi="Calibri" w:cs="Times New Roman"/>
          <w:sz w:val="24"/>
          <w:szCs w:val="24"/>
        </w:rPr>
        <w:t xml:space="preserve"> </w:t>
      </w:r>
      <w:r w:rsidR="00250502">
        <w:rPr>
          <w:rFonts w:ascii="Calibri" w:eastAsia="Calibri" w:hAnsi="Calibri" w:cs="Times New Roman"/>
          <w:sz w:val="24"/>
          <w:szCs w:val="24"/>
        </w:rPr>
        <w:t>and a description of a shared decision making process that incorporates the perspectives of all partners.  If a formalized governance structure will be used, it should be described in this section</w:t>
      </w:r>
      <w:r w:rsidR="00282954">
        <w:rPr>
          <w:rFonts w:ascii="Calibri" w:eastAsia="Calibri" w:hAnsi="Calibri" w:cs="Times New Roman"/>
          <w:sz w:val="24"/>
          <w:szCs w:val="24"/>
        </w:rPr>
        <w:t>.   This section should describe the roles and responsibilities for pa</w:t>
      </w:r>
      <w:r w:rsidR="002A0C66">
        <w:rPr>
          <w:rFonts w:ascii="Calibri" w:eastAsia="Calibri" w:hAnsi="Calibri" w:cs="Times New Roman"/>
          <w:sz w:val="24"/>
          <w:szCs w:val="24"/>
        </w:rPr>
        <w:t xml:space="preserve">rtnering organizations and the </w:t>
      </w:r>
      <w:r w:rsidR="00282954">
        <w:rPr>
          <w:rFonts w:ascii="Calibri" w:eastAsia="Calibri" w:hAnsi="Calibri" w:cs="Times New Roman"/>
          <w:sz w:val="24"/>
          <w:szCs w:val="24"/>
        </w:rPr>
        <w:t>proposed funding</w:t>
      </w:r>
      <w:r w:rsidR="00F77A2D">
        <w:rPr>
          <w:rFonts w:ascii="Calibri" w:eastAsia="Calibri" w:hAnsi="Calibri" w:cs="Times New Roman"/>
          <w:sz w:val="24"/>
          <w:szCs w:val="24"/>
        </w:rPr>
        <w:t xml:space="preserve"> for each</w:t>
      </w:r>
      <w:r w:rsidR="00282954">
        <w:rPr>
          <w:rFonts w:ascii="Calibri" w:eastAsia="Calibri" w:hAnsi="Calibri" w:cs="Times New Roman"/>
          <w:sz w:val="24"/>
          <w:szCs w:val="24"/>
        </w:rPr>
        <w:t>.</w:t>
      </w:r>
    </w:p>
    <w:p w:rsidR="00FC4C05" w:rsidRDefault="00282954" w:rsidP="00CD0C3E">
      <w:pPr>
        <w:spacing w:after="120"/>
        <w:ind w:left="720"/>
        <w:contextualSpacing/>
        <w:rPr>
          <w:rFonts w:ascii="Calibri" w:eastAsia="Calibri" w:hAnsi="Calibri" w:cs="Times New Roman"/>
          <w:sz w:val="24"/>
          <w:szCs w:val="24"/>
        </w:rPr>
      </w:pPr>
      <w:r>
        <w:rPr>
          <w:rFonts w:ascii="Calibri" w:eastAsia="Calibri" w:hAnsi="Calibri" w:cs="Times New Roman"/>
          <w:sz w:val="24"/>
          <w:szCs w:val="24"/>
        </w:rPr>
        <w:t xml:space="preserve"> </w:t>
      </w:r>
    </w:p>
    <w:p w:rsidR="00CA5219" w:rsidRDefault="00201205" w:rsidP="00CD0C3E">
      <w:pPr>
        <w:numPr>
          <w:ilvl w:val="0"/>
          <w:numId w:val="20"/>
        </w:numPr>
        <w:spacing w:before="120" w:after="120"/>
        <w:contextualSpacing/>
        <w:rPr>
          <w:rFonts w:ascii="Calibri" w:eastAsia="Calibri" w:hAnsi="Calibri" w:cs="Times New Roman"/>
          <w:sz w:val="24"/>
          <w:szCs w:val="24"/>
        </w:rPr>
      </w:pPr>
      <w:r w:rsidRPr="00201205">
        <w:rPr>
          <w:rFonts w:ascii="Calibri" w:eastAsia="Calibri" w:hAnsi="Calibri" w:cs="Times New Roman"/>
          <w:b/>
          <w:sz w:val="24"/>
          <w:szCs w:val="24"/>
        </w:rPr>
        <w:t>Implementation</w:t>
      </w:r>
      <w:r w:rsidR="001C17C2">
        <w:rPr>
          <w:rFonts w:ascii="Calibri" w:eastAsia="Calibri" w:hAnsi="Calibri" w:cs="Times New Roman"/>
          <w:b/>
          <w:sz w:val="24"/>
          <w:szCs w:val="24"/>
        </w:rPr>
        <w:t xml:space="preserve"> Work</w:t>
      </w:r>
      <w:r w:rsidRPr="00201205">
        <w:rPr>
          <w:rFonts w:ascii="Calibri" w:eastAsia="Calibri" w:hAnsi="Calibri" w:cs="Times New Roman"/>
          <w:b/>
          <w:sz w:val="24"/>
          <w:szCs w:val="24"/>
        </w:rPr>
        <w:t xml:space="preserve"> Plan</w:t>
      </w:r>
      <w:r w:rsidR="00CA5219">
        <w:rPr>
          <w:rFonts w:ascii="Calibri" w:eastAsia="Calibri" w:hAnsi="Calibri" w:cs="Times New Roman"/>
          <w:sz w:val="24"/>
          <w:szCs w:val="24"/>
        </w:rPr>
        <w:t xml:space="preserve"> </w:t>
      </w:r>
      <w:r w:rsidR="00282954" w:rsidRPr="004E5703">
        <w:rPr>
          <w:rFonts w:ascii="Calibri" w:eastAsia="Calibri" w:hAnsi="Calibri" w:cs="Times New Roman"/>
          <w:b/>
          <w:sz w:val="24"/>
          <w:szCs w:val="24"/>
        </w:rPr>
        <w:t>(</w:t>
      </w:r>
      <w:r w:rsidR="004E5703" w:rsidRPr="004E5703">
        <w:rPr>
          <w:rFonts w:ascii="Calibri" w:eastAsia="Calibri" w:hAnsi="Calibri" w:cs="Times New Roman"/>
          <w:b/>
          <w:sz w:val="24"/>
          <w:szCs w:val="24"/>
        </w:rPr>
        <w:t>no page limit to this non-narrative section, must use a project management software such as Microsoft Project</w:t>
      </w:r>
      <w:r w:rsidR="007A1FDC">
        <w:rPr>
          <w:rFonts w:ascii="Calibri" w:eastAsia="Calibri" w:hAnsi="Calibri" w:cs="Times New Roman"/>
          <w:b/>
          <w:sz w:val="24"/>
          <w:szCs w:val="24"/>
        </w:rPr>
        <w:t>™</w:t>
      </w:r>
      <w:r w:rsidR="004E5703" w:rsidRPr="004E5703">
        <w:rPr>
          <w:rFonts w:ascii="Calibri" w:eastAsia="Calibri" w:hAnsi="Calibri" w:cs="Times New Roman"/>
          <w:b/>
          <w:sz w:val="24"/>
          <w:szCs w:val="24"/>
        </w:rPr>
        <w:t xml:space="preserve"> or other equivalent program</w:t>
      </w:r>
      <w:r w:rsidR="007A1FDC">
        <w:rPr>
          <w:rFonts w:ascii="Calibri" w:eastAsia="Calibri" w:hAnsi="Calibri" w:cs="Times New Roman"/>
          <w:b/>
          <w:sz w:val="24"/>
          <w:szCs w:val="24"/>
        </w:rPr>
        <w:t>)</w:t>
      </w:r>
    </w:p>
    <w:p w:rsidR="00661411" w:rsidRDefault="007A1FDC" w:rsidP="00CD0C3E">
      <w:pPr>
        <w:spacing w:before="120" w:after="120"/>
        <w:ind w:left="720"/>
        <w:contextualSpacing/>
        <w:rPr>
          <w:rFonts w:ascii="Calibri" w:eastAsia="Calibri" w:hAnsi="Calibri" w:cs="Times New Roman"/>
          <w:sz w:val="24"/>
          <w:szCs w:val="24"/>
        </w:rPr>
      </w:pPr>
      <w:r>
        <w:rPr>
          <w:rFonts w:ascii="Calibri" w:eastAsia="Calibri" w:hAnsi="Calibri" w:cs="Times New Roman"/>
          <w:sz w:val="24"/>
          <w:szCs w:val="24"/>
        </w:rPr>
        <w:t>This</w:t>
      </w:r>
      <w:r w:rsidR="00282954">
        <w:rPr>
          <w:rFonts w:ascii="Calibri" w:eastAsia="Calibri" w:hAnsi="Calibri" w:cs="Times New Roman"/>
          <w:sz w:val="24"/>
          <w:szCs w:val="24"/>
        </w:rPr>
        <w:t xml:space="preserve"> section should clearly describe how different initiatives will move from a planning to implementation phase, including when the intervention(s) will begin. </w:t>
      </w:r>
    </w:p>
    <w:p w:rsidR="00282954" w:rsidRPr="00C01310" w:rsidRDefault="00282954" w:rsidP="00CD0C3E">
      <w:pPr>
        <w:spacing w:before="120" w:after="120"/>
        <w:ind w:left="720"/>
        <w:contextualSpacing/>
        <w:rPr>
          <w:rFonts w:ascii="Calibri" w:eastAsia="Calibri" w:hAnsi="Calibri" w:cs="Times New Roman"/>
          <w:sz w:val="24"/>
          <w:szCs w:val="24"/>
        </w:rPr>
      </w:pPr>
      <w:r>
        <w:rPr>
          <w:rFonts w:ascii="Calibri" w:eastAsia="Calibri" w:hAnsi="Calibri" w:cs="Times New Roman"/>
          <w:sz w:val="24"/>
          <w:szCs w:val="24"/>
        </w:rPr>
        <w:t xml:space="preserve"> </w:t>
      </w:r>
    </w:p>
    <w:p w:rsidR="00CA5219" w:rsidRPr="00CD0C3E" w:rsidRDefault="00C01310" w:rsidP="00CD0C3E">
      <w:pPr>
        <w:numPr>
          <w:ilvl w:val="0"/>
          <w:numId w:val="20"/>
        </w:numPr>
        <w:spacing w:before="120" w:after="120"/>
        <w:contextualSpacing/>
        <w:rPr>
          <w:rFonts w:ascii="Calibri" w:eastAsia="Calibri" w:hAnsi="Calibri" w:cs="Times New Roman"/>
          <w:sz w:val="24"/>
          <w:szCs w:val="24"/>
        </w:rPr>
      </w:pPr>
      <w:r>
        <w:rPr>
          <w:rFonts w:ascii="Calibri" w:eastAsia="Calibri" w:hAnsi="Calibri" w:cs="Times New Roman"/>
          <w:b/>
          <w:sz w:val="24"/>
          <w:szCs w:val="24"/>
        </w:rPr>
        <w:t xml:space="preserve">Budget </w:t>
      </w:r>
      <w:r w:rsidR="001304CC">
        <w:rPr>
          <w:rFonts w:ascii="Calibri" w:eastAsia="Calibri" w:hAnsi="Calibri" w:cs="Times New Roman"/>
          <w:b/>
          <w:sz w:val="24"/>
          <w:szCs w:val="24"/>
        </w:rPr>
        <w:t>and Expenditures</w:t>
      </w:r>
    </w:p>
    <w:p w:rsidR="00382F29" w:rsidRDefault="00A46553" w:rsidP="0013203B">
      <w:pPr>
        <w:spacing w:before="120" w:after="120"/>
        <w:ind w:left="720"/>
        <w:contextualSpacing/>
        <w:rPr>
          <w:rFonts w:ascii="Calibri" w:eastAsia="Calibri" w:hAnsi="Calibri" w:cs="Times New Roman"/>
          <w:sz w:val="24"/>
          <w:szCs w:val="24"/>
        </w:rPr>
      </w:pPr>
      <w:r w:rsidRPr="00C60A82">
        <w:rPr>
          <w:rFonts w:ascii="Calibri" w:eastAsia="Calibri" w:hAnsi="Calibri" w:cs="Times New Roman"/>
          <w:sz w:val="24"/>
          <w:szCs w:val="24"/>
        </w:rPr>
        <w:t>This section should include a line item budget</w:t>
      </w:r>
      <w:r w:rsidR="00C01310">
        <w:rPr>
          <w:rFonts w:ascii="Calibri" w:eastAsia="Calibri" w:hAnsi="Calibri" w:cs="Times New Roman"/>
          <w:sz w:val="24"/>
          <w:szCs w:val="24"/>
        </w:rPr>
        <w:t>, using the template in Appendix D</w:t>
      </w:r>
      <w:r w:rsidR="00876A5F">
        <w:rPr>
          <w:rFonts w:ascii="Calibri" w:eastAsia="Calibri" w:hAnsi="Calibri" w:cs="Times New Roman"/>
          <w:sz w:val="24"/>
          <w:szCs w:val="24"/>
        </w:rPr>
        <w:t xml:space="preserve">. </w:t>
      </w:r>
    </w:p>
    <w:p w:rsidR="00CA5219" w:rsidRPr="00CD0C3E" w:rsidRDefault="00201205" w:rsidP="00CD0C3E">
      <w:pPr>
        <w:pStyle w:val="ListParagraph"/>
        <w:numPr>
          <w:ilvl w:val="0"/>
          <w:numId w:val="20"/>
        </w:numPr>
        <w:spacing w:before="120" w:after="120"/>
        <w:rPr>
          <w:rFonts w:ascii="Calibri" w:eastAsia="Calibri" w:hAnsi="Calibri" w:cs="Times New Roman"/>
          <w:sz w:val="24"/>
          <w:szCs w:val="24"/>
        </w:rPr>
      </w:pPr>
      <w:r w:rsidRPr="00CD0C3E">
        <w:rPr>
          <w:rFonts w:ascii="Calibri" w:eastAsia="Calibri" w:hAnsi="Calibri" w:cs="Times New Roman"/>
          <w:b/>
          <w:sz w:val="24"/>
          <w:szCs w:val="24"/>
        </w:rPr>
        <w:t>Budget and Expenditures Narrative</w:t>
      </w:r>
      <w:r w:rsidR="004E5703" w:rsidRPr="00CD0C3E">
        <w:rPr>
          <w:rFonts w:ascii="Calibri" w:eastAsia="Calibri" w:hAnsi="Calibri" w:cs="Times New Roman"/>
          <w:sz w:val="24"/>
          <w:szCs w:val="24"/>
        </w:rPr>
        <w:t xml:space="preserve"> </w:t>
      </w:r>
      <w:r w:rsidR="00876A5F" w:rsidRPr="00CD0C3E">
        <w:rPr>
          <w:rFonts w:ascii="Calibri" w:eastAsia="Calibri" w:hAnsi="Calibri" w:cs="Times New Roman"/>
          <w:b/>
          <w:sz w:val="24"/>
          <w:szCs w:val="24"/>
        </w:rPr>
        <w:t>(</w:t>
      </w:r>
      <w:r w:rsidR="00BE33AB" w:rsidRPr="00CD0C3E">
        <w:rPr>
          <w:rFonts w:ascii="Calibri" w:eastAsia="Calibri" w:hAnsi="Calibri" w:cs="Times New Roman"/>
          <w:b/>
          <w:sz w:val="24"/>
          <w:szCs w:val="24"/>
        </w:rPr>
        <w:t>no more than 3</w:t>
      </w:r>
      <w:r w:rsidR="004E5703" w:rsidRPr="00CD0C3E">
        <w:rPr>
          <w:rFonts w:ascii="Calibri" w:eastAsia="Calibri" w:hAnsi="Calibri" w:cs="Times New Roman"/>
          <w:b/>
          <w:sz w:val="24"/>
          <w:szCs w:val="24"/>
        </w:rPr>
        <w:t xml:space="preserve"> pages)</w:t>
      </w:r>
    </w:p>
    <w:p w:rsidR="00A46553" w:rsidRDefault="00876A5F" w:rsidP="00CD0C3E">
      <w:pPr>
        <w:spacing w:before="120" w:after="120"/>
        <w:ind w:left="720"/>
        <w:contextualSpacing/>
        <w:rPr>
          <w:rFonts w:ascii="Calibri" w:eastAsia="Calibri" w:hAnsi="Calibri" w:cs="Times New Roman"/>
          <w:sz w:val="24"/>
          <w:szCs w:val="24"/>
        </w:rPr>
      </w:pPr>
      <w:r>
        <w:rPr>
          <w:rFonts w:ascii="Calibri" w:eastAsia="Calibri" w:hAnsi="Calibri" w:cs="Times New Roman"/>
          <w:sz w:val="24"/>
          <w:szCs w:val="24"/>
        </w:rPr>
        <w:t xml:space="preserve">This section should include </w:t>
      </w:r>
      <w:r w:rsidR="00A46553" w:rsidRPr="00C60A82">
        <w:rPr>
          <w:rFonts w:ascii="Calibri" w:eastAsia="Calibri" w:hAnsi="Calibri" w:cs="Times New Roman"/>
          <w:sz w:val="24"/>
          <w:szCs w:val="24"/>
        </w:rPr>
        <w:t>a brief narrative justifying the expenses</w:t>
      </w:r>
      <w:r>
        <w:rPr>
          <w:rFonts w:ascii="Calibri" w:eastAsia="Calibri" w:hAnsi="Calibri" w:cs="Times New Roman"/>
          <w:sz w:val="24"/>
          <w:szCs w:val="24"/>
        </w:rPr>
        <w:t>.</w:t>
      </w:r>
      <w:r w:rsidR="00060A1D">
        <w:rPr>
          <w:rFonts w:ascii="Calibri" w:eastAsia="Calibri" w:hAnsi="Calibri" w:cs="Times New Roman"/>
          <w:sz w:val="24"/>
          <w:szCs w:val="24"/>
        </w:rPr>
        <w:t xml:space="preserve"> </w:t>
      </w:r>
      <w:r w:rsidR="00A46553" w:rsidRPr="00C60A82">
        <w:rPr>
          <w:rFonts w:ascii="Calibri" w:eastAsia="Calibri" w:hAnsi="Calibri" w:cs="Times New Roman"/>
          <w:sz w:val="24"/>
          <w:szCs w:val="24"/>
        </w:rPr>
        <w:t xml:space="preserve">Funds should be used for </w:t>
      </w:r>
      <w:r w:rsidR="00FC4C05">
        <w:rPr>
          <w:rFonts w:ascii="Calibri" w:eastAsia="Calibri" w:hAnsi="Calibri" w:cs="Times New Roman"/>
          <w:sz w:val="24"/>
          <w:szCs w:val="24"/>
        </w:rPr>
        <w:t>implementation activities</w:t>
      </w:r>
      <w:r w:rsidR="005C4C51">
        <w:rPr>
          <w:rFonts w:ascii="Calibri" w:eastAsia="Calibri" w:hAnsi="Calibri" w:cs="Times New Roman"/>
          <w:sz w:val="24"/>
          <w:szCs w:val="24"/>
        </w:rPr>
        <w:t>.</w:t>
      </w:r>
      <w:r w:rsidR="00FC4C05">
        <w:rPr>
          <w:rFonts w:ascii="Calibri" w:eastAsia="Calibri" w:hAnsi="Calibri" w:cs="Times New Roman"/>
          <w:sz w:val="24"/>
          <w:szCs w:val="24"/>
        </w:rPr>
        <w:t xml:space="preserve"> </w:t>
      </w:r>
      <w:r w:rsidR="000049B1">
        <w:rPr>
          <w:rFonts w:ascii="Calibri" w:eastAsia="Calibri" w:hAnsi="Calibri" w:cs="Times New Roman"/>
          <w:sz w:val="24"/>
          <w:szCs w:val="24"/>
        </w:rPr>
        <w:t xml:space="preserve"> If the proposal includes multiple interventions, please show the budget for each intervention </w:t>
      </w:r>
      <w:r w:rsidR="008D19C4">
        <w:rPr>
          <w:rFonts w:ascii="Calibri" w:eastAsia="Calibri" w:hAnsi="Calibri" w:cs="Times New Roman"/>
          <w:sz w:val="24"/>
          <w:szCs w:val="24"/>
        </w:rPr>
        <w:t>separately</w:t>
      </w:r>
      <w:r w:rsidR="000049B1">
        <w:rPr>
          <w:rFonts w:ascii="Calibri" w:eastAsia="Calibri" w:hAnsi="Calibri" w:cs="Times New Roman"/>
          <w:sz w:val="24"/>
          <w:szCs w:val="24"/>
        </w:rPr>
        <w:t xml:space="preserve">.  </w:t>
      </w:r>
      <w:r w:rsidR="000049B1" w:rsidRPr="00C60A82">
        <w:rPr>
          <w:rFonts w:ascii="Calibri" w:eastAsia="Calibri" w:hAnsi="Calibri" w:cs="Times New Roman"/>
          <w:sz w:val="24"/>
          <w:szCs w:val="24"/>
        </w:rPr>
        <w:t xml:space="preserve">Funds should be used for </w:t>
      </w:r>
      <w:r w:rsidR="000049B1">
        <w:rPr>
          <w:rFonts w:ascii="Calibri" w:eastAsia="Calibri" w:hAnsi="Calibri" w:cs="Times New Roman"/>
          <w:sz w:val="24"/>
          <w:szCs w:val="24"/>
        </w:rPr>
        <w:t xml:space="preserve">implementation activities. </w:t>
      </w:r>
      <w:r w:rsidR="005C4C51">
        <w:rPr>
          <w:rFonts w:ascii="Calibri" w:eastAsia="Calibri" w:hAnsi="Calibri" w:cs="Times New Roman"/>
          <w:sz w:val="24"/>
          <w:szCs w:val="24"/>
        </w:rPr>
        <w:t>Examples of ineligible expenses are</w:t>
      </w:r>
      <w:r w:rsidR="00FC4C05">
        <w:rPr>
          <w:rFonts w:ascii="Calibri" w:eastAsia="Calibri" w:hAnsi="Calibri" w:cs="Times New Roman"/>
          <w:sz w:val="24"/>
          <w:szCs w:val="24"/>
        </w:rPr>
        <w:t xml:space="preserve"> described in </w:t>
      </w:r>
      <w:r w:rsidR="00650565">
        <w:rPr>
          <w:rFonts w:ascii="Calibri" w:eastAsia="Calibri" w:hAnsi="Calibri" w:cs="Times New Roman"/>
          <w:sz w:val="24"/>
          <w:szCs w:val="24"/>
        </w:rPr>
        <w:t>A</w:t>
      </w:r>
      <w:r w:rsidR="00FC4C05">
        <w:rPr>
          <w:rFonts w:ascii="Calibri" w:eastAsia="Calibri" w:hAnsi="Calibri" w:cs="Times New Roman"/>
          <w:sz w:val="24"/>
          <w:szCs w:val="24"/>
        </w:rPr>
        <w:t xml:space="preserve">ppendix </w:t>
      </w:r>
      <w:r w:rsidR="00EB63F6">
        <w:rPr>
          <w:rFonts w:ascii="Calibri" w:eastAsia="Calibri" w:hAnsi="Calibri" w:cs="Times New Roman"/>
          <w:sz w:val="24"/>
          <w:szCs w:val="24"/>
        </w:rPr>
        <w:t>B</w:t>
      </w:r>
      <w:r w:rsidR="00FC4C05">
        <w:rPr>
          <w:rFonts w:ascii="Calibri" w:eastAsia="Calibri" w:hAnsi="Calibri" w:cs="Times New Roman"/>
          <w:sz w:val="24"/>
          <w:szCs w:val="24"/>
        </w:rPr>
        <w:t>.</w:t>
      </w:r>
      <w:r w:rsidR="00A46553" w:rsidRPr="00C60A82">
        <w:rPr>
          <w:rFonts w:ascii="Calibri" w:eastAsia="Calibri" w:hAnsi="Calibri" w:cs="Times New Roman"/>
          <w:sz w:val="24"/>
          <w:szCs w:val="24"/>
        </w:rPr>
        <w:t xml:space="preserve"> </w:t>
      </w:r>
    </w:p>
    <w:p w:rsidR="00BE33AB" w:rsidRDefault="00A47AC7" w:rsidP="00CD0C3E">
      <w:pPr>
        <w:pStyle w:val="ListParagraph"/>
        <w:spacing w:before="120" w:after="120"/>
        <w:rPr>
          <w:sz w:val="24"/>
          <w:szCs w:val="24"/>
        </w:rPr>
      </w:pPr>
      <w:r w:rsidRPr="00A47AC7">
        <w:rPr>
          <w:sz w:val="24"/>
          <w:szCs w:val="24"/>
        </w:rPr>
        <w:t>Funds awarded are intended to leverage or build upon</w:t>
      </w:r>
      <w:r w:rsidR="00735F9C">
        <w:rPr>
          <w:sz w:val="24"/>
          <w:szCs w:val="24"/>
        </w:rPr>
        <w:t xml:space="preserve"> transformation plans or existing</w:t>
      </w:r>
      <w:r w:rsidRPr="00A47AC7">
        <w:rPr>
          <w:sz w:val="24"/>
          <w:szCs w:val="24"/>
        </w:rPr>
        <w:t xml:space="preserve"> investments made for specific programs designed to meet the State’s goals and </w:t>
      </w:r>
      <w:r w:rsidRPr="00A47AC7">
        <w:rPr>
          <w:sz w:val="24"/>
          <w:szCs w:val="24"/>
        </w:rPr>
        <w:lastRenderedPageBreak/>
        <w:t>requirements of the All-Payer Model agreement with CMMI, and improve population health</w:t>
      </w:r>
      <w:r w:rsidR="00735F9C">
        <w:rPr>
          <w:sz w:val="24"/>
          <w:szCs w:val="24"/>
        </w:rPr>
        <w:t xml:space="preserve">.  </w:t>
      </w:r>
    </w:p>
    <w:p w:rsidR="00BE33AB" w:rsidRDefault="00C966BB" w:rsidP="00CD0C3E">
      <w:pPr>
        <w:spacing w:after="120"/>
        <w:ind w:left="720"/>
        <w:rPr>
          <w:sz w:val="24"/>
          <w:szCs w:val="24"/>
        </w:rPr>
      </w:pPr>
      <w:r>
        <w:rPr>
          <w:sz w:val="24"/>
          <w:szCs w:val="24"/>
        </w:rPr>
        <w:t xml:space="preserve">This section shall include the </w:t>
      </w:r>
      <w:r w:rsidR="00201205" w:rsidRPr="00201205">
        <w:rPr>
          <w:sz w:val="24"/>
          <w:szCs w:val="24"/>
        </w:rPr>
        <w:t>percentage of the total investment of the program, model</w:t>
      </w:r>
      <w:r w:rsidR="001304CC">
        <w:rPr>
          <w:sz w:val="24"/>
          <w:szCs w:val="24"/>
        </w:rPr>
        <w:t>,</w:t>
      </w:r>
      <w:r w:rsidR="00201205" w:rsidRPr="00201205">
        <w:rPr>
          <w:sz w:val="24"/>
          <w:szCs w:val="24"/>
        </w:rPr>
        <w:t xml:space="preserve"> or intervention is covered by the award</w:t>
      </w:r>
      <w:r>
        <w:rPr>
          <w:sz w:val="24"/>
          <w:szCs w:val="24"/>
        </w:rPr>
        <w:t>,</w:t>
      </w:r>
      <w:r w:rsidR="001304CC">
        <w:rPr>
          <w:sz w:val="24"/>
          <w:szCs w:val="24"/>
        </w:rPr>
        <w:t xml:space="preserve"> and</w:t>
      </w:r>
      <w:r w:rsidR="009B5D94">
        <w:rPr>
          <w:sz w:val="24"/>
          <w:szCs w:val="24"/>
        </w:rPr>
        <w:t xml:space="preserve"> </w:t>
      </w:r>
      <w:r>
        <w:rPr>
          <w:sz w:val="24"/>
          <w:szCs w:val="24"/>
        </w:rPr>
        <w:t xml:space="preserve">the </w:t>
      </w:r>
      <w:r w:rsidR="009B5D94">
        <w:rPr>
          <w:sz w:val="24"/>
          <w:szCs w:val="24"/>
        </w:rPr>
        <w:t>source of other funding</w:t>
      </w:r>
      <w:r>
        <w:rPr>
          <w:sz w:val="24"/>
          <w:szCs w:val="24"/>
        </w:rPr>
        <w:t xml:space="preserve"> to support the program, model, or intervention</w:t>
      </w:r>
      <w:r w:rsidR="009B5D94">
        <w:rPr>
          <w:sz w:val="24"/>
          <w:szCs w:val="24"/>
        </w:rPr>
        <w:t>.</w:t>
      </w:r>
    </w:p>
    <w:p w:rsidR="0013203B" w:rsidRDefault="0013203B" w:rsidP="00CD0C3E">
      <w:pPr>
        <w:spacing w:after="120"/>
        <w:ind w:left="720"/>
        <w:rPr>
          <w:sz w:val="24"/>
          <w:szCs w:val="24"/>
        </w:rPr>
      </w:pPr>
      <w:r>
        <w:rPr>
          <w:sz w:val="24"/>
          <w:szCs w:val="24"/>
        </w:rPr>
        <w:t>Total dollars awarded to a hospital acting as a single entity are capped at 0.5% of the hospital’s FY 2015 net patient revenue plus markup.  Total combined awards to a hospital through single entity applications, regional partnership applications, and multiple hospital applications are capped at 0.75% of the individual hospital’s FY 2015 net patient revenue plus markup.</w:t>
      </w:r>
    </w:p>
    <w:p w:rsidR="00A47AC7" w:rsidRDefault="00A47AC7" w:rsidP="00CD0C3E">
      <w:pPr>
        <w:spacing w:after="120"/>
        <w:ind w:left="720"/>
        <w:rPr>
          <w:sz w:val="24"/>
          <w:szCs w:val="24"/>
        </w:rPr>
      </w:pPr>
      <w:r w:rsidRPr="00062183">
        <w:rPr>
          <w:sz w:val="24"/>
          <w:szCs w:val="24"/>
        </w:rPr>
        <w:t>Investments included in the budget should have the potential to impact population health within the communities that each hospital, regional partnership</w:t>
      </w:r>
      <w:r w:rsidR="00C966BB">
        <w:rPr>
          <w:sz w:val="24"/>
          <w:szCs w:val="24"/>
        </w:rPr>
        <w:t>,</w:t>
      </w:r>
      <w:r w:rsidRPr="00062183">
        <w:rPr>
          <w:sz w:val="24"/>
          <w:szCs w:val="24"/>
        </w:rPr>
        <w:t xml:space="preserve"> or collaboration serves. Investments included in the budget are expected to be data driven and able to be evaluated using measurable outcomes.</w:t>
      </w:r>
    </w:p>
    <w:p w:rsidR="00BE33AB" w:rsidRPr="000D419F" w:rsidRDefault="000049B1" w:rsidP="00CD0C3E">
      <w:pPr>
        <w:pStyle w:val="ListParagraph"/>
        <w:numPr>
          <w:ilvl w:val="0"/>
          <w:numId w:val="20"/>
        </w:numPr>
        <w:spacing w:after="120"/>
        <w:rPr>
          <w:b/>
          <w:sz w:val="24"/>
          <w:szCs w:val="24"/>
        </w:rPr>
      </w:pPr>
      <w:r w:rsidRPr="000D419F">
        <w:rPr>
          <w:b/>
          <w:sz w:val="24"/>
          <w:szCs w:val="24"/>
        </w:rPr>
        <w:t>Summary of Proposal</w:t>
      </w:r>
      <w:r w:rsidR="006B3AE6" w:rsidRPr="000D419F">
        <w:rPr>
          <w:b/>
          <w:sz w:val="24"/>
          <w:szCs w:val="24"/>
        </w:rPr>
        <w:t xml:space="preserve"> (</w:t>
      </w:r>
      <w:r w:rsidR="000D419F">
        <w:rPr>
          <w:b/>
          <w:sz w:val="24"/>
          <w:szCs w:val="24"/>
        </w:rPr>
        <w:t>2-3</w:t>
      </w:r>
      <w:r w:rsidR="006B3AE6" w:rsidRPr="000D419F">
        <w:rPr>
          <w:b/>
          <w:sz w:val="24"/>
          <w:szCs w:val="24"/>
        </w:rPr>
        <w:t xml:space="preserve"> Pages)</w:t>
      </w:r>
    </w:p>
    <w:p w:rsidR="00BE33AB" w:rsidRDefault="006B3AE6" w:rsidP="00CD0C3E">
      <w:pPr>
        <w:spacing w:after="120"/>
        <w:ind w:left="720"/>
        <w:rPr>
          <w:sz w:val="24"/>
          <w:szCs w:val="24"/>
        </w:rPr>
      </w:pPr>
      <w:r>
        <w:rPr>
          <w:sz w:val="24"/>
          <w:szCs w:val="24"/>
        </w:rPr>
        <w:t xml:space="preserve">Applicants are required to summarize their proposal in a standard format.  </w:t>
      </w:r>
      <w:r w:rsidR="000D419F">
        <w:rPr>
          <w:sz w:val="24"/>
          <w:szCs w:val="24"/>
        </w:rPr>
        <w:t xml:space="preserve">See Appendix C </w:t>
      </w:r>
      <w:r>
        <w:rPr>
          <w:sz w:val="24"/>
          <w:szCs w:val="24"/>
        </w:rPr>
        <w:t>for the required summary format</w:t>
      </w:r>
      <w:r w:rsidR="00AB7A8A">
        <w:rPr>
          <w:sz w:val="24"/>
          <w:szCs w:val="24"/>
        </w:rPr>
        <w:t xml:space="preserve"> table.</w:t>
      </w:r>
      <w:r>
        <w:rPr>
          <w:sz w:val="24"/>
          <w:szCs w:val="24"/>
        </w:rPr>
        <w:t xml:space="preserve"> </w:t>
      </w:r>
      <w:r w:rsidR="00AB7A8A">
        <w:rPr>
          <w:sz w:val="24"/>
          <w:szCs w:val="24"/>
        </w:rPr>
        <w:t xml:space="preserve"> Complete </w:t>
      </w:r>
      <w:r w:rsidR="00035C95">
        <w:rPr>
          <w:sz w:val="24"/>
          <w:szCs w:val="24"/>
        </w:rPr>
        <w:t xml:space="preserve">one </w:t>
      </w:r>
      <w:r w:rsidR="00AB7A8A">
        <w:rPr>
          <w:sz w:val="24"/>
          <w:szCs w:val="24"/>
        </w:rPr>
        <w:t>summary table delineating differences for each intervention in each category, if applicable</w:t>
      </w:r>
      <w:r w:rsidR="006F5972">
        <w:rPr>
          <w:sz w:val="24"/>
          <w:szCs w:val="24"/>
        </w:rPr>
        <w:t>.</w:t>
      </w:r>
      <w:r w:rsidR="00AB7A8A">
        <w:rPr>
          <w:sz w:val="24"/>
          <w:szCs w:val="24"/>
        </w:rPr>
        <w:t xml:space="preserve"> </w:t>
      </w:r>
    </w:p>
    <w:p w:rsidR="00306424" w:rsidRDefault="00201205" w:rsidP="00CD0C3E">
      <w:pPr>
        <w:pStyle w:val="Heading2"/>
        <w:spacing w:before="0" w:after="120"/>
        <w:rPr>
          <w:sz w:val="24"/>
        </w:rPr>
      </w:pPr>
      <w:r w:rsidRPr="00201205">
        <w:t>Selection Criteria</w:t>
      </w:r>
    </w:p>
    <w:p w:rsidR="00F20E51" w:rsidRPr="00382F29" w:rsidRDefault="00201205" w:rsidP="00CD0C3E">
      <w:pPr>
        <w:spacing w:after="120"/>
        <w:rPr>
          <w:sz w:val="24"/>
          <w:szCs w:val="24"/>
        </w:rPr>
      </w:pPr>
      <w:r w:rsidRPr="00382F29">
        <w:rPr>
          <w:sz w:val="24"/>
          <w:szCs w:val="24"/>
        </w:rPr>
        <w:t>Applications will be reviewed and awarded funding based on the following criteria:</w:t>
      </w:r>
    </w:p>
    <w:p w:rsidR="00FF65E3" w:rsidRPr="00382F29" w:rsidRDefault="00201205" w:rsidP="00CD0C3E">
      <w:pPr>
        <w:pStyle w:val="ListParagraph"/>
        <w:numPr>
          <w:ilvl w:val="0"/>
          <w:numId w:val="1"/>
        </w:numPr>
        <w:spacing w:after="120"/>
        <w:rPr>
          <w:sz w:val="24"/>
          <w:szCs w:val="24"/>
        </w:rPr>
      </w:pPr>
      <w:r w:rsidRPr="00382F29">
        <w:rPr>
          <w:sz w:val="24"/>
          <w:szCs w:val="24"/>
        </w:rPr>
        <w:t xml:space="preserve">Appropriateness of the Target Population in terms of the </w:t>
      </w:r>
      <w:r w:rsidR="00FF65E3" w:rsidRPr="00382F29">
        <w:rPr>
          <w:sz w:val="24"/>
          <w:szCs w:val="24"/>
        </w:rPr>
        <w:t>potential to positively impact key outcome measures</w:t>
      </w:r>
    </w:p>
    <w:p w:rsidR="00BE33AB" w:rsidRPr="00382F29" w:rsidRDefault="00FF65E3" w:rsidP="00CD0C3E">
      <w:pPr>
        <w:pStyle w:val="ListParagraph"/>
        <w:numPr>
          <w:ilvl w:val="0"/>
          <w:numId w:val="1"/>
        </w:numPr>
        <w:spacing w:after="120"/>
        <w:rPr>
          <w:sz w:val="24"/>
          <w:szCs w:val="24"/>
        </w:rPr>
      </w:pPr>
      <w:r w:rsidRPr="00382F29">
        <w:rPr>
          <w:sz w:val="24"/>
          <w:szCs w:val="24"/>
        </w:rPr>
        <w:t>Whether the program, model, or intervention is well-conceived</w:t>
      </w:r>
      <w:r w:rsidR="00BF3C21" w:rsidRPr="00382F29">
        <w:rPr>
          <w:sz w:val="24"/>
          <w:szCs w:val="24"/>
        </w:rPr>
        <w:t>, evidence-based</w:t>
      </w:r>
      <w:r w:rsidR="006F5972">
        <w:rPr>
          <w:sz w:val="24"/>
          <w:szCs w:val="24"/>
        </w:rPr>
        <w:t>,</w:t>
      </w:r>
      <w:r w:rsidRPr="00382F29">
        <w:rPr>
          <w:sz w:val="24"/>
          <w:szCs w:val="24"/>
        </w:rPr>
        <w:t xml:space="preserve"> and appropriately </w:t>
      </w:r>
      <w:r w:rsidR="00A942BA" w:rsidRPr="00382F29">
        <w:rPr>
          <w:sz w:val="24"/>
          <w:szCs w:val="24"/>
        </w:rPr>
        <w:t xml:space="preserve">proposes to </w:t>
      </w:r>
      <w:r w:rsidRPr="00382F29">
        <w:rPr>
          <w:sz w:val="24"/>
          <w:szCs w:val="24"/>
        </w:rPr>
        <w:t xml:space="preserve">use </w:t>
      </w:r>
      <w:r w:rsidR="00A942BA" w:rsidRPr="00382F29">
        <w:rPr>
          <w:sz w:val="24"/>
          <w:szCs w:val="24"/>
        </w:rPr>
        <w:t xml:space="preserve">infrastructure and workforce in an efficient and effective manner to improve care coordination, physician alignment, and health outcomes of the target population.  </w:t>
      </w:r>
    </w:p>
    <w:p w:rsidR="00F801EC" w:rsidRPr="00CD0C3E" w:rsidRDefault="00306424" w:rsidP="00CD0C3E">
      <w:pPr>
        <w:pStyle w:val="ListParagraph"/>
        <w:numPr>
          <w:ilvl w:val="0"/>
          <w:numId w:val="1"/>
        </w:numPr>
        <w:spacing w:after="120"/>
        <w:rPr>
          <w:rFonts w:ascii="Calibri" w:eastAsia="Calibri" w:hAnsi="Calibri" w:cs="Times New Roman"/>
          <w:sz w:val="24"/>
          <w:szCs w:val="24"/>
        </w:rPr>
      </w:pPr>
      <w:r w:rsidRPr="00CD0C3E">
        <w:rPr>
          <w:rFonts w:ascii="Calibri" w:eastAsia="Calibri" w:hAnsi="Calibri" w:cs="Times New Roman"/>
          <w:sz w:val="24"/>
          <w:szCs w:val="24"/>
        </w:rPr>
        <w:t xml:space="preserve">Consistency with All-Payer Requirements:  </w:t>
      </w:r>
      <w:r w:rsidR="00FC4C05" w:rsidRPr="00CD0C3E">
        <w:rPr>
          <w:rFonts w:ascii="Calibri" w:eastAsia="Calibri" w:hAnsi="Calibri" w:cs="Times New Roman"/>
          <w:sz w:val="24"/>
          <w:szCs w:val="24"/>
        </w:rPr>
        <w:t>Support the purpose of All</w:t>
      </w:r>
      <w:r w:rsidR="001C2384" w:rsidRPr="00CD0C3E">
        <w:rPr>
          <w:rFonts w:ascii="Calibri" w:eastAsia="Calibri" w:hAnsi="Calibri" w:cs="Times New Roman"/>
          <w:sz w:val="24"/>
          <w:szCs w:val="24"/>
        </w:rPr>
        <w:t>-</w:t>
      </w:r>
      <w:r w:rsidR="00062183" w:rsidRPr="00CD0C3E">
        <w:rPr>
          <w:rFonts w:ascii="Calibri" w:eastAsia="Calibri" w:hAnsi="Calibri" w:cs="Times New Roman"/>
          <w:sz w:val="24"/>
          <w:szCs w:val="24"/>
        </w:rPr>
        <w:t>P</w:t>
      </w:r>
      <w:r w:rsidR="00FC4C05" w:rsidRPr="00CD0C3E">
        <w:rPr>
          <w:rFonts w:ascii="Calibri" w:eastAsia="Calibri" w:hAnsi="Calibri" w:cs="Times New Roman"/>
          <w:sz w:val="24"/>
          <w:szCs w:val="24"/>
        </w:rPr>
        <w:t>ayer Model</w:t>
      </w:r>
      <w:r w:rsidR="00815F61" w:rsidRPr="00CD0C3E">
        <w:rPr>
          <w:rFonts w:ascii="Calibri" w:eastAsia="Calibri" w:hAnsi="Calibri" w:cs="Times New Roman"/>
          <w:sz w:val="24"/>
          <w:szCs w:val="24"/>
        </w:rPr>
        <w:t>.</w:t>
      </w:r>
      <w:r w:rsidR="00FC4C05" w:rsidRPr="00CD0C3E">
        <w:rPr>
          <w:rFonts w:ascii="Calibri" w:eastAsia="Calibri" w:hAnsi="Calibri" w:cs="Times New Roman"/>
          <w:sz w:val="24"/>
          <w:szCs w:val="24"/>
        </w:rPr>
        <w:t xml:space="preserve"> </w:t>
      </w:r>
      <w:r w:rsidR="00815F61" w:rsidRPr="00CD0C3E">
        <w:rPr>
          <w:rFonts w:ascii="Calibri" w:eastAsia="Calibri" w:hAnsi="Calibri" w:cs="Times New Roman"/>
          <w:sz w:val="24"/>
          <w:szCs w:val="24"/>
        </w:rPr>
        <w:t xml:space="preserve">  </w:t>
      </w:r>
      <w:r w:rsidR="001C2384" w:rsidRPr="00CD0C3E">
        <w:rPr>
          <w:rFonts w:ascii="Calibri" w:eastAsia="Calibri" w:hAnsi="Calibri" w:cs="Times New Roman"/>
          <w:sz w:val="24"/>
          <w:szCs w:val="24"/>
        </w:rPr>
        <w:t xml:space="preserve">Positive results on the </w:t>
      </w:r>
      <w:r w:rsidR="00815F61" w:rsidRPr="00CD0C3E">
        <w:rPr>
          <w:rFonts w:ascii="Calibri" w:eastAsia="Calibri" w:hAnsi="Calibri" w:cs="Times New Roman"/>
          <w:sz w:val="24"/>
          <w:szCs w:val="24"/>
        </w:rPr>
        <w:t>metrics in Appendix</w:t>
      </w:r>
      <w:r w:rsidR="001C2384" w:rsidRPr="00CD0C3E">
        <w:rPr>
          <w:rFonts w:ascii="Calibri" w:eastAsia="Calibri" w:hAnsi="Calibri" w:cs="Times New Roman"/>
          <w:sz w:val="24"/>
          <w:szCs w:val="24"/>
        </w:rPr>
        <w:t xml:space="preserve"> A would be seen as supporting the All-</w:t>
      </w:r>
      <w:r w:rsidR="00062183" w:rsidRPr="00CD0C3E">
        <w:rPr>
          <w:rFonts w:ascii="Calibri" w:eastAsia="Calibri" w:hAnsi="Calibri" w:cs="Times New Roman"/>
          <w:sz w:val="24"/>
          <w:szCs w:val="24"/>
        </w:rPr>
        <w:t>P</w:t>
      </w:r>
      <w:r w:rsidR="001C2384" w:rsidRPr="00CD0C3E">
        <w:rPr>
          <w:rFonts w:ascii="Calibri" w:eastAsia="Calibri" w:hAnsi="Calibri" w:cs="Times New Roman"/>
          <w:sz w:val="24"/>
          <w:szCs w:val="24"/>
        </w:rPr>
        <w:t>ayer Model</w:t>
      </w:r>
      <w:r w:rsidR="00E2605D" w:rsidRPr="00CD0C3E">
        <w:rPr>
          <w:rFonts w:ascii="Calibri" w:eastAsia="Calibri" w:hAnsi="Calibri" w:cs="Times New Roman"/>
          <w:sz w:val="24"/>
          <w:szCs w:val="24"/>
        </w:rPr>
        <w:t>.</w:t>
      </w:r>
      <w:r w:rsidR="001C2384" w:rsidRPr="00CD0C3E">
        <w:rPr>
          <w:rFonts w:ascii="Calibri" w:eastAsia="Calibri" w:hAnsi="Calibri" w:cs="Times New Roman"/>
          <w:sz w:val="24"/>
          <w:szCs w:val="24"/>
        </w:rPr>
        <w:t xml:space="preserve"> </w:t>
      </w:r>
    </w:p>
    <w:p w:rsidR="00840257" w:rsidRPr="00CD0C3E" w:rsidRDefault="00D542BE" w:rsidP="00CD0C3E">
      <w:pPr>
        <w:pStyle w:val="ListParagraph"/>
        <w:numPr>
          <w:ilvl w:val="0"/>
          <w:numId w:val="1"/>
        </w:numPr>
        <w:spacing w:after="120"/>
        <w:rPr>
          <w:sz w:val="24"/>
          <w:szCs w:val="24"/>
        </w:rPr>
      </w:pPr>
      <w:r w:rsidRPr="00CD0C3E">
        <w:rPr>
          <w:sz w:val="24"/>
          <w:szCs w:val="24"/>
        </w:rPr>
        <w:t xml:space="preserve">Consistency with the participating hospital(s) </w:t>
      </w:r>
      <w:r w:rsidR="001304CC" w:rsidRPr="00CD0C3E">
        <w:rPr>
          <w:sz w:val="24"/>
          <w:szCs w:val="24"/>
        </w:rPr>
        <w:t xml:space="preserve">strategic </w:t>
      </w:r>
      <w:r w:rsidRPr="00CD0C3E">
        <w:rPr>
          <w:sz w:val="24"/>
          <w:szCs w:val="24"/>
        </w:rPr>
        <w:t>transformation plans</w:t>
      </w:r>
      <w:r w:rsidR="001304CC" w:rsidRPr="00CD0C3E">
        <w:rPr>
          <w:sz w:val="24"/>
          <w:szCs w:val="24"/>
        </w:rPr>
        <w:t xml:space="preserve"> submitted to the HSCRC on December 1, 2015</w:t>
      </w:r>
      <w:r w:rsidR="00C921A0" w:rsidRPr="00CD0C3E">
        <w:rPr>
          <w:sz w:val="24"/>
          <w:szCs w:val="24"/>
        </w:rPr>
        <w:t xml:space="preserve"> and consistency with other investments, including prior GBR infrastructure investments.</w:t>
      </w:r>
    </w:p>
    <w:p w:rsidR="00840257" w:rsidRPr="00CD0C3E" w:rsidRDefault="00C54181" w:rsidP="00CD0C3E">
      <w:pPr>
        <w:pStyle w:val="ListParagraph"/>
        <w:numPr>
          <w:ilvl w:val="0"/>
          <w:numId w:val="1"/>
        </w:numPr>
        <w:spacing w:after="120"/>
        <w:rPr>
          <w:sz w:val="24"/>
          <w:szCs w:val="24"/>
        </w:rPr>
      </w:pPr>
      <w:r w:rsidRPr="00CD0C3E">
        <w:rPr>
          <w:sz w:val="24"/>
          <w:szCs w:val="24"/>
        </w:rPr>
        <w:t xml:space="preserve">Results </w:t>
      </w:r>
      <w:r w:rsidR="001304CC" w:rsidRPr="00CD0C3E">
        <w:rPr>
          <w:sz w:val="24"/>
          <w:szCs w:val="24"/>
        </w:rPr>
        <w:t xml:space="preserve">and Efficacy </w:t>
      </w:r>
      <w:r w:rsidRPr="00CD0C3E">
        <w:rPr>
          <w:sz w:val="24"/>
          <w:szCs w:val="24"/>
        </w:rPr>
        <w:t>of Investment</w:t>
      </w:r>
      <w:r w:rsidR="00085002" w:rsidRPr="00CD0C3E">
        <w:rPr>
          <w:sz w:val="24"/>
          <w:szCs w:val="24"/>
        </w:rPr>
        <w:t>(s) to date</w:t>
      </w:r>
      <w:r w:rsidR="00840257" w:rsidRPr="00CD0C3E">
        <w:rPr>
          <w:sz w:val="24"/>
          <w:szCs w:val="24"/>
        </w:rPr>
        <w:t xml:space="preserve">. </w:t>
      </w:r>
    </w:p>
    <w:p w:rsidR="00CA5219" w:rsidRDefault="00D542BE" w:rsidP="00CD0C3E">
      <w:pPr>
        <w:pStyle w:val="ListParagraph"/>
        <w:numPr>
          <w:ilvl w:val="0"/>
          <w:numId w:val="1"/>
        </w:numPr>
        <w:spacing w:after="120"/>
        <w:rPr>
          <w:sz w:val="24"/>
          <w:szCs w:val="24"/>
        </w:rPr>
      </w:pPr>
      <w:r w:rsidRPr="00382F29">
        <w:rPr>
          <w:sz w:val="24"/>
          <w:szCs w:val="24"/>
        </w:rPr>
        <w:t>Whether i</w:t>
      </w:r>
      <w:r w:rsidR="00402D9A" w:rsidRPr="00382F29">
        <w:rPr>
          <w:sz w:val="24"/>
          <w:szCs w:val="24"/>
        </w:rPr>
        <w:t xml:space="preserve">nvestments </w:t>
      </w:r>
      <w:r w:rsidR="00C921A0" w:rsidRPr="00382F29">
        <w:rPr>
          <w:sz w:val="24"/>
          <w:szCs w:val="24"/>
        </w:rPr>
        <w:t xml:space="preserve">being proposed </w:t>
      </w:r>
      <w:r w:rsidR="00B82E01" w:rsidRPr="00382F29">
        <w:rPr>
          <w:sz w:val="24"/>
          <w:szCs w:val="24"/>
        </w:rPr>
        <w:t xml:space="preserve">complement rather than duplicate </w:t>
      </w:r>
      <w:r w:rsidR="00402D9A" w:rsidRPr="00382F29">
        <w:rPr>
          <w:sz w:val="24"/>
          <w:szCs w:val="24"/>
        </w:rPr>
        <w:t>state and regional resources</w:t>
      </w:r>
    </w:p>
    <w:p w:rsidR="00925634" w:rsidRPr="00EE6112" w:rsidRDefault="003066FE" w:rsidP="00CD0C3E">
      <w:pPr>
        <w:pStyle w:val="ListParagraph"/>
        <w:numPr>
          <w:ilvl w:val="0"/>
          <w:numId w:val="1"/>
        </w:numPr>
        <w:spacing w:after="120"/>
        <w:rPr>
          <w:sz w:val="24"/>
          <w:szCs w:val="24"/>
        </w:rPr>
      </w:pPr>
      <w:r w:rsidRPr="00EE6112">
        <w:rPr>
          <w:sz w:val="24"/>
          <w:szCs w:val="24"/>
        </w:rPr>
        <w:lastRenderedPageBreak/>
        <w:t>The extent to which the program, model, or intervention innovatively</w:t>
      </w:r>
      <w:r w:rsidR="00925634" w:rsidRPr="00EE6112">
        <w:rPr>
          <w:sz w:val="24"/>
          <w:szCs w:val="24"/>
        </w:rPr>
        <w:t xml:space="preserve"> uses health information technology (telehealth, electronic health records, health information exchange) to improve care, create efficiency in care delivery, and reduce costs.</w:t>
      </w:r>
      <w:r w:rsidR="00EE6112" w:rsidRPr="00EE6112">
        <w:rPr>
          <w:sz w:val="24"/>
          <w:szCs w:val="24"/>
        </w:rPr>
        <w:t xml:space="preserve">  </w:t>
      </w:r>
      <w:r w:rsidR="00925634" w:rsidRPr="00EE6112">
        <w:rPr>
          <w:sz w:val="24"/>
          <w:szCs w:val="24"/>
        </w:rPr>
        <w:t>The extent to which the program, model, or intervention supports alignment and the use of information across hospitals, physicians, post-acute care providers, and other community based providers with the goal of improving the delivery of care in a manner that achieves the core outcome measures outlined in Appendix A.</w:t>
      </w:r>
    </w:p>
    <w:p w:rsidR="00BE33AB" w:rsidRPr="00CD0C3E" w:rsidRDefault="00EB7C93" w:rsidP="00CD0C3E">
      <w:pPr>
        <w:pStyle w:val="ListParagraph"/>
        <w:numPr>
          <w:ilvl w:val="0"/>
          <w:numId w:val="1"/>
        </w:numPr>
        <w:spacing w:after="120"/>
        <w:rPr>
          <w:sz w:val="24"/>
          <w:szCs w:val="24"/>
        </w:rPr>
      </w:pPr>
      <w:r w:rsidRPr="00CD0C3E">
        <w:rPr>
          <w:sz w:val="24"/>
          <w:szCs w:val="24"/>
        </w:rPr>
        <w:t xml:space="preserve">Patient-Centered:  </w:t>
      </w:r>
      <w:r w:rsidR="006B3AE6" w:rsidRPr="00CD0C3E">
        <w:rPr>
          <w:sz w:val="24"/>
          <w:szCs w:val="24"/>
        </w:rPr>
        <w:t>The extent to which the proposed interventions support patient-centered care delivery, m</w:t>
      </w:r>
      <w:r w:rsidR="00BF3C21" w:rsidRPr="00CD0C3E">
        <w:rPr>
          <w:sz w:val="24"/>
          <w:szCs w:val="24"/>
        </w:rPr>
        <w:t>eaning they demonstrate how the</w:t>
      </w:r>
      <w:r w:rsidR="006B3AE6" w:rsidRPr="00CD0C3E">
        <w:rPr>
          <w:sz w:val="24"/>
          <w:szCs w:val="24"/>
        </w:rPr>
        <w:t xml:space="preserve"> care</w:t>
      </w:r>
      <w:r w:rsidRPr="00CD0C3E">
        <w:rPr>
          <w:sz w:val="24"/>
          <w:szCs w:val="24"/>
        </w:rPr>
        <w:t xml:space="preserve"> coordination efforts</w:t>
      </w:r>
      <w:r w:rsidR="006B3AE6" w:rsidRPr="00CD0C3E">
        <w:rPr>
          <w:sz w:val="24"/>
          <w:szCs w:val="24"/>
        </w:rPr>
        <w:t xml:space="preserve"> </w:t>
      </w:r>
      <w:r w:rsidR="00BF3C21" w:rsidRPr="00CD0C3E">
        <w:rPr>
          <w:sz w:val="24"/>
          <w:szCs w:val="24"/>
        </w:rPr>
        <w:t xml:space="preserve">flow </w:t>
      </w:r>
      <w:r w:rsidR="006B3AE6" w:rsidRPr="00CD0C3E">
        <w:rPr>
          <w:sz w:val="24"/>
          <w:szCs w:val="24"/>
        </w:rPr>
        <w:t>among different providers for high risk pati</w:t>
      </w:r>
      <w:r w:rsidRPr="00CD0C3E">
        <w:rPr>
          <w:sz w:val="24"/>
          <w:szCs w:val="24"/>
        </w:rPr>
        <w:t>ents using different hospitals</w:t>
      </w:r>
      <w:r w:rsidR="00BF3C21" w:rsidRPr="00CD0C3E">
        <w:rPr>
          <w:sz w:val="24"/>
          <w:szCs w:val="24"/>
        </w:rPr>
        <w:t xml:space="preserve"> and how the structures and efforts will have tailored technologies and methods to address patient and family preferences and engagement in their care</w:t>
      </w:r>
      <w:r w:rsidRPr="00CD0C3E">
        <w:rPr>
          <w:sz w:val="24"/>
          <w:szCs w:val="24"/>
        </w:rPr>
        <w:t xml:space="preserve">. </w:t>
      </w:r>
      <w:r w:rsidR="00507399">
        <w:rPr>
          <w:sz w:val="24"/>
          <w:szCs w:val="24"/>
        </w:rPr>
        <w:t>The extent to which consumer perspectives, engagement, communication, and outreach, are included in models.</w:t>
      </w:r>
    </w:p>
    <w:p w:rsidR="00BE33AB" w:rsidRPr="00CD0C3E" w:rsidRDefault="00045296" w:rsidP="00CD0C3E">
      <w:pPr>
        <w:pStyle w:val="ListParagraph"/>
        <w:numPr>
          <w:ilvl w:val="0"/>
          <w:numId w:val="1"/>
        </w:numPr>
        <w:spacing w:after="120"/>
        <w:rPr>
          <w:sz w:val="24"/>
          <w:szCs w:val="24"/>
        </w:rPr>
      </w:pPr>
      <w:r w:rsidRPr="00382F29">
        <w:rPr>
          <w:sz w:val="24"/>
          <w:szCs w:val="24"/>
        </w:rPr>
        <w:t xml:space="preserve">The </w:t>
      </w:r>
      <w:r w:rsidR="00840257" w:rsidRPr="00382F29">
        <w:rPr>
          <w:sz w:val="24"/>
          <w:szCs w:val="24"/>
        </w:rPr>
        <w:t>f</w:t>
      </w:r>
      <w:r w:rsidRPr="00382F29">
        <w:rPr>
          <w:sz w:val="24"/>
          <w:szCs w:val="24"/>
        </w:rPr>
        <w:t xml:space="preserve">easibility for a reasonable </w:t>
      </w:r>
      <w:r w:rsidR="00365E39" w:rsidRPr="00382F29">
        <w:rPr>
          <w:sz w:val="24"/>
          <w:szCs w:val="24"/>
        </w:rPr>
        <w:t>ROI</w:t>
      </w:r>
      <w:r w:rsidR="00306424" w:rsidRPr="00382F29">
        <w:rPr>
          <w:sz w:val="24"/>
          <w:szCs w:val="24"/>
        </w:rPr>
        <w:t xml:space="preserve"> </w:t>
      </w:r>
      <w:r w:rsidRPr="00382F29">
        <w:rPr>
          <w:sz w:val="24"/>
          <w:szCs w:val="24"/>
        </w:rPr>
        <w:t xml:space="preserve">in </w:t>
      </w:r>
      <w:r w:rsidR="00306424" w:rsidRPr="00382F29">
        <w:rPr>
          <w:sz w:val="24"/>
          <w:szCs w:val="24"/>
        </w:rPr>
        <w:t>Fiscal</w:t>
      </w:r>
      <w:r w:rsidR="00306424" w:rsidRPr="00CD0C3E">
        <w:rPr>
          <w:sz w:val="24"/>
          <w:szCs w:val="24"/>
        </w:rPr>
        <w:t xml:space="preserve"> Years 2017, 2018, and 2019</w:t>
      </w:r>
      <w:r w:rsidR="00C5448E" w:rsidRPr="00CD0C3E">
        <w:rPr>
          <w:sz w:val="24"/>
          <w:szCs w:val="24"/>
        </w:rPr>
        <w:t xml:space="preserve"> </w:t>
      </w:r>
      <w:r w:rsidRPr="00CD0C3E">
        <w:rPr>
          <w:sz w:val="24"/>
          <w:szCs w:val="24"/>
        </w:rPr>
        <w:t xml:space="preserve">that </w:t>
      </w:r>
      <w:r w:rsidR="00C5448E" w:rsidRPr="00CD0C3E">
        <w:rPr>
          <w:sz w:val="24"/>
          <w:szCs w:val="24"/>
        </w:rPr>
        <w:t>allows for sustainability over time</w:t>
      </w:r>
      <w:r w:rsidR="00306424" w:rsidRPr="00CD0C3E">
        <w:rPr>
          <w:sz w:val="24"/>
          <w:szCs w:val="24"/>
        </w:rPr>
        <w:t xml:space="preserve">. </w:t>
      </w:r>
      <w:r w:rsidR="0013203B">
        <w:rPr>
          <w:sz w:val="24"/>
          <w:szCs w:val="24"/>
        </w:rPr>
        <w:t xml:space="preserve">The apportionment of ROI to payers.  </w:t>
      </w:r>
      <w:r w:rsidRPr="00CD0C3E">
        <w:rPr>
          <w:sz w:val="24"/>
          <w:szCs w:val="24"/>
        </w:rPr>
        <w:t xml:space="preserve">The potential to reduce the total cost of care including both hospital-based and nonhospital-based </w:t>
      </w:r>
      <w:r w:rsidR="00365E39" w:rsidRPr="00CD0C3E">
        <w:rPr>
          <w:sz w:val="24"/>
          <w:szCs w:val="24"/>
        </w:rPr>
        <w:t xml:space="preserve">health care </w:t>
      </w:r>
      <w:r w:rsidRPr="00CD0C3E">
        <w:rPr>
          <w:sz w:val="24"/>
          <w:szCs w:val="24"/>
        </w:rPr>
        <w:t>costs.</w:t>
      </w:r>
      <w:r w:rsidR="00306424" w:rsidRPr="00CD0C3E">
        <w:rPr>
          <w:sz w:val="24"/>
          <w:szCs w:val="24"/>
        </w:rPr>
        <w:t xml:space="preserve"> </w:t>
      </w:r>
    </w:p>
    <w:p w:rsidR="00306424" w:rsidRPr="00CD0C3E" w:rsidRDefault="00306424" w:rsidP="00CD0C3E">
      <w:pPr>
        <w:pStyle w:val="ListParagraph"/>
        <w:numPr>
          <w:ilvl w:val="0"/>
          <w:numId w:val="1"/>
        </w:numPr>
        <w:spacing w:after="120"/>
        <w:rPr>
          <w:sz w:val="24"/>
          <w:szCs w:val="24"/>
        </w:rPr>
      </w:pPr>
      <w:r w:rsidRPr="00CD0C3E">
        <w:rPr>
          <w:sz w:val="24"/>
          <w:szCs w:val="24"/>
        </w:rPr>
        <w:t>Implementation Plan: Level of detail and feasibility of implementation plans</w:t>
      </w:r>
    </w:p>
    <w:p w:rsidR="00306424" w:rsidRPr="00CD0C3E" w:rsidRDefault="00306424" w:rsidP="00CD0C3E">
      <w:pPr>
        <w:pStyle w:val="ListParagraph"/>
        <w:numPr>
          <w:ilvl w:val="0"/>
          <w:numId w:val="1"/>
        </w:numPr>
        <w:spacing w:after="120"/>
        <w:rPr>
          <w:sz w:val="24"/>
          <w:szCs w:val="24"/>
        </w:rPr>
      </w:pPr>
      <w:r w:rsidRPr="00CD0C3E">
        <w:rPr>
          <w:sz w:val="24"/>
          <w:szCs w:val="24"/>
        </w:rPr>
        <w:t>Budget: The reasonableness and adequacy of the proposed budget.  A clear description of how awarded funds will be dispersed to organizations and providers included in the application</w:t>
      </w:r>
      <w:r w:rsidR="00045296" w:rsidRPr="00CD0C3E">
        <w:rPr>
          <w:sz w:val="24"/>
          <w:szCs w:val="24"/>
        </w:rPr>
        <w:t xml:space="preserve"> consistent with existing law</w:t>
      </w:r>
      <w:r w:rsidRPr="00CD0C3E">
        <w:rPr>
          <w:sz w:val="24"/>
          <w:szCs w:val="24"/>
        </w:rPr>
        <w:t>.</w:t>
      </w:r>
    </w:p>
    <w:p w:rsidR="00BE33AB" w:rsidRDefault="00BE33AB" w:rsidP="00CD0C3E">
      <w:pPr>
        <w:spacing w:after="120"/>
        <w:rPr>
          <w:sz w:val="24"/>
          <w:szCs w:val="24"/>
        </w:rPr>
      </w:pPr>
    </w:p>
    <w:p w:rsidR="00BE33AB" w:rsidRDefault="00BE33AB" w:rsidP="00CD0C3E">
      <w:pPr>
        <w:pStyle w:val="ListParagraph"/>
        <w:spacing w:after="120"/>
        <w:ind w:left="360"/>
        <w:rPr>
          <w:sz w:val="24"/>
          <w:szCs w:val="24"/>
        </w:rPr>
      </w:pPr>
    </w:p>
    <w:p w:rsidR="00BE33AB" w:rsidRDefault="00BE33AB" w:rsidP="00CD0C3E">
      <w:pPr>
        <w:spacing w:after="120"/>
      </w:pPr>
    </w:p>
    <w:p w:rsidR="00564994" w:rsidRPr="00564994" w:rsidRDefault="00564994" w:rsidP="00564994">
      <w:pPr>
        <w:pStyle w:val="ListParagraph"/>
        <w:spacing w:after="0" w:line="240" w:lineRule="auto"/>
        <w:ind w:left="360"/>
        <w:rPr>
          <w:sz w:val="24"/>
          <w:szCs w:val="24"/>
        </w:rPr>
      </w:pPr>
    </w:p>
    <w:p w:rsidR="002B277D" w:rsidRDefault="002B277D" w:rsidP="002F452A">
      <w:pPr>
        <w:spacing w:after="0" w:line="240" w:lineRule="auto"/>
        <w:rPr>
          <w:b/>
          <w:i/>
          <w:sz w:val="24"/>
          <w:szCs w:val="24"/>
        </w:rPr>
      </w:pPr>
    </w:p>
    <w:p w:rsidR="00530CEA" w:rsidRDefault="00530CEA">
      <w:pPr>
        <w:rPr>
          <w:sz w:val="24"/>
          <w:szCs w:val="24"/>
        </w:rPr>
      </w:pPr>
      <w:r>
        <w:rPr>
          <w:sz w:val="24"/>
          <w:szCs w:val="24"/>
        </w:rPr>
        <w:br w:type="page"/>
      </w:r>
    </w:p>
    <w:p w:rsidR="00087E2C" w:rsidRPr="00F84397" w:rsidRDefault="00087E2C">
      <w:pPr>
        <w:pStyle w:val="Heading2"/>
      </w:pPr>
      <w:r w:rsidRPr="00F84397">
        <w:lastRenderedPageBreak/>
        <w:t>Appendix A</w:t>
      </w:r>
    </w:p>
    <w:p w:rsidR="00604573" w:rsidRDefault="00773481" w:rsidP="00CD0C3E">
      <w:pPr>
        <w:spacing w:after="120" w:line="240" w:lineRule="auto"/>
        <w:rPr>
          <w:b/>
          <w:sz w:val="24"/>
          <w:szCs w:val="24"/>
        </w:rPr>
      </w:pPr>
      <w:r>
        <w:rPr>
          <w:b/>
          <w:sz w:val="24"/>
          <w:szCs w:val="24"/>
        </w:rPr>
        <w:t xml:space="preserve">Table 1. </w:t>
      </w:r>
      <w:r w:rsidR="00604573" w:rsidRPr="00B51170">
        <w:rPr>
          <w:b/>
          <w:sz w:val="24"/>
          <w:szCs w:val="24"/>
        </w:rPr>
        <w:t>Core Outcome Measures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065"/>
        <w:gridCol w:w="3240"/>
        <w:gridCol w:w="1800"/>
        <w:gridCol w:w="2880"/>
      </w:tblGrid>
      <w:tr w:rsidR="00604573" w:rsidRPr="00E005CE" w:rsidTr="00B2561A">
        <w:trPr>
          <w:trHeight w:val="386"/>
        </w:trPr>
        <w:tc>
          <w:tcPr>
            <w:tcW w:w="2065" w:type="dxa"/>
            <w:shd w:val="clear" w:color="auto" w:fill="A5A5A5"/>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b/>
                <w:bCs/>
                <w:kern w:val="24"/>
                <w:sz w:val="24"/>
                <w:szCs w:val="24"/>
              </w:rPr>
              <w:t>Measure</w:t>
            </w:r>
          </w:p>
        </w:tc>
        <w:tc>
          <w:tcPr>
            <w:tcW w:w="3240" w:type="dxa"/>
            <w:shd w:val="clear" w:color="auto" w:fill="A5A5A5"/>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b/>
                <w:bCs/>
                <w:kern w:val="24"/>
                <w:sz w:val="24"/>
                <w:szCs w:val="24"/>
              </w:rPr>
              <w:t>Definition</w:t>
            </w:r>
          </w:p>
        </w:tc>
        <w:tc>
          <w:tcPr>
            <w:tcW w:w="1800" w:type="dxa"/>
            <w:shd w:val="clear" w:color="auto" w:fill="A5A5A5"/>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b/>
                <w:bCs/>
                <w:kern w:val="24"/>
                <w:sz w:val="24"/>
                <w:szCs w:val="24"/>
              </w:rPr>
              <w:t xml:space="preserve">Source </w:t>
            </w:r>
          </w:p>
        </w:tc>
        <w:tc>
          <w:tcPr>
            <w:tcW w:w="2880" w:type="dxa"/>
            <w:shd w:val="clear" w:color="auto" w:fill="A5A5A5"/>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b/>
                <w:bCs/>
                <w:kern w:val="24"/>
                <w:sz w:val="24"/>
                <w:szCs w:val="24"/>
              </w:rPr>
              <w:t>Population(s) expected</w:t>
            </w:r>
          </w:p>
        </w:tc>
      </w:tr>
      <w:tr w:rsidR="00604573" w:rsidRPr="00E005CE" w:rsidTr="00B2561A">
        <w:trPr>
          <w:trHeight w:val="584"/>
        </w:trPr>
        <w:tc>
          <w:tcPr>
            <w:tcW w:w="2065"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Total hospital cost per capita</w:t>
            </w:r>
          </w:p>
        </w:tc>
        <w:tc>
          <w:tcPr>
            <w:tcW w:w="3240"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Hospital charges per person</w:t>
            </w:r>
          </w:p>
        </w:tc>
        <w:tc>
          <w:tcPr>
            <w:tcW w:w="1800"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 xml:space="preserve">HSCRC </w:t>
            </w:r>
            <w:proofErr w:type="spellStart"/>
            <w:r w:rsidRPr="00E005CE">
              <w:rPr>
                <w:rFonts w:ascii="Calibri" w:eastAsia="Times New Roman" w:hAnsi="Calibri" w:cs="Arial"/>
                <w:color w:val="000000" w:themeColor="dark1"/>
                <w:kern w:val="24"/>
                <w:sz w:val="24"/>
                <w:szCs w:val="24"/>
              </w:rPr>
              <w:t>Casemix</w:t>
            </w:r>
            <w:proofErr w:type="spellEnd"/>
            <w:r w:rsidRPr="00E005CE">
              <w:rPr>
                <w:rFonts w:ascii="Calibri" w:eastAsia="Times New Roman" w:hAnsi="Calibri" w:cs="Arial"/>
                <w:color w:val="000000" w:themeColor="dark1"/>
                <w:kern w:val="24"/>
                <w:sz w:val="24"/>
                <w:szCs w:val="24"/>
              </w:rPr>
              <w:t xml:space="preserve"> Data</w:t>
            </w:r>
          </w:p>
        </w:tc>
        <w:tc>
          <w:tcPr>
            <w:tcW w:w="2880"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All population for covered zips, high utilization set, target population if different, each by race/ethnicity</w:t>
            </w:r>
          </w:p>
        </w:tc>
      </w:tr>
      <w:tr w:rsidR="00604573" w:rsidRPr="00E005CE" w:rsidTr="00B2561A">
        <w:trPr>
          <w:trHeight w:val="584"/>
        </w:trPr>
        <w:tc>
          <w:tcPr>
            <w:tcW w:w="2065" w:type="dxa"/>
            <w:shd w:val="clear" w:color="auto" w:fill="F0F0F0"/>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Total hospital admits per capita</w:t>
            </w:r>
          </w:p>
        </w:tc>
        <w:tc>
          <w:tcPr>
            <w:tcW w:w="3240" w:type="dxa"/>
            <w:shd w:val="clear" w:color="auto" w:fill="F0F0F0"/>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Admits per thousand</w:t>
            </w:r>
          </w:p>
        </w:tc>
        <w:tc>
          <w:tcPr>
            <w:tcW w:w="1800" w:type="dxa"/>
            <w:shd w:val="clear" w:color="auto" w:fill="F0F0F0"/>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 xml:space="preserve">HSCRC </w:t>
            </w:r>
            <w:proofErr w:type="spellStart"/>
            <w:r w:rsidRPr="00E005CE">
              <w:rPr>
                <w:rFonts w:ascii="Calibri" w:eastAsia="Times New Roman" w:hAnsi="Calibri" w:cs="Arial"/>
                <w:color w:val="000000" w:themeColor="dark1"/>
                <w:kern w:val="24"/>
                <w:sz w:val="24"/>
                <w:szCs w:val="24"/>
              </w:rPr>
              <w:t>Casemix</w:t>
            </w:r>
            <w:proofErr w:type="spellEnd"/>
            <w:r w:rsidRPr="00E005CE">
              <w:rPr>
                <w:rFonts w:ascii="Calibri" w:eastAsia="Times New Roman" w:hAnsi="Calibri" w:cs="Arial"/>
                <w:color w:val="000000" w:themeColor="dark1"/>
                <w:kern w:val="24"/>
                <w:sz w:val="24"/>
                <w:szCs w:val="24"/>
              </w:rPr>
              <w:t xml:space="preserve"> Data</w:t>
            </w:r>
          </w:p>
        </w:tc>
        <w:tc>
          <w:tcPr>
            <w:tcW w:w="2880" w:type="dxa"/>
            <w:shd w:val="clear" w:color="auto" w:fill="F0F0F0"/>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All population for covered zips, high utilization set, target population if different, each by race/ethnicity</w:t>
            </w:r>
          </w:p>
        </w:tc>
      </w:tr>
      <w:tr w:rsidR="00604573" w:rsidRPr="00E005CE" w:rsidTr="00B2561A">
        <w:trPr>
          <w:trHeight w:val="584"/>
        </w:trPr>
        <w:tc>
          <w:tcPr>
            <w:tcW w:w="2065"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Total health care cost per person</w:t>
            </w:r>
          </w:p>
        </w:tc>
        <w:tc>
          <w:tcPr>
            <w:tcW w:w="3240"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Aggregate payments/person</w:t>
            </w:r>
          </w:p>
        </w:tc>
        <w:tc>
          <w:tcPr>
            <w:tcW w:w="1800"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HSCRC Total Cost Report</w:t>
            </w:r>
          </w:p>
        </w:tc>
        <w:tc>
          <w:tcPr>
            <w:tcW w:w="2880"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All population for covered zips, high utilization set, target population if different, , each by race/ethnicity</w:t>
            </w:r>
          </w:p>
        </w:tc>
      </w:tr>
      <w:tr w:rsidR="00604573" w:rsidRPr="00E005CE" w:rsidTr="00B2561A">
        <w:trPr>
          <w:trHeight w:val="584"/>
        </w:trPr>
        <w:tc>
          <w:tcPr>
            <w:tcW w:w="2065" w:type="dxa"/>
            <w:shd w:val="clear" w:color="auto" w:fill="F0F0F0"/>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ED visits per capita</w:t>
            </w:r>
          </w:p>
        </w:tc>
        <w:tc>
          <w:tcPr>
            <w:tcW w:w="3240" w:type="dxa"/>
            <w:shd w:val="clear" w:color="auto" w:fill="F0F0F0"/>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Encounters per thousand</w:t>
            </w:r>
          </w:p>
        </w:tc>
        <w:tc>
          <w:tcPr>
            <w:tcW w:w="1800" w:type="dxa"/>
            <w:shd w:val="clear" w:color="auto" w:fill="F0F0F0"/>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 xml:space="preserve">HSCRC </w:t>
            </w:r>
            <w:proofErr w:type="spellStart"/>
            <w:r w:rsidRPr="00E005CE">
              <w:rPr>
                <w:rFonts w:ascii="Calibri" w:eastAsia="Times New Roman" w:hAnsi="Calibri" w:cs="Arial"/>
                <w:color w:val="000000" w:themeColor="dark1"/>
                <w:kern w:val="24"/>
                <w:sz w:val="24"/>
                <w:szCs w:val="24"/>
              </w:rPr>
              <w:t>Casemix</w:t>
            </w:r>
            <w:proofErr w:type="spellEnd"/>
            <w:r w:rsidRPr="00E005CE">
              <w:rPr>
                <w:rFonts w:ascii="Calibri" w:eastAsia="Times New Roman" w:hAnsi="Calibri" w:cs="Arial"/>
                <w:color w:val="000000" w:themeColor="dark1"/>
                <w:kern w:val="24"/>
                <w:sz w:val="24"/>
                <w:szCs w:val="24"/>
              </w:rPr>
              <w:t xml:space="preserve"> Data</w:t>
            </w:r>
          </w:p>
        </w:tc>
        <w:tc>
          <w:tcPr>
            <w:tcW w:w="2880" w:type="dxa"/>
            <w:shd w:val="clear" w:color="auto" w:fill="F0F0F0"/>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All population for covered zips, high utilization set, target population if different, , each by race/ethnicity</w:t>
            </w:r>
          </w:p>
        </w:tc>
      </w:tr>
      <w:tr w:rsidR="00604573" w:rsidRPr="00E005CE" w:rsidTr="00B2561A">
        <w:trPr>
          <w:trHeight w:val="584"/>
        </w:trPr>
        <w:tc>
          <w:tcPr>
            <w:tcW w:w="2065"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Readmissions</w:t>
            </w:r>
          </w:p>
        </w:tc>
        <w:tc>
          <w:tcPr>
            <w:tcW w:w="3240"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All Cause 30-day Readmits (see HSCRC specs)</w:t>
            </w:r>
          </w:p>
        </w:tc>
        <w:tc>
          <w:tcPr>
            <w:tcW w:w="1800"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Pr>
                <w:rFonts w:ascii="Calibri" w:eastAsia="Times New Roman" w:hAnsi="Calibri" w:cs="Arial"/>
                <w:color w:val="000000" w:themeColor="dark1"/>
                <w:kern w:val="24"/>
                <w:sz w:val="24"/>
                <w:szCs w:val="24"/>
              </w:rPr>
              <w:t>CRISP</w:t>
            </w:r>
          </w:p>
        </w:tc>
        <w:tc>
          <w:tcPr>
            <w:tcW w:w="2880"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High utilization set, target population if different, each by race/ethnicity</w:t>
            </w:r>
          </w:p>
        </w:tc>
      </w:tr>
      <w:tr w:rsidR="00604573" w:rsidRPr="00E005CE" w:rsidTr="00B2561A">
        <w:trPr>
          <w:trHeight w:val="584"/>
        </w:trPr>
        <w:tc>
          <w:tcPr>
            <w:tcW w:w="2065" w:type="dxa"/>
            <w:shd w:val="clear" w:color="auto" w:fill="F0F0F0"/>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Potentially avoidable utilization</w:t>
            </w:r>
          </w:p>
        </w:tc>
        <w:tc>
          <w:tcPr>
            <w:tcW w:w="3240" w:type="dxa"/>
            <w:shd w:val="clear" w:color="auto" w:fill="F0F0F0"/>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(see HSCRC specifications)</w:t>
            </w:r>
          </w:p>
        </w:tc>
        <w:tc>
          <w:tcPr>
            <w:tcW w:w="1800" w:type="dxa"/>
            <w:shd w:val="clear" w:color="auto" w:fill="F0F0F0"/>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PAU Patient Level Reports</w:t>
            </w:r>
          </w:p>
        </w:tc>
        <w:tc>
          <w:tcPr>
            <w:tcW w:w="2880" w:type="dxa"/>
            <w:shd w:val="clear" w:color="auto" w:fill="F0F0F0"/>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High utilization set, target population if different, each by race/ethnicity</w:t>
            </w:r>
          </w:p>
        </w:tc>
      </w:tr>
      <w:tr w:rsidR="00604573" w:rsidRPr="00E005CE" w:rsidTr="00B2561A">
        <w:trPr>
          <w:trHeight w:val="584"/>
        </w:trPr>
        <w:tc>
          <w:tcPr>
            <w:tcW w:w="2065"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Patient experience</w:t>
            </w:r>
          </w:p>
        </w:tc>
        <w:tc>
          <w:tcPr>
            <w:tcW w:w="3240"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 rating 9 or 10</w:t>
            </w:r>
          </w:p>
        </w:tc>
        <w:tc>
          <w:tcPr>
            <w:tcW w:w="1800"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eastAsia="Times New Roman" w:hAnsi="Calibri" w:cs="Arial"/>
                <w:color w:val="000000"/>
                <w:kern w:val="24"/>
                <w:sz w:val="24"/>
                <w:szCs w:val="24"/>
              </w:rPr>
              <w:t>HCAPHS</w:t>
            </w:r>
          </w:p>
        </w:tc>
        <w:tc>
          <w:tcPr>
            <w:tcW w:w="2880" w:type="dxa"/>
            <w:shd w:val="clear" w:color="auto" w:fill="E1E1E1"/>
            <w:tcMar>
              <w:top w:w="72" w:type="dxa"/>
              <w:left w:w="144" w:type="dxa"/>
              <w:bottom w:w="72" w:type="dxa"/>
              <w:right w:w="144" w:type="dxa"/>
            </w:tcMar>
            <w:hideMark/>
          </w:tcPr>
          <w:p w:rsidR="00604573" w:rsidRPr="00E005CE" w:rsidRDefault="00604573" w:rsidP="00D542BE">
            <w:pPr>
              <w:spacing w:after="0" w:line="240" w:lineRule="auto"/>
              <w:rPr>
                <w:rFonts w:ascii="Arial" w:eastAsia="Times New Roman" w:hAnsi="Arial" w:cs="Arial"/>
                <w:sz w:val="24"/>
                <w:szCs w:val="24"/>
              </w:rPr>
            </w:pPr>
            <w:r w:rsidRPr="00E005CE">
              <w:rPr>
                <w:rFonts w:ascii="Calibri" w:eastAsia="Times New Roman" w:hAnsi="Calibri" w:cs="Arial"/>
                <w:color w:val="000000" w:themeColor="dark1"/>
                <w:kern w:val="24"/>
                <w:sz w:val="24"/>
                <w:szCs w:val="24"/>
              </w:rPr>
              <w:t>High utilization set, target population if different, each by race/ethnicity</w:t>
            </w:r>
          </w:p>
        </w:tc>
      </w:tr>
    </w:tbl>
    <w:p w:rsidR="00604573" w:rsidRDefault="00604573" w:rsidP="00604573">
      <w:pPr>
        <w:spacing w:after="0" w:line="240" w:lineRule="auto"/>
        <w:rPr>
          <w:sz w:val="24"/>
          <w:szCs w:val="24"/>
        </w:rPr>
      </w:pPr>
    </w:p>
    <w:p w:rsidR="0013203B" w:rsidRDefault="0013203B" w:rsidP="00604573">
      <w:pPr>
        <w:spacing w:after="0" w:line="240" w:lineRule="auto"/>
        <w:rPr>
          <w:sz w:val="24"/>
          <w:szCs w:val="24"/>
        </w:rPr>
      </w:pPr>
    </w:p>
    <w:p w:rsidR="0013203B" w:rsidRDefault="0013203B" w:rsidP="00604573">
      <w:pPr>
        <w:spacing w:after="0" w:line="240" w:lineRule="auto"/>
        <w:rPr>
          <w:sz w:val="24"/>
          <w:szCs w:val="24"/>
        </w:rPr>
      </w:pPr>
    </w:p>
    <w:p w:rsidR="0013203B" w:rsidRPr="007B68E5" w:rsidRDefault="0013203B" w:rsidP="00604573">
      <w:pPr>
        <w:spacing w:after="0" w:line="240" w:lineRule="auto"/>
        <w:rPr>
          <w:sz w:val="24"/>
          <w:szCs w:val="24"/>
        </w:rPr>
      </w:pPr>
    </w:p>
    <w:p w:rsidR="002F2A83" w:rsidRDefault="002F2A83" w:rsidP="00604573">
      <w:pPr>
        <w:spacing w:after="0" w:line="240" w:lineRule="auto"/>
        <w:rPr>
          <w:b/>
          <w:sz w:val="24"/>
          <w:szCs w:val="24"/>
        </w:rPr>
      </w:pPr>
    </w:p>
    <w:p w:rsidR="00CA5219" w:rsidRDefault="00CA5219" w:rsidP="00604573">
      <w:pPr>
        <w:spacing w:after="0" w:line="240" w:lineRule="auto"/>
        <w:rPr>
          <w:b/>
          <w:sz w:val="24"/>
          <w:szCs w:val="24"/>
        </w:rPr>
      </w:pPr>
    </w:p>
    <w:p w:rsidR="00604573" w:rsidRPr="00B51170" w:rsidRDefault="00773481" w:rsidP="00CD0C3E">
      <w:pPr>
        <w:spacing w:after="120" w:line="240" w:lineRule="auto"/>
        <w:rPr>
          <w:sz w:val="24"/>
          <w:szCs w:val="24"/>
        </w:rPr>
      </w:pPr>
      <w:r>
        <w:rPr>
          <w:b/>
          <w:sz w:val="24"/>
          <w:szCs w:val="24"/>
        </w:rPr>
        <w:lastRenderedPageBreak/>
        <w:t xml:space="preserve">Table 2. </w:t>
      </w:r>
      <w:r w:rsidR="00604573" w:rsidRPr="00B51170">
        <w:rPr>
          <w:b/>
          <w:sz w:val="24"/>
          <w:szCs w:val="24"/>
        </w:rPr>
        <w:t>Core Process Measures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065"/>
        <w:gridCol w:w="3420"/>
        <w:gridCol w:w="1620"/>
        <w:gridCol w:w="2880"/>
      </w:tblGrid>
      <w:tr w:rsidR="00604573" w:rsidRPr="00B51170" w:rsidTr="00B2561A">
        <w:trPr>
          <w:trHeight w:val="421"/>
        </w:trPr>
        <w:tc>
          <w:tcPr>
            <w:tcW w:w="2065" w:type="dxa"/>
            <w:shd w:val="clear" w:color="auto" w:fill="A5A5A5"/>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b/>
                <w:bCs/>
                <w:kern w:val="24"/>
                <w:sz w:val="24"/>
                <w:szCs w:val="24"/>
              </w:rPr>
              <w:t>Measure</w:t>
            </w:r>
          </w:p>
        </w:tc>
        <w:tc>
          <w:tcPr>
            <w:tcW w:w="3420" w:type="dxa"/>
            <w:shd w:val="clear" w:color="auto" w:fill="A5A5A5"/>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b/>
                <w:bCs/>
                <w:kern w:val="24"/>
                <w:sz w:val="24"/>
                <w:szCs w:val="24"/>
              </w:rPr>
              <w:t>Definition</w:t>
            </w:r>
          </w:p>
        </w:tc>
        <w:tc>
          <w:tcPr>
            <w:tcW w:w="1620" w:type="dxa"/>
            <w:shd w:val="clear" w:color="auto" w:fill="A5A5A5"/>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b/>
                <w:bCs/>
                <w:kern w:val="24"/>
                <w:sz w:val="24"/>
                <w:szCs w:val="24"/>
              </w:rPr>
              <w:t xml:space="preserve">Source </w:t>
            </w:r>
          </w:p>
        </w:tc>
        <w:tc>
          <w:tcPr>
            <w:tcW w:w="2880" w:type="dxa"/>
            <w:shd w:val="clear" w:color="auto" w:fill="A5A5A5"/>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b/>
                <w:bCs/>
                <w:kern w:val="24"/>
                <w:sz w:val="24"/>
                <w:szCs w:val="24"/>
              </w:rPr>
              <w:t>Population(s) expected</w:t>
            </w:r>
          </w:p>
        </w:tc>
      </w:tr>
      <w:tr w:rsidR="00604573" w:rsidRPr="00B51170" w:rsidTr="00B2561A">
        <w:trPr>
          <w:trHeight w:val="1115"/>
        </w:trPr>
        <w:tc>
          <w:tcPr>
            <w:tcW w:w="2065" w:type="dxa"/>
            <w:shd w:val="clear" w:color="auto" w:fill="E1E1E1"/>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color w:val="000000" w:themeColor="text1"/>
                <w:kern w:val="24"/>
                <w:sz w:val="24"/>
                <w:szCs w:val="24"/>
              </w:rPr>
              <w:t>Use of Encounter Notification Alerts</w:t>
            </w:r>
          </w:p>
        </w:tc>
        <w:tc>
          <w:tcPr>
            <w:tcW w:w="3420" w:type="dxa"/>
            <w:shd w:val="clear" w:color="auto" w:fill="E1E1E1"/>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eastAsia="Times New Roman" w:hAnsi="Calibri" w:cs="Arial"/>
                <w:color w:val="000000"/>
                <w:kern w:val="24"/>
                <w:sz w:val="24"/>
                <w:szCs w:val="24"/>
              </w:rPr>
              <w:t xml:space="preserve">% of </w:t>
            </w:r>
            <w:r w:rsidRPr="00B51170">
              <w:rPr>
                <w:rFonts w:eastAsia="Times New Roman" w:hAnsi="Calibri" w:cs="Arial"/>
                <w:color w:val="000000" w:themeColor="text1"/>
                <w:kern w:val="24"/>
                <w:sz w:val="24"/>
                <w:szCs w:val="24"/>
              </w:rPr>
              <w:t>inpatient discharges that result in an Encounter  Notification System alert going to a physician</w:t>
            </w:r>
          </w:p>
        </w:tc>
        <w:tc>
          <w:tcPr>
            <w:tcW w:w="1620" w:type="dxa"/>
            <w:shd w:val="clear" w:color="auto" w:fill="E1E1E1"/>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eastAsia="Times New Roman" w:hAnsi="Calibri" w:cs="Arial"/>
                <w:color w:val="000000"/>
                <w:kern w:val="24"/>
                <w:sz w:val="24"/>
                <w:szCs w:val="24"/>
              </w:rPr>
              <w:t>CRISP</w:t>
            </w:r>
          </w:p>
        </w:tc>
        <w:tc>
          <w:tcPr>
            <w:tcW w:w="2880" w:type="dxa"/>
            <w:shd w:val="clear" w:color="auto" w:fill="E1E1E1"/>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color w:val="000000" w:themeColor="dark1"/>
                <w:kern w:val="24"/>
                <w:sz w:val="24"/>
                <w:szCs w:val="24"/>
              </w:rPr>
              <w:t>All population for covered zips, high utilization set, target population if different</w:t>
            </w:r>
          </w:p>
        </w:tc>
      </w:tr>
      <w:tr w:rsidR="00604573" w:rsidRPr="00B51170" w:rsidTr="00B2561A">
        <w:trPr>
          <w:trHeight w:val="584"/>
        </w:trPr>
        <w:tc>
          <w:tcPr>
            <w:tcW w:w="2065" w:type="dxa"/>
            <w:shd w:val="clear" w:color="auto" w:fill="F0F0F0"/>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color w:val="000000" w:themeColor="dark1"/>
                <w:kern w:val="24"/>
                <w:sz w:val="24"/>
                <w:szCs w:val="24"/>
              </w:rPr>
              <w:t>Completion of health risk assessments</w:t>
            </w:r>
          </w:p>
        </w:tc>
        <w:tc>
          <w:tcPr>
            <w:tcW w:w="3420" w:type="dxa"/>
            <w:shd w:val="clear" w:color="auto" w:fill="F0F0F0"/>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eastAsia="Times New Roman" w:hAnsi="Calibri" w:cs="Arial"/>
                <w:color w:val="000000"/>
                <w:kern w:val="24"/>
                <w:sz w:val="24"/>
                <w:szCs w:val="24"/>
              </w:rPr>
              <w:t xml:space="preserve">% High utilizers with </w:t>
            </w:r>
            <w:r w:rsidRPr="00B51170">
              <w:rPr>
                <w:rFonts w:eastAsia="Times New Roman" w:hAnsi="Calibri" w:cs="Arial"/>
                <w:color w:val="000000"/>
                <w:kern w:val="24"/>
                <w:sz w:val="24"/>
                <w:szCs w:val="24"/>
                <w:u w:val="single"/>
              </w:rPr>
              <w:t>completed</w:t>
            </w:r>
            <w:r w:rsidRPr="00B51170">
              <w:rPr>
                <w:rFonts w:eastAsia="Times New Roman" w:hAnsi="Calibri" w:cs="Arial"/>
                <w:color w:val="000000"/>
                <w:kern w:val="24"/>
                <w:sz w:val="24"/>
                <w:szCs w:val="24"/>
              </w:rPr>
              <w:t xml:space="preserve"> Health Risk Assessments</w:t>
            </w:r>
          </w:p>
        </w:tc>
        <w:tc>
          <w:tcPr>
            <w:tcW w:w="1620" w:type="dxa"/>
            <w:shd w:val="clear" w:color="auto" w:fill="F0F0F0"/>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Pr>
                <w:rFonts w:eastAsia="Times New Roman" w:hAnsi="Calibri" w:cs="Arial"/>
                <w:color w:val="000000"/>
                <w:kern w:val="24"/>
                <w:sz w:val="24"/>
                <w:szCs w:val="24"/>
              </w:rPr>
              <w:t xml:space="preserve">Hospital, </w:t>
            </w:r>
            <w:r w:rsidRPr="00B51170">
              <w:rPr>
                <w:rFonts w:eastAsia="Times New Roman" w:hAnsi="Calibri" w:cs="Arial"/>
                <w:color w:val="000000"/>
                <w:kern w:val="24"/>
                <w:sz w:val="24"/>
                <w:szCs w:val="24"/>
              </w:rPr>
              <w:t>Partnership</w:t>
            </w:r>
            <w:r>
              <w:rPr>
                <w:rFonts w:eastAsia="Times New Roman" w:hAnsi="Calibri" w:cs="Arial"/>
                <w:color w:val="000000"/>
                <w:kern w:val="24"/>
                <w:sz w:val="24"/>
                <w:szCs w:val="24"/>
              </w:rPr>
              <w:t>, Collaboration</w:t>
            </w:r>
          </w:p>
        </w:tc>
        <w:tc>
          <w:tcPr>
            <w:tcW w:w="2880" w:type="dxa"/>
            <w:shd w:val="clear" w:color="auto" w:fill="F0F0F0"/>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color w:val="000000" w:themeColor="dark1"/>
                <w:kern w:val="24"/>
                <w:sz w:val="24"/>
                <w:szCs w:val="24"/>
              </w:rPr>
              <w:t>High utilization set, target population if different</w:t>
            </w:r>
          </w:p>
        </w:tc>
      </w:tr>
      <w:tr w:rsidR="00604573" w:rsidRPr="00B51170" w:rsidTr="00B2561A">
        <w:trPr>
          <w:trHeight w:val="584"/>
        </w:trPr>
        <w:tc>
          <w:tcPr>
            <w:tcW w:w="2065" w:type="dxa"/>
            <w:shd w:val="clear" w:color="auto" w:fill="E1E1E1"/>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color w:val="000000" w:themeColor="dark1"/>
                <w:kern w:val="24"/>
                <w:sz w:val="24"/>
                <w:szCs w:val="24"/>
              </w:rPr>
              <w:t>Established longitudinal care plan</w:t>
            </w:r>
          </w:p>
        </w:tc>
        <w:tc>
          <w:tcPr>
            <w:tcW w:w="3420" w:type="dxa"/>
            <w:shd w:val="clear" w:color="auto" w:fill="E1E1E1"/>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eastAsia="Times New Roman" w:hAnsi="Calibri" w:cs="Arial"/>
                <w:color w:val="000000" w:themeColor="text1"/>
                <w:kern w:val="24"/>
                <w:sz w:val="24"/>
                <w:szCs w:val="24"/>
              </w:rPr>
              <w:t>% of High Utilizers  Patients with  completed care</w:t>
            </w:r>
          </w:p>
        </w:tc>
        <w:tc>
          <w:tcPr>
            <w:tcW w:w="1620" w:type="dxa"/>
            <w:shd w:val="clear" w:color="auto" w:fill="E1E1E1"/>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Pr>
                <w:rFonts w:eastAsia="Times New Roman" w:hAnsi="Calibri" w:cs="Arial"/>
                <w:color w:val="000000"/>
                <w:kern w:val="24"/>
                <w:sz w:val="24"/>
                <w:szCs w:val="24"/>
              </w:rPr>
              <w:t xml:space="preserve">Hospital, </w:t>
            </w:r>
            <w:r w:rsidRPr="00B51170">
              <w:rPr>
                <w:rFonts w:eastAsia="Times New Roman" w:hAnsi="Calibri" w:cs="Arial"/>
                <w:color w:val="000000"/>
                <w:kern w:val="24"/>
                <w:sz w:val="24"/>
                <w:szCs w:val="24"/>
              </w:rPr>
              <w:t>Partnership</w:t>
            </w:r>
            <w:r>
              <w:rPr>
                <w:rFonts w:eastAsia="Times New Roman" w:hAnsi="Calibri" w:cs="Arial"/>
                <w:color w:val="000000"/>
                <w:kern w:val="24"/>
                <w:sz w:val="24"/>
                <w:szCs w:val="24"/>
              </w:rPr>
              <w:t>, Collaboration</w:t>
            </w:r>
          </w:p>
        </w:tc>
        <w:tc>
          <w:tcPr>
            <w:tcW w:w="2880" w:type="dxa"/>
            <w:shd w:val="clear" w:color="auto" w:fill="E1E1E1"/>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color w:val="000000" w:themeColor="dark1"/>
                <w:kern w:val="24"/>
                <w:sz w:val="24"/>
                <w:szCs w:val="24"/>
              </w:rPr>
              <w:t>High utilization set, target population if different</w:t>
            </w:r>
          </w:p>
        </w:tc>
      </w:tr>
      <w:tr w:rsidR="00604573" w:rsidRPr="00B51170" w:rsidTr="00B2561A">
        <w:trPr>
          <w:trHeight w:val="584"/>
        </w:trPr>
        <w:tc>
          <w:tcPr>
            <w:tcW w:w="2065" w:type="dxa"/>
            <w:shd w:val="clear" w:color="auto" w:fill="F0F0F0"/>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color w:val="000000" w:themeColor="dark1"/>
                <w:kern w:val="24"/>
                <w:sz w:val="24"/>
                <w:szCs w:val="24"/>
              </w:rPr>
              <w:t>Shared Care Profile</w:t>
            </w:r>
          </w:p>
        </w:tc>
        <w:tc>
          <w:tcPr>
            <w:tcW w:w="3420" w:type="dxa"/>
            <w:shd w:val="clear" w:color="auto" w:fill="F0F0F0"/>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color w:val="000000" w:themeColor="dark1"/>
                <w:kern w:val="24"/>
                <w:sz w:val="24"/>
                <w:szCs w:val="24"/>
              </w:rPr>
              <w:t>% of patients with care plans with data shared through HIE in Care Profile</w:t>
            </w:r>
          </w:p>
        </w:tc>
        <w:tc>
          <w:tcPr>
            <w:tcW w:w="1620" w:type="dxa"/>
            <w:shd w:val="clear" w:color="auto" w:fill="F0F0F0"/>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eastAsia="Times New Roman" w:hAnsi="Calibri" w:cs="Arial"/>
                <w:color w:val="000000"/>
                <w:kern w:val="24"/>
                <w:sz w:val="24"/>
                <w:szCs w:val="24"/>
              </w:rPr>
              <w:t>CRISP</w:t>
            </w:r>
          </w:p>
        </w:tc>
        <w:tc>
          <w:tcPr>
            <w:tcW w:w="2880" w:type="dxa"/>
            <w:shd w:val="clear" w:color="auto" w:fill="F0F0F0"/>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color w:val="000000" w:themeColor="dark1"/>
                <w:kern w:val="24"/>
                <w:sz w:val="24"/>
                <w:szCs w:val="24"/>
              </w:rPr>
              <w:t>High utilization set, target population if different</w:t>
            </w:r>
          </w:p>
        </w:tc>
      </w:tr>
      <w:tr w:rsidR="00604573" w:rsidRPr="00B51170" w:rsidTr="00B2561A">
        <w:trPr>
          <w:trHeight w:val="584"/>
        </w:trPr>
        <w:tc>
          <w:tcPr>
            <w:tcW w:w="2065" w:type="dxa"/>
            <w:shd w:val="clear" w:color="auto" w:fill="E1E1E1"/>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color w:val="000000" w:themeColor="dark1"/>
                <w:kern w:val="24"/>
                <w:sz w:val="24"/>
                <w:szCs w:val="24"/>
              </w:rPr>
              <w:t>Portion of target pop. with contact from assigned care manager</w:t>
            </w:r>
          </w:p>
        </w:tc>
        <w:tc>
          <w:tcPr>
            <w:tcW w:w="3420" w:type="dxa"/>
            <w:shd w:val="clear" w:color="auto" w:fill="E1E1E1"/>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eastAsia="Times New Roman" w:hAnsi="Calibri" w:cs="Arial"/>
                <w:color w:val="000000" w:themeColor="text1"/>
                <w:kern w:val="24"/>
                <w:sz w:val="24"/>
                <w:szCs w:val="24"/>
              </w:rPr>
              <w:t>% of High Utilizers  Patients with  contact with an assigned care manger</w:t>
            </w:r>
          </w:p>
        </w:tc>
        <w:tc>
          <w:tcPr>
            <w:tcW w:w="1620" w:type="dxa"/>
            <w:shd w:val="clear" w:color="auto" w:fill="E1E1E1"/>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Pr>
                <w:rFonts w:ascii="Calibri" w:eastAsia="Times New Roman" w:hAnsi="Calibri" w:cs="Arial"/>
                <w:color w:val="000000" w:themeColor="dark1"/>
                <w:kern w:val="24"/>
                <w:sz w:val="24"/>
                <w:szCs w:val="24"/>
              </w:rPr>
              <w:t xml:space="preserve">Hospital, </w:t>
            </w:r>
            <w:r w:rsidRPr="00B51170">
              <w:rPr>
                <w:rFonts w:ascii="Calibri" w:eastAsia="Times New Roman" w:hAnsi="Calibri" w:cs="Arial"/>
                <w:color w:val="000000" w:themeColor="dark1"/>
                <w:kern w:val="24"/>
                <w:sz w:val="24"/>
                <w:szCs w:val="24"/>
              </w:rPr>
              <w:t>Partnership</w:t>
            </w:r>
            <w:r>
              <w:rPr>
                <w:rFonts w:ascii="Calibri" w:eastAsia="Times New Roman" w:hAnsi="Calibri" w:cs="Arial"/>
                <w:color w:val="000000" w:themeColor="dark1"/>
                <w:kern w:val="24"/>
                <w:sz w:val="24"/>
                <w:szCs w:val="24"/>
              </w:rPr>
              <w:t>, Collaboration</w:t>
            </w:r>
          </w:p>
        </w:tc>
        <w:tc>
          <w:tcPr>
            <w:tcW w:w="2880" w:type="dxa"/>
            <w:shd w:val="clear" w:color="auto" w:fill="E1E1E1"/>
            <w:tcMar>
              <w:top w:w="72" w:type="dxa"/>
              <w:left w:w="144" w:type="dxa"/>
              <w:bottom w:w="72" w:type="dxa"/>
              <w:right w:w="144" w:type="dxa"/>
            </w:tcMar>
            <w:hideMark/>
          </w:tcPr>
          <w:p w:rsidR="00604573" w:rsidRPr="00B51170" w:rsidRDefault="00604573" w:rsidP="00D542BE">
            <w:pPr>
              <w:spacing w:after="0" w:line="240" w:lineRule="auto"/>
              <w:rPr>
                <w:rFonts w:ascii="Arial" w:eastAsia="Times New Roman" w:hAnsi="Arial" w:cs="Arial"/>
                <w:sz w:val="24"/>
                <w:szCs w:val="24"/>
              </w:rPr>
            </w:pPr>
            <w:r w:rsidRPr="00B51170">
              <w:rPr>
                <w:rFonts w:ascii="Calibri" w:eastAsia="Times New Roman" w:hAnsi="Calibri" w:cs="Arial"/>
                <w:color w:val="000000" w:themeColor="dark1"/>
                <w:kern w:val="24"/>
                <w:sz w:val="24"/>
                <w:szCs w:val="24"/>
              </w:rPr>
              <w:t>High utilization set, target population if different</w:t>
            </w:r>
          </w:p>
        </w:tc>
      </w:tr>
    </w:tbl>
    <w:p w:rsidR="00604573" w:rsidRPr="002F7E32" w:rsidRDefault="00604573" w:rsidP="00604573">
      <w:pPr>
        <w:spacing w:after="0" w:line="240" w:lineRule="auto"/>
        <w:rPr>
          <w:sz w:val="24"/>
          <w:szCs w:val="24"/>
        </w:rPr>
      </w:pPr>
    </w:p>
    <w:p w:rsidR="000D419F" w:rsidRDefault="000D419F" w:rsidP="00530CEA">
      <w:pPr>
        <w:spacing w:after="0" w:line="240" w:lineRule="auto"/>
        <w:rPr>
          <w:b/>
          <w:sz w:val="24"/>
          <w:szCs w:val="24"/>
        </w:rPr>
      </w:pPr>
    </w:p>
    <w:p w:rsidR="00530CEA" w:rsidRPr="00530CEA" w:rsidRDefault="006121EF" w:rsidP="00530CEA">
      <w:pPr>
        <w:spacing w:after="0" w:line="240" w:lineRule="auto"/>
        <w:rPr>
          <w:b/>
          <w:sz w:val="24"/>
          <w:szCs w:val="24"/>
        </w:rPr>
      </w:pPr>
      <w:r>
        <w:rPr>
          <w:b/>
          <w:sz w:val="24"/>
          <w:szCs w:val="24"/>
        </w:rPr>
        <w:t>Ta</w:t>
      </w:r>
      <w:r w:rsidR="00773481">
        <w:rPr>
          <w:b/>
          <w:sz w:val="24"/>
          <w:szCs w:val="24"/>
        </w:rPr>
        <w:t xml:space="preserve">ble 3. </w:t>
      </w:r>
      <w:r w:rsidR="00530CEA" w:rsidRPr="00530CEA">
        <w:rPr>
          <w:b/>
          <w:sz w:val="24"/>
          <w:szCs w:val="24"/>
        </w:rPr>
        <w:t>Core Return on Investment Measures</w:t>
      </w:r>
    </w:p>
    <w:p w:rsidR="00530CEA" w:rsidRPr="00530CEA" w:rsidRDefault="00530CEA" w:rsidP="00530CEA">
      <w:pPr>
        <w:spacing w:after="0" w:line="240" w:lineRule="auto"/>
        <w:rPr>
          <w:b/>
          <w:sz w:val="24"/>
          <w:szCs w:val="24"/>
        </w:rPr>
      </w:pPr>
    </w:p>
    <w:p w:rsidR="00530CEA" w:rsidRDefault="00530CEA" w:rsidP="00530CEA">
      <w:pPr>
        <w:spacing w:after="0" w:line="240" w:lineRule="auto"/>
        <w:rPr>
          <w:sz w:val="24"/>
          <w:szCs w:val="24"/>
        </w:rPr>
      </w:pPr>
      <w:r w:rsidRPr="00530CEA">
        <w:rPr>
          <w:sz w:val="24"/>
          <w:szCs w:val="24"/>
        </w:rPr>
        <w:t>ROI = G (variable savings) ÷ D (annual intervention)</w:t>
      </w:r>
    </w:p>
    <w:p w:rsidR="00905A59" w:rsidRPr="00530CEA" w:rsidRDefault="00905A59" w:rsidP="00530CEA">
      <w:pPr>
        <w:spacing w:after="0" w:line="240" w:lineRule="auto"/>
        <w:rPr>
          <w:sz w:val="24"/>
          <w:szCs w:val="24"/>
        </w:rPr>
      </w:pPr>
      <w:r>
        <w:rPr>
          <w:sz w:val="24"/>
          <w:szCs w:val="24"/>
        </w:rPr>
        <w:t>Proposed Savings of 15%</w:t>
      </w:r>
    </w:p>
    <w:p w:rsidR="00530CEA" w:rsidRPr="00530CEA" w:rsidRDefault="00530CEA" w:rsidP="00530CEA">
      <w:pPr>
        <w:spacing w:after="0" w:line="240" w:lineRule="auto"/>
        <w:rPr>
          <w:sz w:val="24"/>
          <w:szCs w:val="24"/>
        </w:rPr>
      </w:pPr>
      <w:r w:rsidRPr="00530CEA">
        <w:rPr>
          <w:sz w:val="24"/>
          <w:szCs w:val="24"/>
        </w:rPr>
        <w:t>ROI should be greater than 1 at steady state operations (and get there early)</w:t>
      </w:r>
    </w:p>
    <w:p w:rsidR="00604573" w:rsidRDefault="00530CEA" w:rsidP="002F452A">
      <w:pPr>
        <w:spacing w:after="0" w:line="240" w:lineRule="auto"/>
        <w:rPr>
          <w:sz w:val="24"/>
          <w:szCs w:val="24"/>
        </w:rPr>
      </w:pPr>
      <w:r>
        <w:rPr>
          <w:noProof/>
        </w:rPr>
        <w:drawing>
          <wp:inline distT="0" distB="0" distL="0" distR="0">
            <wp:extent cx="4886325" cy="235267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4886325" cy="2352675"/>
                    </a:xfrm>
                    <a:prstGeom prst="rect">
                      <a:avLst/>
                    </a:prstGeom>
                  </pic:spPr>
                </pic:pic>
              </a:graphicData>
            </a:graphic>
          </wp:inline>
        </w:drawing>
      </w:r>
    </w:p>
    <w:p w:rsidR="007F6EF3" w:rsidRDefault="007F6EF3" w:rsidP="007F6EF3">
      <w:pPr>
        <w:spacing w:after="0" w:line="240" w:lineRule="auto"/>
        <w:rPr>
          <w:sz w:val="24"/>
          <w:szCs w:val="24"/>
        </w:rPr>
      </w:pPr>
    </w:p>
    <w:p w:rsidR="00F84397" w:rsidRDefault="00F84397" w:rsidP="007F6EF3">
      <w:pPr>
        <w:spacing w:after="0" w:line="240" w:lineRule="auto"/>
        <w:rPr>
          <w:sz w:val="24"/>
          <w:szCs w:val="24"/>
        </w:rPr>
      </w:pPr>
    </w:p>
    <w:p w:rsidR="007F6EF3" w:rsidRPr="00CD0C3E" w:rsidRDefault="007F6EF3" w:rsidP="007F6EF3">
      <w:pPr>
        <w:spacing w:after="0" w:line="240" w:lineRule="auto"/>
        <w:rPr>
          <w:b/>
          <w:sz w:val="24"/>
          <w:szCs w:val="24"/>
        </w:rPr>
      </w:pPr>
      <w:r w:rsidRPr="00CD0C3E">
        <w:rPr>
          <w:b/>
          <w:sz w:val="24"/>
          <w:szCs w:val="24"/>
        </w:rPr>
        <w:t>Template to complete:</w:t>
      </w:r>
    </w:p>
    <w:p w:rsidR="007F6EF3" w:rsidRDefault="007F6EF3" w:rsidP="007F6EF3">
      <w:pPr>
        <w:spacing w:after="0" w:line="240" w:lineRule="auto"/>
        <w:rPr>
          <w:sz w:val="24"/>
          <w:szCs w:val="24"/>
        </w:rPr>
      </w:pPr>
    </w:p>
    <w:p w:rsidR="007F6EF3" w:rsidRPr="00530CEA" w:rsidRDefault="007F6EF3" w:rsidP="007F6EF3">
      <w:pPr>
        <w:spacing w:after="0" w:line="240" w:lineRule="auto"/>
        <w:rPr>
          <w:sz w:val="24"/>
          <w:szCs w:val="24"/>
        </w:rPr>
      </w:pPr>
      <w:r w:rsidRPr="00530CEA">
        <w:rPr>
          <w:sz w:val="24"/>
          <w:szCs w:val="24"/>
        </w:rPr>
        <w:t>ROI = G (variable savings) ÷ D (annual intervention)</w:t>
      </w:r>
    </w:p>
    <w:p w:rsidR="007F6EF3" w:rsidRPr="00530CEA" w:rsidRDefault="007F6EF3" w:rsidP="007F6EF3">
      <w:pPr>
        <w:spacing w:after="0" w:line="240" w:lineRule="auto"/>
        <w:rPr>
          <w:sz w:val="24"/>
          <w:szCs w:val="24"/>
        </w:rPr>
      </w:pPr>
      <w:r w:rsidRPr="00530CEA">
        <w:rPr>
          <w:sz w:val="24"/>
          <w:szCs w:val="24"/>
        </w:rPr>
        <w:t>ROI should be greater than 1 at steady state operations (and get there early)</w:t>
      </w:r>
    </w:p>
    <w:tbl>
      <w:tblPr>
        <w:tblStyle w:val="TableGrid"/>
        <w:tblW w:w="0" w:type="auto"/>
        <w:tblLook w:val="04A0" w:firstRow="1" w:lastRow="0" w:firstColumn="1" w:lastColumn="0" w:noHBand="0" w:noVBand="1"/>
      </w:tblPr>
      <w:tblGrid>
        <w:gridCol w:w="5575"/>
        <w:gridCol w:w="1800"/>
      </w:tblGrid>
      <w:tr w:rsidR="004B554A" w:rsidTr="007F6EF3">
        <w:tc>
          <w:tcPr>
            <w:tcW w:w="5575" w:type="dxa"/>
            <w:shd w:val="clear" w:color="auto" w:fill="808080" w:themeFill="background1" w:themeFillShade="80"/>
          </w:tcPr>
          <w:p w:rsidR="004B554A" w:rsidRPr="007F6EF3" w:rsidRDefault="004B554A" w:rsidP="000D419F">
            <w:pPr>
              <w:pStyle w:val="Heading2"/>
              <w:outlineLvl w:val="1"/>
              <w:rPr>
                <w:color w:val="FFFFFF" w:themeColor="background1"/>
                <w:sz w:val="24"/>
                <w:szCs w:val="24"/>
              </w:rPr>
            </w:pPr>
            <w:r w:rsidRPr="007F6EF3">
              <w:rPr>
                <w:color w:val="FFFFFF" w:themeColor="background1"/>
                <w:sz w:val="24"/>
                <w:szCs w:val="24"/>
              </w:rPr>
              <w:t xml:space="preserve">Hospital/RP Name:  </w:t>
            </w:r>
          </w:p>
        </w:tc>
        <w:tc>
          <w:tcPr>
            <w:tcW w:w="1800" w:type="dxa"/>
            <w:shd w:val="clear" w:color="auto" w:fill="808080" w:themeFill="background1" w:themeFillShade="80"/>
          </w:tcPr>
          <w:p w:rsidR="004B554A" w:rsidRPr="007F6EF3" w:rsidRDefault="004B554A" w:rsidP="000D419F">
            <w:pPr>
              <w:pStyle w:val="Heading2"/>
              <w:outlineLvl w:val="1"/>
              <w:rPr>
                <w:color w:val="FFFFFF" w:themeColor="background1"/>
                <w:sz w:val="24"/>
                <w:szCs w:val="24"/>
              </w:rPr>
            </w:pPr>
            <w:r>
              <w:rPr>
                <w:color w:val="FFFFFF" w:themeColor="background1"/>
                <w:sz w:val="24"/>
                <w:szCs w:val="24"/>
              </w:rPr>
              <w:t>Target Population</w:t>
            </w:r>
            <w:r w:rsidRPr="007F6EF3">
              <w:rPr>
                <w:color w:val="FFFFFF" w:themeColor="background1"/>
                <w:sz w:val="24"/>
                <w:szCs w:val="24"/>
              </w:rPr>
              <w:t xml:space="preserve"> </w:t>
            </w:r>
          </w:p>
        </w:tc>
      </w:tr>
      <w:tr w:rsidR="004B554A" w:rsidTr="007F6EF3">
        <w:tc>
          <w:tcPr>
            <w:tcW w:w="5575" w:type="dxa"/>
            <w:shd w:val="clear" w:color="auto" w:fill="D9D9D9" w:themeFill="background1" w:themeFillShade="D9"/>
          </w:tcPr>
          <w:p w:rsidR="004B554A" w:rsidRPr="007F6EF3" w:rsidRDefault="004B554A" w:rsidP="007F6EF3">
            <w:pPr>
              <w:pStyle w:val="Heading2"/>
              <w:numPr>
                <w:ilvl w:val="0"/>
                <w:numId w:val="37"/>
              </w:numPr>
              <w:jc w:val="both"/>
              <w:outlineLvl w:val="1"/>
              <w:rPr>
                <w:color w:val="auto"/>
                <w:sz w:val="24"/>
                <w:szCs w:val="24"/>
              </w:rPr>
            </w:pPr>
            <w:r w:rsidRPr="007F6EF3">
              <w:rPr>
                <w:color w:val="auto"/>
                <w:sz w:val="24"/>
                <w:szCs w:val="24"/>
              </w:rPr>
              <w:t>Number of Patients</w:t>
            </w:r>
          </w:p>
        </w:tc>
        <w:tc>
          <w:tcPr>
            <w:tcW w:w="1800" w:type="dxa"/>
            <w:shd w:val="clear" w:color="auto" w:fill="D9D9D9" w:themeFill="background1" w:themeFillShade="D9"/>
          </w:tcPr>
          <w:p w:rsidR="004B554A" w:rsidRDefault="004B554A" w:rsidP="000D419F">
            <w:pPr>
              <w:pStyle w:val="Heading2"/>
              <w:outlineLvl w:val="1"/>
              <w:rPr>
                <w:sz w:val="24"/>
                <w:szCs w:val="24"/>
              </w:rPr>
            </w:pPr>
          </w:p>
        </w:tc>
      </w:tr>
      <w:tr w:rsidR="004B554A" w:rsidTr="007F6EF3">
        <w:tc>
          <w:tcPr>
            <w:tcW w:w="5575" w:type="dxa"/>
            <w:shd w:val="clear" w:color="auto" w:fill="BFBFBF" w:themeFill="background1" w:themeFillShade="BF"/>
          </w:tcPr>
          <w:p w:rsidR="004B554A" w:rsidRPr="007F6EF3" w:rsidRDefault="004B554A" w:rsidP="007F6EF3">
            <w:pPr>
              <w:pStyle w:val="Heading2"/>
              <w:numPr>
                <w:ilvl w:val="0"/>
                <w:numId w:val="37"/>
              </w:numPr>
              <w:jc w:val="both"/>
              <w:outlineLvl w:val="1"/>
              <w:rPr>
                <w:color w:val="auto"/>
                <w:sz w:val="24"/>
                <w:szCs w:val="24"/>
              </w:rPr>
            </w:pPr>
            <w:r w:rsidRPr="007F6EF3">
              <w:rPr>
                <w:color w:val="auto"/>
                <w:sz w:val="24"/>
                <w:szCs w:val="24"/>
              </w:rPr>
              <w:t>Number of Medicare and Dual Eligible</w:t>
            </w:r>
          </w:p>
        </w:tc>
        <w:tc>
          <w:tcPr>
            <w:tcW w:w="1800" w:type="dxa"/>
            <w:shd w:val="clear" w:color="auto" w:fill="BFBFBF" w:themeFill="background1" w:themeFillShade="BF"/>
          </w:tcPr>
          <w:p w:rsidR="004B554A" w:rsidRDefault="004B554A" w:rsidP="000D419F">
            <w:pPr>
              <w:pStyle w:val="Heading2"/>
              <w:outlineLvl w:val="1"/>
              <w:rPr>
                <w:sz w:val="24"/>
                <w:szCs w:val="24"/>
              </w:rPr>
            </w:pPr>
          </w:p>
        </w:tc>
      </w:tr>
      <w:tr w:rsidR="004B554A" w:rsidTr="007F6EF3">
        <w:tc>
          <w:tcPr>
            <w:tcW w:w="5575" w:type="dxa"/>
            <w:shd w:val="clear" w:color="auto" w:fill="D9D9D9" w:themeFill="background1" w:themeFillShade="D9"/>
          </w:tcPr>
          <w:p w:rsidR="004B554A" w:rsidRPr="007F6EF3" w:rsidRDefault="004B554A" w:rsidP="007F6EF3">
            <w:pPr>
              <w:pStyle w:val="Heading2"/>
              <w:numPr>
                <w:ilvl w:val="0"/>
                <w:numId w:val="37"/>
              </w:numPr>
              <w:jc w:val="both"/>
              <w:outlineLvl w:val="1"/>
              <w:rPr>
                <w:color w:val="auto"/>
                <w:sz w:val="24"/>
                <w:szCs w:val="24"/>
              </w:rPr>
            </w:pPr>
            <w:r w:rsidRPr="007F6EF3">
              <w:rPr>
                <w:color w:val="auto"/>
                <w:sz w:val="24"/>
                <w:szCs w:val="24"/>
              </w:rPr>
              <w:t>Annual Intervention Cost/Patient</w:t>
            </w:r>
          </w:p>
        </w:tc>
        <w:tc>
          <w:tcPr>
            <w:tcW w:w="1800" w:type="dxa"/>
            <w:shd w:val="clear" w:color="auto" w:fill="D9D9D9" w:themeFill="background1" w:themeFillShade="D9"/>
          </w:tcPr>
          <w:p w:rsidR="004B554A" w:rsidRDefault="004B554A" w:rsidP="000D419F">
            <w:pPr>
              <w:pStyle w:val="Heading2"/>
              <w:outlineLvl w:val="1"/>
              <w:rPr>
                <w:sz w:val="24"/>
                <w:szCs w:val="24"/>
              </w:rPr>
            </w:pPr>
          </w:p>
        </w:tc>
      </w:tr>
      <w:tr w:rsidR="004B554A" w:rsidTr="007F6EF3">
        <w:tc>
          <w:tcPr>
            <w:tcW w:w="5575" w:type="dxa"/>
            <w:shd w:val="clear" w:color="auto" w:fill="BFBFBF" w:themeFill="background1" w:themeFillShade="BF"/>
          </w:tcPr>
          <w:p w:rsidR="004B554A" w:rsidRPr="007F6EF3" w:rsidRDefault="004B554A" w:rsidP="007F6EF3">
            <w:pPr>
              <w:pStyle w:val="Heading2"/>
              <w:numPr>
                <w:ilvl w:val="0"/>
                <w:numId w:val="37"/>
              </w:numPr>
              <w:jc w:val="both"/>
              <w:outlineLvl w:val="1"/>
              <w:rPr>
                <w:color w:val="auto"/>
                <w:sz w:val="24"/>
                <w:szCs w:val="24"/>
              </w:rPr>
            </w:pPr>
            <w:r w:rsidRPr="007F6EF3">
              <w:rPr>
                <w:color w:val="auto"/>
                <w:sz w:val="24"/>
                <w:szCs w:val="24"/>
              </w:rPr>
              <w:t>Annual Intervention Cost (B x C)</w:t>
            </w:r>
          </w:p>
        </w:tc>
        <w:tc>
          <w:tcPr>
            <w:tcW w:w="1800" w:type="dxa"/>
            <w:shd w:val="clear" w:color="auto" w:fill="BFBFBF" w:themeFill="background1" w:themeFillShade="BF"/>
          </w:tcPr>
          <w:p w:rsidR="004B554A" w:rsidRDefault="004B554A" w:rsidP="000D419F">
            <w:pPr>
              <w:pStyle w:val="Heading2"/>
              <w:outlineLvl w:val="1"/>
              <w:rPr>
                <w:sz w:val="24"/>
                <w:szCs w:val="24"/>
              </w:rPr>
            </w:pPr>
          </w:p>
        </w:tc>
      </w:tr>
      <w:tr w:rsidR="004B554A" w:rsidTr="007F6EF3">
        <w:tc>
          <w:tcPr>
            <w:tcW w:w="5575" w:type="dxa"/>
            <w:shd w:val="clear" w:color="auto" w:fill="D9D9D9" w:themeFill="background1" w:themeFillShade="D9"/>
          </w:tcPr>
          <w:p w:rsidR="004B554A" w:rsidRPr="007F6EF3" w:rsidRDefault="004B554A" w:rsidP="007F6EF3">
            <w:pPr>
              <w:pStyle w:val="Heading2"/>
              <w:numPr>
                <w:ilvl w:val="0"/>
                <w:numId w:val="37"/>
              </w:numPr>
              <w:jc w:val="both"/>
              <w:outlineLvl w:val="1"/>
              <w:rPr>
                <w:color w:val="auto"/>
                <w:sz w:val="24"/>
                <w:szCs w:val="24"/>
              </w:rPr>
            </w:pPr>
            <w:r w:rsidRPr="007F6EF3">
              <w:rPr>
                <w:color w:val="auto"/>
                <w:sz w:val="24"/>
                <w:szCs w:val="24"/>
              </w:rPr>
              <w:t>Annual Charges (Baseline)</w:t>
            </w:r>
          </w:p>
        </w:tc>
        <w:tc>
          <w:tcPr>
            <w:tcW w:w="1800" w:type="dxa"/>
            <w:shd w:val="clear" w:color="auto" w:fill="D9D9D9" w:themeFill="background1" w:themeFillShade="D9"/>
          </w:tcPr>
          <w:p w:rsidR="004B554A" w:rsidRDefault="004B554A" w:rsidP="000D419F">
            <w:pPr>
              <w:pStyle w:val="Heading2"/>
              <w:outlineLvl w:val="1"/>
              <w:rPr>
                <w:sz w:val="24"/>
                <w:szCs w:val="24"/>
              </w:rPr>
            </w:pPr>
          </w:p>
        </w:tc>
      </w:tr>
      <w:tr w:rsidR="004B554A" w:rsidTr="007F6EF3">
        <w:tc>
          <w:tcPr>
            <w:tcW w:w="5575" w:type="dxa"/>
            <w:shd w:val="clear" w:color="auto" w:fill="BFBFBF" w:themeFill="background1" w:themeFillShade="BF"/>
          </w:tcPr>
          <w:p w:rsidR="004B554A" w:rsidRPr="007F6EF3" w:rsidRDefault="004B554A" w:rsidP="00905A59">
            <w:pPr>
              <w:pStyle w:val="Heading2"/>
              <w:numPr>
                <w:ilvl w:val="0"/>
                <w:numId w:val="37"/>
              </w:numPr>
              <w:jc w:val="both"/>
              <w:outlineLvl w:val="1"/>
              <w:rPr>
                <w:color w:val="auto"/>
                <w:sz w:val="24"/>
                <w:szCs w:val="24"/>
              </w:rPr>
            </w:pPr>
            <w:r w:rsidRPr="007F6EF3">
              <w:rPr>
                <w:color w:val="auto"/>
                <w:sz w:val="24"/>
                <w:szCs w:val="24"/>
              </w:rPr>
              <w:t>Annual Gross Savings (</w:t>
            </w:r>
            <w:r w:rsidR="00905A59">
              <w:rPr>
                <w:color w:val="auto"/>
                <w:sz w:val="24"/>
                <w:szCs w:val="24"/>
              </w:rPr>
              <w:t>XX</w:t>
            </w:r>
            <w:r w:rsidRPr="007F6EF3">
              <w:rPr>
                <w:color w:val="auto"/>
                <w:sz w:val="24"/>
                <w:szCs w:val="24"/>
              </w:rPr>
              <w:t>% x E)</w:t>
            </w:r>
          </w:p>
        </w:tc>
        <w:tc>
          <w:tcPr>
            <w:tcW w:w="1800" w:type="dxa"/>
            <w:shd w:val="clear" w:color="auto" w:fill="BFBFBF" w:themeFill="background1" w:themeFillShade="BF"/>
          </w:tcPr>
          <w:p w:rsidR="004B554A" w:rsidRDefault="004B554A" w:rsidP="000D419F">
            <w:pPr>
              <w:pStyle w:val="Heading2"/>
              <w:outlineLvl w:val="1"/>
              <w:rPr>
                <w:sz w:val="24"/>
                <w:szCs w:val="24"/>
              </w:rPr>
            </w:pPr>
          </w:p>
        </w:tc>
      </w:tr>
      <w:tr w:rsidR="004B554A" w:rsidTr="007F6EF3">
        <w:tc>
          <w:tcPr>
            <w:tcW w:w="5575" w:type="dxa"/>
            <w:shd w:val="clear" w:color="auto" w:fill="D9D9D9" w:themeFill="background1" w:themeFillShade="D9"/>
          </w:tcPr>
          <w:p w:rsidR="004B554A" w:rsidRPr="007F6EF3" w:rsidRDefault="004B554A" w:rsidP="007F6EF3">
            <w:pPr>
              <w:pStyle w:val="Heading2"/>
              <w:numPr>
                <w:ilvl w:val="0"/>
                <w:numId w:val="37"/>
              </w:numPr>
              <w:jc w:val="both"/>
              <w:outlineLvl w:val="1"/>
              <w:rPr>
                <w:color w:val="auto"/>
                <w:sz w:val="24"/>
                <w:szCs w:val="24"/>
              </w:rPr>
            </w:pPr>
            <w:r w:rsidRPr="007F6EF3">
              <w:rPr>
                <w:color w:val="auto"/>
                <w:sz w:val="24"/>
                <w:szCs w:val="24"/>
              </w:rPr>
              <w:t>Variable Savings (F x 50%)</w:t>
            </w:r>
          </w:p>
        </w:tc>
        <w:tc>
          <w:tcPr>
            <w:tcW w:w="1800" w:type="dxa"/>
            <w:shd w:val="clear" w:color="auto" w:fill="D9D9D9" w:themeFill="background1" w:themeFillShade="D9"/>
          </w:tcPr>
          <w:p w:rsidR="004B554A" w:rsidRDefault="004B554A" w:rsidP="000D419F">
            <w:pPr>
              <w:pStyle w:val="Heading2"/>
              <w:outlineLvl w:val="1"/>
              <w:rPr>
                <w:sz w:val="24"/>
                <w:szCs w:val="24"/>
              </w:rPr>
            </w:pPr>
          </w:p>
        </w:tc>
      </w:tr>
      <w:tr w:rsidR="004B554A" w:rsidTr="007F6EF3">
        <w:tc>
          <w:tcPr>
            <w:tcW w:w="5575" w:type="dxa"/>
            <w:shd w:val="clear" w:color="auto" w:fill="BFBFBF" w:themeFill="background1" w:themeFillShade="BF"/>
          </w:tcPr>
          <w:p w:rsidR="004B554A" w:rsidRPr="007F6EF3" w:rsidRDefault="004B554A" w:rsidP="007F6EF3">
            <w:pPr>
              <w:pStyle w:val="Heading2"/>
              <w:numPr>
                <w:ilvl w:val="0"/>
                <w:numId w:val="37"/>
              </w:numPr>
              <w:jc w:val="both"/>
              <w:outlineLvl w:val="1"/>
              <w:rPr>
                <w:color w:val="auto"/>
                <w:sz w:val="24"/>
                <w:szCs w:val="24"/>
              </w:rPr>
            </w:pPr>
            <w:r w:rsidRPr="007F6EF3">
              <w:rPr>
                <w:color w:val="auto"/>
                <w:sz w:val="24"/>
                <w:szCs w:val="24"/>
              </w:rPr>
              <w:t>Annual Net Savings (G-D)</w:t>
            </w:r>
          </w:p>
        </w:tc>
        <w:tc>
          <w:tcPr>
            <w:tcW w:w="1800" w:type="dxa"/>
            <w:shd w:val="clear" w:color="auto" w:fill="BFBFBF" w:themeFill="background1" w:themeFillShade="BF"/>
          </w:tcPr>
          <w:p w:rsidR="004B554A" w:rsidRDefault="004B554A" w:rsidP="000D419F">
            <w:pPr>
              <w:pStyle w:val="Heading2"/>
              <w:outlineLvl w:val="1"/>
              <w:rPr>
                <w:sz w:val="24"/>
                <w:szCs w:val="24"/>
              </w:rPr>
            </w:pPr>
          </w:p>
        </w:tc>
      </w:tr>
    </w:tbl>
    <w:p w:rsidR="007F6EF3" w:rsidRDefault="007F6EF3" w:rsidP="000D419F">
      <w:pPr>
        <w:pStyle w:val="Heading2"/>
        <w:rPr>
          <w:sz w:val="24"/>
          <w:szCs w:val="24"/>
        </w:rPr>
      </w:pPr>
    </w:p>
    <w:p w:rsidR="000D419F" w:rsidRPr="002F2A83" w:rsidRDefault="00905A59" w:rsidP="000D419F">
      <w:pPr>
        <w:pStyle w:val="Heading2"/>
      </w:pPr>
      <w:r>
        <w:rPr>
          <w:sz w:val="24"/>
          <w:szCs w:val="24"/>
        </w:rPr>
        <w:t>XX% is proposed savings from the proposed strategy(s</w:t>
      </w:r>
      <w:proofErr w:type="gramStart"/>
      <w:r>
        <w:rPr>
          <w:sz w:val="24"/>
          <w:szCs w:val="24"/>
        </w:rPr>
        <w:t>)</w:t>
      </w:r>
      <w:proofErr w:type="gramEnd"/>
      <w:r w:rsidR="00604573">
        <w:rPr>
          <w:sz w:val="24"/>
          <w:szCs w:val="24"/>
        </w:rPr>
        <w:br w:type="page"/>
      </w:r>
      <w:r w:rsidR="000D419F" w:rsidRPr="002F2A83">
        <w:lastRenderedPageBreak/>
        <w:t>Appendix B</w:t>
      </w:r>
    </w:p>
    <w:p w:rsidR="000D419F" w:rsidRPr="00C63648" w:rsidRDefault="000D419F" w:rsidP="000D419F">
      <w:pPr>
        <w:spacing w:after="0" w:line="240" w:lineRule="auto"/>
        <w:rPr>
          <w:sz w:val="24"/>
          <w:szCs w:val="24"/>
        </w:rPr>
      </w:pPr>
      <w:r>
        <w:rPr>
          <w:b/>
          <w:sz w:val="24"/>
          <w:szCs w:val="24"/>
        </w:rPr>
        <w:t>Examples of e</w:t>
      </w:r>
      <w:r w:rsidRPr="00241378">
        <w:rPr>
          <w:b/>
          <w:sz w:val="24"/>
          <w:szCs w:val="24"/>
        </w:rPr>
        <w:t>xpenses</w:t>
      </w:r>
      <w:r>
        <w:rPr>
          <w:b/>
          <w:sz w:val="24"/>
          <w:szCs w:val="24"/>
        </w:rPr>
        <w:t xml:space="preserve"> not covered include</w:t>
      </w:r>
      <w:r w:rsidRPr="00C63648">
        <w:rPr>
          <w:sz w:val="24"/>
          <w:szCs w:val="24"/>
        </w:rPr>
        <w:t>:</w:t>
      </w:r>
    </w:p>
    <w:p w:rsidR="000D419F" w:rsidRPr="00241378" w:rsidRDefault="000D419F" w:rsidP="000D419F">
      <w:pPr>
        <w:pStyle w:val="ListParagraph"/>
        <w:numPr>
          <w:ilvl w:val="0"/>
          <w:numId w:val="19"/>
        </w:numPr>
        <w:spacing w:after="0" w:line="240" w:lineRule="auto"/>
        <w:ind w:left="720"/>
        <w:rPr>
          <w:sz w:val="24"/>
          <w:szCs w:val="24"/>
        </w:rPr>
      </w:pPr>
      <w:r w:rsidRPr="00241378">
        <w:rPr>
          <w:sz w:val="24"/>
          <w:szCs w:val="24"/>
        </w:rPr>
        <w:t>Electronic health records or patient hotlines or portals that are used for care delivery and communication unless specifically implementing systems or modules for care coordination activities (e.g., electronic health record module for care manager to record activities or patient portal for contacting care manager).</w:t>
      </w:r>
    </w:p>
    <w:p w:rsidR="000D419F" w:rsidRPr="00241378" w:rsidRDefault="000D419F" w:rsidP="000D419F">
      <w:pPr>
        <w:pStyle w:val="ListParagraph"/>
        <w:numPr>
          <w:ilvl w:val="0"/>
          <w:numId w:val="19"/>
        </w:numPr>
        <w:spacing w:after="0" w:line="240" w:lineRule="auto"/>
        <w:ind w:left="720"/>
        <w:rPr>
          <w:sz w:val="24"/>
          <w:szCs w:val="24"/>
        </w:rPr>
      </w:pPr>
      <w:r>
        <w:rPr>
          <w:sz w:val="24"/>
          <w:szCs w:val="24"/>
        </w:rPr>
        <w:t>Most b</w:t>
      </w:r>
      <w:r w:rsidRPr="00241378">
        <w:rPr>
          <w:sz w:val="24"/>
          <w:szCs w:val="24"/>
        </w:rPr>
        <w:t>illable services</w:t>
      </w:r>
      <w:r>
        <w:rPr>
          <w:sz w:val="24"/>
          <w:szCs w:val="24"/>
        </w:rPr>
        <w:t xml:space="preserve"> (this does not include </w:t>
      </w:r>
      <w:r w:rsidR="00715D38">
        <w:rPr>
          <w:sz w:val="24"/>
          <w:szCs w:val="24"/>
        </w:rPr>
        <w:t>Chronic Care Management (</w:t>
      </w:r>
      <w:r>
        <w:rPr>
          <w:sz w:val="24"/>
          <w:szCs w:val="24"/>
        </w:rPr>
        <w:t>CCM</w:t>
      </w:r>
      <w:r w:rsidR="00715D38">
        <w:rPr>
          <w:sz w:val="24"/>
          <w:szCs w:val="24"/>
        </w:rPr>
        <w:t>)</w:t>
      </w:r>
      <w:r>
        <w:rPr>
          <w:sz w:val="24"/>
          <w:szCs w:val="24"/>
        </w:rPr>
        <w:t xml:space="preserve"> payments)</w:t>
      </w:r>
      <w:r w:rsidRPr="00241378">
        <w:rPr>
          <w:sz w:val="24"/>
          <w:szCs w:val="24"/>
        </w:rPr>
        <w:t>.</w:t>
      </w:r>
      <w:r w:rsidR="00522DB4">
        <w:rPr>
          <w:sz w:val="24"/>
          <w:szCs w:val="24"/>
        </w:rPr>
        <w:t xml:space="preserve">  This means that expenses could be used to enable physicians to access CCM payments.</w:t>
      </w:r>
    </w:p>
    <w:p w:rsidR="000D419F" w:rsidRPr="00241378" w:rsidRDefault="000D419F" w:rsidP="000D419F">
      <w:pPr>
        <w:pStyle w:val="ListParagraph"/>
        <w:numPr>
          <w:ilvl w:val="0"/>
          <w:numId w:val="19"/>
        </w:numPr>
        <w:spacing w:after="0" w:line="240" w:lineRule="auto"/>
        <w:ind w:left="720"/>
        <w:rPr>
          <w:sz w:val="24"/>
          <w:szCs w:val="24"/>
        </w:rPr>
      </w:pPr>
      <w:r w:rsidRPr="00241378">
        <w:rPr>
          <w:sz w:val="24"/>
          <w:szCs w:val="24"/>
        </w:rPr>
        <w:t>Investments to improve coding or documentation, including upgrades to systems to be complaint with regulatory changes such as ICD-10.</w:t>
      </w:r>
    </w:p>
    <w:p w:rsidR="000D419F" w:rsidRPr="00241378" w:rsidRDefault="000D419F" w:rsidP="000D419F">
      <w:pPr>
        <w:pStyle w:val="ListParagraph"/>
        <w:numPr>
          <w:ilvl w:val="0"/>
          <w:numId w:val="19"/>
        </w:numPr>
        <w:spacing w:after="0" w:line="240" w:lineRule="auto"/>
        <w:ind w:left="720"/>
        <w:rPr>
          <w:sz w:val="24"/>
          <w:szCs w:val="24"/>
        </w:rPr>
      </w:pPr>
      <w:r w:rsidRPr="00241378">
        <w:rPr>
          <w:sz w:val="24"/>
          <w:szCs w:val="24"/>
        </w:rPr>
        <w:t>All retrospective and concurrent utilization review.</w:t>
      </w:r>
    </w:p>
    <w:p w:rsidR="000D419F" w:rsidRDefault="000D419F" w:rsidP="000D419F">
      <w:pPr>
        <w:pStyle w:val="ListParagraph"/>
        <w:numPr>
          <w:ilvl w:val="0"/>
          <w:numId w:val="19"/>
        </w:numPr>
        <w:spacing w:after="0" w:line="240" w:lineRule="auto"/>
        <w:ind w:left="720"/>
        <w:rPr>
          <w:sz w:val="24"/>
          <w:szCs w:val="24"/>
        </w:rPr>
      </w:pPr>
      <w:r w:rsidRPr="00241378">
        <w:rPr>
          <w:sz w:val="24"/>
          <w:szCs w:val="24"/>
        </w:rPr>
        <w:t>Fraud prevention activities.</w:t>
      </w:r>
    </w:p>
    <w:p w:rsidR="000D419F" w:rsidRPr="00241378" w:rsidRDefault="000D419F" w:rsidP="000D419F">
      <w:pPr>
        <w:pStyle w:val="ListParagraph"/>
        <w:numPr>
          <w:ilvl w:val="0"/>
          <w:numId w:val="19"/>
        </w:numPr>
        <w:spacing w:after="0" w:line="240" w:lineRule="auto"/>
        <w:ind w:left="720"/>
        <w:rPr>
          <w:sz w:val="24"/>
          <w:szCs w:val="24"/>
        </w:rPr>
      </w:pPr>
      <w:r>
        <w:rPr>
          <w:sz w:val="24"/>
          <w:szCs w:val="24"/>
        </w:rPr>
        <w:t>CRISP participation fees other than specific projects not otherwise available to all CRISP users.</w:t>
      </w:r>
    </w:p>
    <w:p w:rsidR="000D419F" w:rsidRPr="00241378" w:rsidRDefault="000D419F" w:rsidP="000D419F">
      <w:pPr>
        <w:pStyle w:val="ListParagraph"/>
        <w:numPr>
          <w:ilvl w:val="0"/>
          <w:numId w:val="19"/>
        </w:numPr>
        <w:spacing w:after="0" w:line="240" w:lineRule="auto"/>
        <w:ind w:left="720"/>
        <w:rPr>
          <w:sz w:val="24"/>
          <w:szCs w:val="24"/>
        </w:rPr>
      </w:pPr>
      <w:r w:rsidRPr="00241378">
        <w:rPr>
          <w:sz w:val="24"/>
          <w:szCs w:val="24"/>
        </w:rPr>
        <w:t>Any expenses for physicians that do not clearly increase access to primary care or other healthcare services (i.e., expenses for acquiring existing physicians that does not result in any change in access but simply results in the existing physicians being owned by the hospital).</w:t>
      </w:r>
    </w:p>
    <w:p w:rsidR="000D419F" w:rsidRPr="00241378" w:rsidRDefault="000D419F" w:rsidP="000D419F">
      <w:pPr>
        <w:pStyle w:val="ListParagraph"/>
        <w:numPr>
          <w:ilvl w:val="0"/>
          <w:numId w:val="19"/>
        </w:numPr>
        <w:spacing w:after="0" w:line="240" w:lineRule="auto"/>
        <w:ind w:left="720"/>
        <w:rPr>
          <w:sz w:val="24"/>
          <w:szCs w:val="24"/>
        </w:rPr>
      </w:pPr>
      <w:r w:rsidRPr="00241378">
        <w:rPr>
          <w:sz w:val="24"/>
          <w:szCs w:val="24"/>
        </w:rPr>
        <w:t>Any expenses that are primarily for marketing purposes.</w:t>
      </w:r>
    </w:p>
    <w:p w:rsidR="000D419F" w:rsidRPr="00241378" w:rsidRDefault="000D419F" w:rsidP="000D419F">
      <w:pPr>
        <w:pStyle w:val="ListParagraph"/>
        <w:numPr>
          <w:ilvl w:val="0"/>
          <w:numId w:val="19"/>
        </w:numPr>
        <w:spacing w:after="0" w:line="240" w:lineRule="auto"/>
        <w:ind w:left="720"/>
        <w:rPr>
          <w:sz w:val="24"/>
          <w:szCs w:val="24"/>
        </w:rPr>
      </w:pPr>
      <w:r w:rsidRPr="00241378">
        <w:rPr>
          <w:sz w:val="24"/>
          <w:szCs w:val="24"/>
        </w:rPr>
        <w:t>Accreditation fees.</w:t>
      </w:r>
    </w:p>
    <w:p w:rsidR="000D419F" w:rsidRPr="00241378" w:rsidRDefault="000D419F" w:rsidP="000D419F">
      <w:pPr>
        <w:pStyle w:val="ListParagraph"/>
        <w:numPr>
          <w:ilvl w:val="0"/>
          <w:numId w:val="19"/>
        </w:numPr>
        <w:spacing w:after="0" w:line="240" w:lineRule="auto"/>
        <w:ind w:left="720"/>
        <w:rPr>
          <w:sz w:val="24"/>
          <w:szCs w:val="24"/>
        </w:rPr>
      </w:pPr>
      <w:r w:rsidRPr="00241378">
        <w:rPr>
          <w:sz w:val="24"/>
          <w:szCs w:val="24"/>
        </w:rPr>
        <w:t>Financial rewards to providers (e.g., pay-for-performance incentives).</w:t>
      </w:r>
      <w:r w:rsidR="00C866F0">
        <w:rPr>
          <w:sz w:val="24"/>
          <w:szCs w:val="24"/>
        </w:rPr>
        <w:t xml:space="preserve">  Programs however may use ROI for provider gain sharing and pay-for-performance incentives that are consistent with legal requirements. </w:t>
      </w:r>
    </w:p>
    <w:p w:rsidR="000D419F" w:rsidRDefault="000D419F" w:rsidP="000D419F">
      <w:pPr>
        <w:pStyle w:val="ListParagraph"/>
        <w:numPr>
          <w:ilvl w:val="0"/>
          <w:numId w:val="19"/>
        </w:numPr>
        <w:spacing w:after="0" w:line="240" w:lineRule="auto"/>
        <w:ind w:left="720"/>
        <w:rPr>
          <w:sz w:val="24"/>
          <w:szCs w:val="24"/>
        </w:rPr>
      </w:pPr>
      <w:r w:rsidRPr="00241378">
        <w:rPr>
          <w:sz w:val="24"/>
          <w:szCs w:val="24"/>
        </w:rPr>
        <w:t>All other expenses that do not fall under care coordination and population health.</w:t>
      </w:r>
    </w:p>
    <w:p w:rsidR="000D419F" w:rsidRDefault="000D419F" w:rsidP="000D419F">
      <w:pPr>
        <w:spacing w:after="0" w:line="240" w:lineRule="auto"/>
        <w:ind w:left="720" w:hanging="360"/>
        <w:rPr>
          <w:sz w:val="24"/>
          <w:szCs w:val="24"/>
        </w:rPr>
      </w:pPr>
    </w:p>
    <w:p w:rsidR="00BE33AB" w:rsidRDefault="000D419F" w:rsidP="000D419F">
      <w:pPr>
        <w:rPr>
          <w:sz w:val="24"/>
          <w:szCs w:val="24"/>
        </w:rPr>
      </w:pPr>
      <w:r>
        <w:rPr>
          <w:sz w:val="24"/>
          <w:szCs w:val="24"/>
        </w:rPr>
        <w:br w:type="page"/>
      </w:r>
    </w:p>
    <w:p w:rsidR="00087E2C" w:rsidRDefault="00087E2C">
      <w:pPr>
        <w:pStyle w:val="Heading2"/>
      </w:pPr>
      <w:r>
        <w:lastRenderedPageBreak/>
        <w:t xml:space="preserve">Appendix C Proposal Summary </w:t>
      </w:r>
    </w:p>
    <w:p w:rsidR="0037385E" w:rsidRDefault="00395B63" w:rsidP="00BD3F72">
      <w:r>
        <w:t xml:space="preserve">Reviewers will use appendix C as a reference guide.  As such, the applicants should provide short summaries with the most relevant points.  Reviewers will </w:t>
      </w:r>
      <w:r w:rsidR="004033FB">
        <w:t>rely on the more detailed</w:t>
      </w:r>
      <w:r>
        <w:t xml:space="preserve"> Project Narrative </w:t>
      </w:r>
      <w:r w:rsidR="004033FB">
        <w:t>for a more complete understanding of</w:t>
      </w:r>
      <w:r>
        <w:t xml:space="preserve"> the proposal. </w:t>
      </w:r>
    </w:p>
    <w:tbl>
      <w:tblPr>
        <w:tblpPr w:leftFromText="180" w:rightFromText="180" w:vertAnchor="text" w:horzAnchor="margin" w:tblpY="451"/>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5"/>
        <w:gridCol w:w="7125"/>
      </w:tblGrid>
      <w:tr w:rsidR="00087E2C" w:rsidRPr="002D1CBC" w:rsidTr="00395B63">
        <w:trPr>
          <w:trHeight w:hRule="exact" w:val="266"/>
        </w:trPr>
        <w:tc>
          <w:tcPr>
            <w:tcW w:w="2605" w:type="dxa"/>
          </w:tcPr>
          <w:p w:rsidR="00087E2C" w:rsidRPr="007422D3" w:rsidRDefault="00087E2C" w:rsidP="00395B63">
            <w:pPr>
              <w:spacing w:after="0" w:line="240" w:lineRule="auto"/>
              <w:rPr>
                <w:sz w:val="24"/>
                <w:szCs w:val="24"/>
              </w:rPr>
            </w:pPr>
            <w:r w:rsidRPr="007422D3">
              <w:rPr>
                <w:sz w:val="24"/>
                <w:szCs w:val="24"/>
              </w:rPr>
              <w:t>Hospital/Applicant:</w:t>
            </w:r>
          </w:p>
        </w:tc>
        <w:tc>
          <w:tcPr>
            <w:tcW w:w="7125" w:type="dxa"/>
          </w:tcPr>
          <w:p w:rsidR="00087E2C" w:rsidRPr="007422D3" w:rsidRDefault="00087E2C" w:rsidP="00395B63">
            <w:pPr>
              <w:spacing w:after="0" w:line="240" w:lineRule="auto"/>
              <w:rPr>
                <w:sz w:val="24"/>
                <w:szCs w:val="24"/>
              </w:rPr>
            </w:pPr>
          </w:p>
        </w:tc>
      </w:tr>
      <w:tr w:rsidR="00087E2C" w:rsidRPr="002D1CBC" w:rsidTr="00395B63">
        <w:trPr>
          <w:trHeight w:hRule="exact" w:val="272"/>
        </w:trPr>
        <w:tc>
          <w:tcPr>
            <w:tcW w:w="2605" w:type="dxa"/>
          </w:tcPr>
          <w:p w:rsidR="00087E2C" w:rsidRPr="007422D3" w:rsidRDefault="00087E2C" w:rsidP="00395B63">
            <w:pPr>
              <w:spacing w:after="0" w:line="240" w:lineRule="auto"/>
              <w:rPr>
                <w:sz w:val="24"/>
                <w:szCs w:val="24"/>
              </w:rPr>
            </w:pPr>
            <w:r w:rsidRPr="007422D3">
              <w:rPr>
                <w:sz w:val="24"/>
                <w:szCs w:val="24"/>
              </w:rPr>
              <w:t>Date of Submission:</w:t>
            </w:r>
          </w:p>
        </w:tc>
        <w:tc>
          <w:tcPr>
            <w:tcW w:w="7125" w:type="dxa"/>
          </w:tcPr>
          <w:p w:rsidR="00087E2C" w:rsidRPr="007422D3" w:rsidRDefault="00087E2C" w:rsidP="00395B63">
            <w:pPr>
              <w:spacing w:after="0" w:line="240" w:lineRule="auto"/>
              <w:rPr>
                <w:sz w:val="24"/>
                <w:szCs w:val="24"/>
              </w:rPr>
            </w:pPr>
          </w:p>
        </w:tc>
      </w:tr>
      <w:tr w:rsidR="00087E2C" w:rsidRPr="002D1CBC" w:rsidTr="00395B63">
        <w:trPr>
          <w:trHeight w:hRule="exact" w:val="271"/>
        </w:trPr>
        <w:tc>
          <w:tcPr>
            <w:tcW w:w="2605" w:type="dxa"/>
          </w:tcPr>
          <w:p w:rsidR="00087E2C" w:rsidRPr="007422D3" w:rsidRDefault="00087E2C" w:rsidP="00395B63">
            <w:pPr>
              <w:spacing w:after="0" w:line="240" w:lineRule="auto"/>
              <w:rPr>
                <w:sz w:val="24"/>
                <w:szCs w:val="24"/>
              </w:rPr>
            </w:pPr>
            <w:r w:rsidRPr="007422D3">
              <w:rPr>
                <w:sz w:val="24"/>
                <w:szCs w:val="24"/>
              </w:rPr>
              <w:t xml:space="preserve">Health System </w:t>
            </w:r>
            <w:r w:rsidR="00596298" w:rsidRPr="007422D3">
              <w:rPr>
                <w:sz w:val="24"/>
                <w:szCs w:val="24"/>
              </w:rPr>
              <w:t>Affiliation</w:t>
            </w:r>
            <w:r w:rsidRPr="007422D3">
              <w:rPr>
                <w:sz w:val="24"/>
                <w:szCs w:val="24"/>
              </w:rPr>
              <w:t>:</w:t>
            </w:r>
          </w:p>
        </w:tc>
        <w:tc>
          <w:tcPr>
            <w:tcW w:w="7125" w:type="dxa"/>
          </w:tcPr>
          <w:p w:rsidR="00087E2C" w:rsidRPr="007422D3" w:rsidRDefault="00087E2C" w:rsidP="00395B63">
            <w:pPr>
              <w:spacing w:after="0" w:line="240" w:lineRule="auto"/>
              <w:rPr>
                <w:sz w:val="24"/>
                <w:szCs w:val="24"/>
              </w:rPr>
            </w:pPr>
          </w:p>
        </w:tc>
      </w:tr>
      <w:tr w:rsidR="00087E2C" w:rsidRPr="002D1CBC" w:rsidTr="00395B63">
        <w:trPr>
          <w:trHeight w:hRule="exact" w:val="271"/>
        </w:trPr>
        <w:tc>
          <w:tcPr>
            <w:tcW w:w="2605" w:type="dxa"/>
          </w:tcPr>
          <w:p w:rsidR="00087E2C" w:rsidRPr="007422D3" w:rsidRDefault="00087E2C" w:rsidP="00596298">
            <w:pPr>
              <w:spacing w:after="0" w:line="240" w:lineRule="auto"/>
              <w:rPr>
                <w:sz w:val="24"/>
                <w:szCs w:val="24"/>
              </w:rPr>
            </w:pPr>
            <w:r>
              <w:rPr>
                <w:sz w:val="24"/>
                <w:szCs w:val="24"/>
              </w:rPr>
              <w:t xml:space="preserve">Number of </w:t>
            </w:r>
            <w:r w:rsidR="00596298">
              <w:rPr>
                <w:sz w:val="24"/>
                <w:szCs w:val="24"/>
              </w:rPr>
              <w:t>Interventions</w:t>
            </w:r>
            <w:r>
              <w:rPr>
                <w:sz w:val="24"/>
                <w:szCs w:val="24"/>
              </w:rPr>
              <w:t xml:space="preserve">: </w:t>
            </w:r>
          </w:p>
        </w:tc>
        <w:tc>
          <w:tcPr>
            <w:tcW w:w="7125" w:type="dxa"/>
          </w:tcPr>
          <w:p w:rsidR="00087E2C" w:rsidRPr="007422D3" w:rsidRDefault="00087E2C" w:rsidP="00395B63">
            <w:pPr>
              <w:spacing w:after="0" w:line="240" w:lineRule="auto"/>
              <w:rPr>
                <w:sz w:val="24"/>
                <w:szCs w:val="24"/>
              </w:rPr>
            </w:pPr>
          </w:p>
        </w:tc>
      </w:tr>
      <w:tr w:rsidR="00087E2C" w:rsidRPr="002D1CBC" w:rsidTr="00395B63">
        <w:trPr>
          <w:trHeight w:hRule="exact" w:val="271"/>
        </w:trPr>
        <w:tc>
          <w:tcPr>
            <w:tcW w:w="2605" w:type="dxa"/>
          </w:tcPr>
          <w:p w:rsidR="00087E2C" w:rsidRPr="007422D3" w:rsidRDefault="00087E2C" w:rsidP="00596298">
            <w:pPr>
              <w:spacing w:after="0" w:line="240" w:lineRule="auto"/>
              <w:rPr>
                <w:sz w:val="24"/>
                <w:szCs w:val="24"/>
              </w:rPr>
            </w:pPr>
            <w:r>
              <w:rPr>
                <w:sz w:val="24"/>
                <w:szCs w:val="24"/>
              </w:rPr>
              <w:t xml:space="preserve">Total </w:t>
            </w:r>
            <w:r w:rsidR="00596298">
              <w:rPr>
                <w:sz w:val="24"/>
                <w:szCs w:val="24"/>
              </w:rPr>
              <w:t xml:space="preserve">Budget Request </w:t>
            </w:r>
            <w:r>
              <w:rPr>
                <w:sz w:val="24"/>
                <w:szCs w:val="24"/>
              </w:rPr>
              <w:t>($):</w:t>
            </w:r>
          </w:p>
        </w:tc>
        <w:tc>
          <w:tcPr>
            <w:tcW w:w="7125" w:type="dxa"/>
          </w:tcPr>
          <w:p w:rsidR="00087E2C" w:rsidRPr="007422D3" w:rsidRDefault="00087E2C" w:rsidP="00395B63">
            <w:pPr>
              <w:spacing w:after="0" w:line="240" w:lineRule="auto"/>
              <w:rPr>
                <w:sz w:val="24"/>
                <w:szCs w:val="24"/>
              </w:rPr>
            </w:pPr>
          </w:p>
        </w:tc>
      </w:tr>
    </w:tbl>
    <w:p w:rsidR="00CA5219" w:rsidRDefault="00CA5219" w:rsidP="00087E2C">
      <w:pPr>
        <w:pStyle w:val="ListParagraph"/>
        <w:spacing w:after="0" w:line="240" w:lineRule="auto"/>
        <w:rPr>
          <w:sz w:val="24"/>
          <w:szCs w:val="24"/>
        </w:rPr>
      </w:pPr>
    </w:p>
    <w:p w:rsidR="00CA5219" w:rsidRDefault="00CA5219" w:rsidP="00087E2C">
      <w:pPr>
        <w:pStyle w:val="ListParagraph"/>
        <w:spacing w:after="0" w:line="240" w:lineRule="auto"/>
        <w:rPr>
          <w:sz w:val="24"/>
          <w:szCs w:val="24"/>
        </w:rPr>
      </w:pPr>
    </w:p>
    <w:p w:rsidR="00087E2C" w:rsidRDefault="006121EF" w:rsidP="00087E2C">
      <w:pPr>
        <w:pStyle w:val="ListParagraph"/>
        <w:spacing w:after="0" w:line="240" w:lineRule="auto"/>
        <w:ind w:left="0"/>
        <w:rPr>
          <w:b/>
          <w:sz w:val="24"/>
          <w:szCs w:val="24"/>
        </w:rPr>
      </w:pPr>
      <w:r>
        <w:rPr>
          <w:b/>
          <w:sz w:val="24"/>
          <w:szCs w:val="24"/>
        </w:rPr>
        <w:t>C</w:t>
      </w:r>
      <w:r w:rsidR="00087E2C" w:rsidRPr="00201205">
        <w:rPr>
          <w:b/>
          <w:sz w:val="24"/>
          <w:szCs w:val="24"/>
        </w:rPr>
        <w:t xml:space="preserve">omplete the </w:t>
      </w:r>
      <w:r w:rsidR="00087E2C">
        <w:rPr>
          <w:b/>
          <w:sz w:val="24"/>
          <w:szCs w:val="24"/>
        </w:rPr>
        <w:t>s</w:t>
      </w:r>
      <w:r w:rsidR="00087E2C" w:rsidRPr="00201205">
        <w:rPr>
          <w:b/>
          <w:sz w:val="24"/>
          <w:szCs w:val="24"/>
        </w:rPr>
        <w:t xml:space="preserve">ummary </w:t>
      </w:r>
      <w:r w:rsidR="00087E2C">
        <w:rPr>
          <w:b/>
          <w:sz w:val="24"/>
          <w:szCs w:val="24"/>
        </w:rPr>
        <w:t xml:space="preserve">table delineating differences by intervention for each category, if applicable.    </w:t>
      </w:r>
    </w:p>
    <w:p w:rsidR="00087E2C" w:rsidRPr="00B02980" w:rsidRDefault="00087E2C" w:rsidP="00087E2C">
      <w:pPr>
        <w:pStyle w:val="ListParagraph"/>
        <w:spacing w:after="0" w:line="240" w:lineRule="auto"/>
        <w:ind w:left="0"/>
        <w:rPr>
          <w:b/>
          <w:sz w:val="24"/>
          <w:szCs w:val="24"/>
        </w:rPr>
      </w:pPr>
    </w:p>
    <w:tbl>
      <w:tblPr>
        <w:tblW w:w="9849" w:type="dxa"/>
        <w:tblInd w:w="-6" w:type="dxa"/>
        <w:tblLayout w:type="fixed"/>
        <w:tblCellMar>
          <w:left w:w="0" w:type="dxa"/>
          <w:right w:w="0" w:type="dxa"/>
        </w:tblCellMar>
        <w:tblLook w:val="01E0" w:firstRow="1" w:lastRow="1" w:firstColumn="1" w:lastColumn="1" w:noHBand="0" w:noVBand="0"/>
      </w:tblPr>
      <w:tblGrid>
        <w:gridCol w:w="9849"/>
      </w:tblGrid>
      <w:tr w:rsidR="00087E2C" w:rsidRPr="00785A0B" w:rsidTr="00395B63">
        <w:trPr>
          <w:trHeight w:hRule="exact" w:val="302"/>
        </w:trPr>
        <w:tc>
          <w:tcPr>
            <w:tcW w:w="984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087E2C" w:rsidRPr="00785A0B" w:rsidRDefault="00087E2C" w:rsidP="00395B63">
            <w:pPr>
              <w:spacing w:after="0" w:line="240" w:lineRule="auto"/>
              <w:jc w:val="center"/>
              <w:rPr>
                <w:sz w:val="24"/>
                <w:szCs w:val="24"/>
              </w:rPr>
            </w:pPr>
            <w:r w:rsidRPr="007422D3">
              <w:rPr>
                <w:sz w:val="24"/>
                <w:szCs w:val="24"/>
              </w:rPr>
              <w:t>Target Patient Population</w:t>
            </w:r>
            <w:r w:rsidR="00395B63">
              <w:rPr>
                <w:sz w:val="24"/>
                <w:szCs w:val="24"/>
              </w:rPr>
              <w:t xml:space="preserve"> (</w:t>
            </w:r>
            <w:r w:rsidR="003D155B">
              <w:rPr>
                <w:sz w:val="24"/>
                <w:szCs w:val="24"/>
              </w:rPr>
              <w:t>R</w:t>
            </w:r>
            <w:r w:rsidR="00395B63">
              <w:rPr>
                <w:sz w:val="24"/>
                <w:szCs w:val="24"/>
              </w:rPr>
              <w:t>esponse limited to 300 words)</w:t>
            </w:r>
          </w:p>
        </w:tc>
      </w:tr>
      <w:tr w:rsidR="00087E2C" w:rsidRPr="00785A0B" w:rsidTr="00395B63">
        <w:trPr>
          <w:trHeight w:hRule="exact" w:val="2640"/>
        </w:trPr>
        <w:tc>
          <w:tcPr>
            <w:tcW w:w="9849" w:type="dxa"/>
            <w:tcBorders>
              <w:top w:val="single" w:sz="5" w:space="0" w:color="000000"/>
              <w:left w:val="single" w:sz="5" w:space="0" w:color="000000"/>
              <w:bottom w:val="single" w:sz="5" w:space="0" w:color="000000"/>
              <w:right w:val="single" w:sz="5" w:space="0" w:color="000000"/>
            </w:tcBorders>
          </w:tcPr>
          <w:p w:rsidR="00087E2C" w:rsidRPr="007422D3" w:rsidRDefault="00087E2C" w:rsidP="00395B63">
            <w:pPr>
              <w:spacing w:after="0" w:line="240" w:lineRule="auto"/>
              <w:rPr>
                <w:sz w:val="24"/>
                <w:szCs w:val="24"/>
              </w:rPr>
            </w:pPr>
          </w:p>
        </w:tc>
      </w:tr>
      <w:tr w:rsidR="00087E2C" w:rsidRPr="00785A0B" w:rsidTr="00395B63">
        <w:trPr>
          <w:trHeight w:hRule="exact" w:val="660"/>
        </w:trPr>
        <w:tc>
          <w:tcPr>
            <w:tcW w:w="984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087E2C" w:rsidRPr="00785A0B" w:rsidRDefault="00087E2C" w:rsidP="00395B63">
            <w:pPr>
              <w:spacing w:after="0" w:line="240" w:lineRule="auto"/>
              <w:jc w:val="center"/>
              <w:rPr>
                <w:sz w:val="24"/>
                <w:szCs w:val="24"/>
              </w:rPr>
            </w:pPr>
            <w:r>
              <w:rPr>
                <w:sz w:val="24"/>
                <w:szCs w:val="24"/>
              </w:rPr>
              <w:t>Summary of program or m</w:t>
            </w:r>
            <w:r w:rsidRPr="007422D3">
              <w:rPr>
                <w:sz w:val="24"/>
                <w:szCs w:val="24"/>
              </w:rPr>
              <w:t>odel</w:t>
            </w:r>
            <w:r>
              <w:rPr>
                <w:sz w:val="24"/>
                <w:szCs w:val="24"/>
              </w:rPr>
              <w:t xml:space="preserve"> for each program intervention to be implemented. </w:t>
            </w:r>
            <w:r w:rsidRPr="007422D3">
              <w:rPr>
                <w:sz w:val="24"/>
                <w:szCs w:val="24"/>
              </w:rPr>
              <w:t>Include start date, and workforce and infrastructure needs</w:t>
            </w:r>
            <w:r w:rsidR="003D155B">
              <w:rPr>
                <w:sz w:val="24"/>
                <w:szCs w:val="24"/>
              </w:rPr>
              <w:t xml:space="preserve"> (Response limited to 300 words)</w:t>
            </w:r>
          </w:p>
        </w:tc>
      </w:tr>
      <w:tr w:rsidR="00087E2C" w:rsidRPr="00785A0B" w:rsidTr="00395B63">
        <w:trPr>
          <w:trHeight w:hRule="exact" w:val="2667"/>
        </w:trPr>
        <w:tc>
          <w:tcPr>
            <w:tcW w:w="9849" w:type="dxa"/>
            <w:tcBorders>
              <w:top w:val="single" w:sz="5" w:space="0" w:color="000000"/>
              <w:left w:val="single" w:sz="5" w:space="0" w:color="000000"/>
              <w:bottom w:val="single" w:sz="5" w:space="0" w:color="000000"/>
              <w:right w:val="single" w:sz="5" w:space="0" w:color="000000"/>
            </w:tcBorders>
          </w:tcPr>
          <w:p w:rsidR="00087E2C" w:rsidRDefault="00087E2C" w:rsidP="00395B63">
            <w:pPr>
              <w:spacing w:after="0" w:line="240" w:lineRule="auto"/>
              <w:rPr>
                <w:sz w:val="24"/>
                <w:szCs w:val="24"/>
              </w:rPr>
            </w:pPr>
          </w:p>
          <w:p w:rsidR="009F79B2" w:rsidRDefault="009F79B2" w:rsidP="00395B63">
            <w:pPr>
              <w:spacing w:after="0" w:line="240" w:lineRule="auto"/>
              <w:rPr>
                <w:sz w:val="24"/>
                <w:szCs w:val="24"/>
              </w:rPr>
            </w:pPr>
          </w:p>
          <w:p w:rsidR="009F79B2" w:rsidRDefault="009F79B2" w:rsidP="00395B63">
            <w:pPr>
              <w:spacing w:after="0" w:line="240" w:lineRule="auto"/>
              <w:rPr>
                <w:sz w:val="24"/>
                <w:szCs w:val="24"/>
              </w:rPr>
            </w:pPr>
          </w:p>
          <w:p w:rsidR="009F79B2" w:rsidRDefault="009F79B2" w:rsidP="00395B63">
            <w:pPr>
              <w:spacing w:after="0" w:line="240" w:lineRule="auto"/>
              <w:rPr>
                <w:sz w:val="24"/>
                <w:szCs w:val="24"/>
              </w:rPr>
            </w:pPr>
          </w:p>
          <w:p w:rsidR="009F79B2" w:rsidRPr="007422D3" w:rsidRDefault="009F79B2" w:rsidP="00395B63">
            <w:pPr>
              <w:spacing w:after="0" w:line="240" w:lineRule="auto"/>
              <w:rPr>
                <w:sz w:val="24"/>
                <w:szCs w:val="24"/>
              </w:rPr>
            </w:pPr>
          </w:p>
        </w:tc>
      </w:tr>
      <w:tr w:rsidR="00087E2C" w:rsidRPr="00785A0B" w:rsidTr="00395B63">
        <w:trPr>
          <w:trHeight w:hRule="exact" w:val="345"/>
        </w:trPr>
        <w:tc>
          <w:tcPr>
            <w:tcW w:w="984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087E2C" w:rsidRPr="00785A0B" w:rsidRDefault="00087E2C" w:rsidP="00395B63">
            <w:pPr>
              <w:spacing w:after="0" w:line="240" w:lineRule="auto"/>
              <w:jc w:val="center"/>
              <w:rPr>
                <w:sz w:val="24"/>
                <w:szCs w:val="24"/>
              </w:rPr>
            </w:pPr>
            <w:r w:rsidRPr="007422D3">
              <w:rPr>
                <w:sz w:val="24"/>
                <w:szCs w:val="24"/>
              </w:rPr>
              <w:t>Measurement and Outcomes Goals</w:t>
            </w:r>
            <w:r w:rsidR="003D155B">
              <w:rPr>
                <w:sz w:val="24"/>
                <w:szCs w:val="24"/>
              </w:rPr>
              <w:t xml:space="preserve"> (Response limited to 300 words)</w:t>
            </w:r>
          </w:p>
        </w:tc>
      </w:tr>
      <w:tr w:rsidR="00087E2C" w:rsidRPr="00785A0B" w:rsidTr="00395B63">
        <w:trPr>
          <w:trHeight w:hRule="exact" w:val="2892"/>
        </w:trPr>
        <w:tc>
          <w:tcPr>
            <w:tcW w:w="9849" w:type="dxa"/>
            <w:tcBorders>
              <w:top w:val="single" w:sz="5" w:space="0" w:color="000000"/>
              <w:left w:val="single" w:sz="5" w:space="0" w:color="000000"/>
              <w:bottom w:val="single" w:sz="5" w:space="0" w:color="000000"/>
              <w:right w:val="single" w:sz="5" w:space="0" w:color="000000"/>
            </w:tcBorders>
          </w:tcPr>
          <w:p w:rsidR="00087E2C" w:rsidRPr="007422D3" w:rsidRDefault="00087E2C" w:rsidP="00395B63">
            <w:pPr>
              <w:spacing w:after="0" w:line="240" w:lineRule="auto"/>
              <w:rPr>
                <w:sz w:val="24"/>
                <w:szCs w:val="24"/>
              </w:rPr>
            </w:pPr>
          </w:p>
        </w:tc>
      </w:tr>
      <w:tr w:rsidR="00087E2C" w:rsidRPr="00785A0B" w:rsidTr="00395B63">
        <w:trPr>
          <w:trHeight w:hRule="exact" w:val="372"/>
        </w:trPr>
        <w:tc>
          <w:tcPr>
            <w:tcW w:w="984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087E2C" w:rsidRPr="00785A0B" w:rsidRDefault="00087E2C" w:rsidP="00395B63">
            <w:pPr>
              <w:spacing w:after="0" w:line="240" w:lineRule="auto"/>
              <w:jc w:val="center"/>
              <w:rPr>
                <w:sz w:val="24"/>
                <w:szCs w:val="24"/>
              </w:rPr>
            </w:pPr>
            <w:r w:rsidRPr="007422D3">
              <w:rPr>
                <w:sz w:val="24"/>
                <w:szCs w:val="24"/>
              </w:rPr>
              <w:t>Return on Investment.  Total Cost of Care Savings.</w:t>
            </w:r>
            <w:r w:rsidR="003D155B">
              <w:rPr>
                <w:sz w:val="24"/>
                <w:szCs w:val="24"/>
              </w:rPr>
              <w:t xml:space="preserve"> (Response limited to 300 words)</w:t>
            </w:r>
          </w:p>
        </w:tc>
      </w:tr>
      <w:tr w:rsidR="00087E2C" w:rsidRPr="00785A0B" w:rsidTr="00395B63">
        <w:trPr>
          <w:trHeight w:hRule="exact" w:val="2874"/>
        </w:trPr>
        <w:tc>
          <w:tcPr>
            <w:tcW w:w="9849" w:type="dxa"/>
            <w:tcBorders>
              <w:top w:val="single" w:sz="5" w:space="0" w:color="000000"/>
              <w:left w:val="single" w:sz="5" w:space="0" w:color="000000"/>
              <w:bottom w:val="single" w:sz="5" w:space="0" w:color="000000"/>
              <w:right w:val="single" w:sz="5" w:space="0" w:color="000000"/>
            </w:tcBorders>
          </w:tcPr>
          <w:p w:rsidR="00087E2C" w:rsidRPr="007422D3" w:rsidRDefault="00087E2C" w:rsidP="00395B63">
            <w:pPr>
              <w:spacing w:after="0" w:line="240" w:lineRule="auto"/>
              <w:rPr>
                <w:sz w:val="24"/>
                <w:szCs w:val="24"/>
              </w:rPr>
            </w:pPr>
          </w:p>
        </w:tc>
      </w:tr>
      <w:tr w:rsidR="00087E2C" w:rsidRPr="00785A0B" w:rsidTr="00395B63">
        <w:trPr>
          <w:trHeight w:hRule="exact" w:val="354"/>
        </w:trPr>
        <w:tc>
          <w:tcPr>
            <w:tcW w:w="984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087E2C" w:rsidRPr="00785A0B" w:rsidRDefault="00087E2C" w:rsidP="00395B63">
            <w:pPr>
              <w:spacing w:after="0" w:line="240" w:lineRule="auto"/>
              <w:jc w:val="center"/>
              <w:rPr>
                <w:sz w:val="24"/>
                <w:szCs w:val="24"/>
              </w:rPr>
            </w:pPr>
            <w:r w:rsidRPr="007422D3">
              <w:rPr>
                <w:sz w:val="24"/>
                <w:szCs w:val="24"/>
              </w:rPr>
              <w:t>Scalability and Sustainability Plan</w:t>
            </w:r>
            <w:r w:rsidR="003D155B">
              <w:rPr>
                <w:sz w:val="24"/>
                <w:szCs w:val="24"/>
              </w:rPr>
              <w:t xml:space="preserve"> (Response limited to 300 words)</w:t>
            </w:r>
          </w:p>
        </w:tc>
      </w:tr>
      <w:tr w:rsidR="00087E2C" w:rsidRPr="00785A0B" w:rsidTr="00395B63">
        <w:trPr>
          <w:trHeight w:hRule="exact" w:val="2622"/>
        </w:trPr>
        <w:tc>
          <w:tcPr>
            <w:tcW w:w="9849" w:type="dxa"/>
            <w:tcBorders>
              <w:top w:val="single" w:sz="5" w:space="0" w:color="000000"/>
              <w:left w:val="single" w:sz="5" w:space="0" w:color="000000"/>
              <w:bottom w:val="single" w:sz="5" w:space="0" w:color="000000"/>
              <w:right w:val="single" w:sz="5" w:space="0" w:color="000000"/>
            </w:tcBorders>
          </w:tcPr>
          <w:p w:rsidR="00087E2C" w:rsidRPr="007422D3" w:rsidRDefault="00087E2C" w:rsidP="00395B63">
            <w:pPr>
              <w:spacing w:after="0" w:line="240" w:lineRule="auto"/>
              <w:jc w:val="center"/>
              <w:rPr>
                <w:sz w:val="24"/>
                <w:szCs w:val="24"/>
              </w:rPr>
            </w:pPr>
          </w:p>
        </w:tc>
      </w:tr>
      <w:tr w:rsidR="00087E2C" w:rsidRPr="00785A0B" w:rsidTr="006121EF">
        <w:trPr>
          <w:trHeight w:hRule="exact" w:val="885"/>
        </w:trPr>
        <w:tc>
          <w:tcPr>
            <w:tcW w:w="984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087E2C" w:rsidRPr="00785A0B" w:rsidRDefault="00087E2C" w:rsidP="00395B63">
            <w:pPr>
              <w:spacing w:after="0" w:line="240" w:lineRule="auto"/>
              <w:jc w:val="center"/>
              <w:rPr>
                <w:sz w:val="24"/>
                <w:szCs w:val="24"/>
              </w:rPr>
            </w:pPr>
            <w:r w:rsidRPr="007422D3">
              <w:rPr>
                <w:sz w:val="24"/>
                <w:szCs w:val="24"/>
              </w:rPr>
              <w:t>Participating Partners and Decision-making Process.  Include amount allocated to each partner</w:t>
            </w:r>
            <w:r w:rsidR="003D155B">
              <w:rPr>
                <w:sz w:val="24"/>
                <w:szCs w:val="24"/>
              </w:rPr>
              <w:t>. (Response limited to 300 words)</w:t>
            </w:r>
          </w:p>
        </w:tc>
      </w:tr>
      <w:tr w:rsidR="00087E2C" w:rsidRPr="00785A0B" w:rsidTr="00395B63">
        <w:trPr>
          <w:trHeight w:hRule="exact" w:val="2775"/>
        </w:trPr>
        <w:tc>
          <w:tcPr>
            <w:tcW w:w="9849" w:type="dxa"/>
            <w:tcBorders>
              <w:top w:val="single" w:sz="5" w:space="0" w:color="000000"/>
              <w:left w:val="single" w:sz="5" w:space="0" w:color="000000"/>
              <w:bottom w:val="single" w:sz="5" w:space="0" w:color="000000"/>
              <w:right w:val="single" w:sz="5" w:space="0" w:color="000000"/>
            </w:tcBorders>
          </w:tcPr>
          <w:p w:rsidR="00087E2C" w:rsidRPr="007422D3" w:rsidRDefault="00087E2C" w:rsidP="00395B63">
            <w:pPr>
              <w:spacing w:after="0" w:line="240" w:lineRule="auto"/>
              <w:jc w:val="center"/>
              <w:rPr>
                <w:sz w:val="24"/>
                <w:szCs w:val="24"/>
              </w:rPr>
            </w:pPr>
          </w:p>
        </w:tc>
      </w:tr>
      <w:tr w:rsidR="00087E2C" w:rsidRPr="00785A0B" w:rsidTr="00395B63">
        <w:trPr>
          <w:trHeight w:hRule="exact" w:val="417"/>
        </w:trPr>
        <w:tc>
          <w:tcPr>
            <w:tcW w:w="984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087E2C" w:rsidRPr="00785A0B" w:rsidRDefault="00087E2C" w:rsidP="00395B63">
            <w:pPr>
              <w:spacing w:after="0" w:line="240" w:lineRule="auto"/>
              <w:jc w:val="center"/>
              <w:rPr>
                <w:sz w:val="24"/>
                <w:szCs w:val="24"/>
              </w:rPr>
            </w:pPr>
            <w:r w:rsidRPr="007422D3">
              <w:rPr>
                <w:sz w:val="24"/>
                <w:szCs w:val="24"/>
              </w:rPr>
              <w:lastRenderedPageBreak/>
              <w:t>Implementation Plan</w:t>
            </w:r>
            <w:r w:rsidR="003D155B">
              <w:rPr>
                <w:sz w:val="24"/>
                <w:szCs w:val="24"/>
              </w:rPr>
              <w:t xml:space="preserve"> (Response limited to 300 words)</w:t>
            </w:r>
          </w:p>
        </w:tc>
      </w:tr>
      <w:tr w:rsidR="00087E2C" w:rsidRPr="00785A0B" w:rsidTr="00395B63">
        <w:trPr>
          <w:trHeight w:hRule="exact" w:val="2919"/>
        </w:trPr>
        <w:tc>
          <w:tcPr>
            <w:tcW w:w="9849" w:type="dxa"/>
            <w:tcBorders>
              <w:top w:val="single" w:sz="5" w:space="0" w:color="000000"/>
              <w:left w:val="single" w:sz="5" w:space="0" w:color="000000"/>
              <w:bottom w:val="single" w:sz="5" w:space="0" w:color="000000"/>
              <w:right w:val="single" w:sz="5" w:space="0" w:color="000000"/>
            </w:tcBorders>
          </w:tcPr>
          <w:p w:rsidR="00087E2C" w:rsidRPr="007422D3" w:rsidRDefault="00087E2C" w:rsidP="00395B63">
            <w:pPr>
              <w:spacing w:after="0" w:line="240" w:lineRule="auto"/>
              <w:rPr>
                <w:sz w:val="24"/>
                <w:szCs w:val="24"/>
              </w:rPr>
            </w:pPr>
          </w:p>
        </w:tc>
      </w:tr>
      <w:tr w:rsidR="00087E2C" w:rsidRPr="00785A0B" w:rsidTr="00395B63">
        <w:trPr>
          <w:trHeight w:hRule="exact" w:val="301"/>
        </w:trPr>
        <w:tc>
          <w:tcPr>
            <w:tcW w:w="9849"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087E2C" w:rsidRPr="00785A0B" w:rsidRDefault="00087E2C" w:rsidP="00395B63">
            <w:pPr>
              <w:spacing w:after="0" w:line="240" w:lineRule="auto"/>
              <w:jc w:val="center"/>
              <w:rPr>
                <w:sz w:val="24"/>
                <w:szCs w:val="24"/>
              </w:rPr>
            </w:pPr>
            <w:r w:rsidRPr="007422D3">
              <w:rPr>
                <w:sz w:val="24"/>
                <w:szCs w:val="24"/>
              </w:rPr>
              <w:t>Budget and Expenditures:  Include budget for each intervention</w:t>
            </w:r>
            <w:r w:rsidR="003D155B">
              <w:rPr>
                <w:sz w:val="24"/>
                <w:szCs w:val="24"/>
              </w:rPr>
              <w:t>. (Response limited to 300 words)</w:t>
            </w:r>
          </w:p>
        </w:tc>
      </w:tr>
      <w:tr w:rsidR="00087E2C" w:rsidRPr="00785A0B" w:rsidTr="00395B63">
        <w:trPr>
          <w:trHeight w:hRule="exact" w:val="2865"/>
        </w:trPr>
        <w:tc>
          <w:tcPr>
            <w:tcW w:w="9849" w:type="dxa"/>
            <w:tcBorders>
              <w:top w:val="single" w:sz="5" w:space="0" w:color="000000"/>
              <w:left w:val="single" w:sz="5" w:space="0" w:color="000000"/>
              <w:bottom w:val="single" w:sz="5" w:space="0" w:color="000000"/>
              <w:right w:val="single" w:sz="5" w:space="0" w:color="000000"/>
            </w:tcBorders>
          </w:tcPr>
          <w:p w:rsidR="00087E2C" w:rsidRPr="007422D3" w:rsidRDefault="00087E2C" w:rsidP="00395B63">
            <w:pPr>
              <w:spacing w:after="0" w:line="240" w:lineRule="auto"/>
              <w:rPr>
                <w:sz w:val="24"/>
                <w:szCs w:val="24"/>
              </w:rPr>
            </w:pPr>
          </w:p>
        </w:tc>
      </w:tr>
    </w:tbl>
    <w:p w:rsidR="00087E2C" w:rsidRDefault="00087E2C" w:rsidP="00087E2C">
      <w:pPr>
        <w:spacing w:after="0" w:line="240" w:lineRule="auto"/>
        <w:rPr>
          <w:sz w:val="24"/>
          <w:szCs w:val="24"/>
        </w:rPr>
      </w:pPr>
    </w:p>
    <w:p w:rsidR="00BE33AB" w:rsidRDefault="00BE33AB"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Pr="00256F16" w:rsidRDefault="00882392" w:rsidP="00882392">
      <w:pPr>
        <w:pStyle w:val="Heading2"/>
      </w:pPr>
      <w:r>
        <w:lastRenderedPageBreak/>
        <w:t xml:space="preserve">Appendix D </w:t>
      </w:r>
      <w:r w:rsidR="00243360">
        <w:t>Budget Template and Narrative</w:t>
      </w:r>
      <w:r>
        <w:t xml:space="preserve"> </w:t>
      </w:r>
    </w:p>
    <w:tbl>
      <w:tblPr>
        <w:tblpPr w:leftFromText="180" w:rightFromText="180" w:vertAnchor="text" w:horzAnchor="margin" w:tblpY="451"/>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5"/>
        <w:gridCol w:w="7125"/>
      </w:tblGrid>
      <w:tr w:rsidR="00882392" w:rsidRPr="002D1CBC" w:rsidTr="00395B63">
        <w:trPr>
          <w:trHeight w:hRule="exact" w:val="266"/>
        </w:trPr>
        <w:tc>
          <w:tcPr>
            <w:tcW w:w="2605" w:type="dxa"/>
          </w:tcPr>
          <w:p w:rsidR="00882392" w:rsidRPr="007422D3" w:rsidRDefault="00882392" w:rsidP="00395B63">
            <w:pPr>
              <w:spacing w:after="0" w:line="240" w:lineRule="auto"/>
              <w:rPr>
                <w:sz w:val="24"/>
                <w:szCs w:val="24"/>
              </w:rPr>
            </w:pPr>
            <w:r w:rsidRPr="007422D3">
              <w:rPr>
                <w:sz w:val="24"/>
                <w:szCs w:val="24"/>
              </w:rPr>
              <w:t>Hospital/Applicant:</w:t>
            </w:r>
          </w:p>
        </w:tc>
        <w:tc>
          <w:tcPr>
            <w:tcW w:w="7125" w:type="dxa"/>
          </w:tcPr>
          <w:p w:rsidR="00882392" w:rsidRPr="007422D3" w:rsidRDefault="00882392" w:rsidP="00395B63">
            <w:pPr>
              <w:spacing w:after="0" w:line="240" w:lineRule="auto"/>
              <w:rPr>
                <w:sz w:val="24"/>
                <w:szCs w:val="24"/>
              </w:rPr>
            </w:pPr>
          </w:p>
        </w:tc>
      </w:tr>
      <w:tr w:rsidR="00882392" w:rsidRPr="002D1CBC" w:rsidTr="00395B63">
        <w:trPr>
          <w:trHeight w:hRule="exact" w:val="271"/>
        </w:trPr>
        <w:tc>
          <w:tcPr>
            <w:tcW w:w="2605" w:type="dxa"/>
          </w:tcPr>
          <w:p w:rsidR="00882392" w:rsidRPr="007422D3" w:rsidRDefault="00882392" w:rsidP="003D155B">
            <w:pPr>
              <w:spacing w:after="0" w:line="240" w:lineRule="auto"/>
              <w:rPr>
                <w:sz w:val="24"/>
                <w:szCs w:val="24"/>
              </w:rPr>
            </w:pPr>
            <w:r>
              <w:rPr>
                <w:sz w:val="24"/>
                <w:szCs w:val="24"/>
              </w:rPr>
              <w:t xml:space="preserve">Number of </w:t>
            </w:r>
            <w:r w:rsidR="003D155B">
              <w:rPr>
                <w:sz w:val="24"/>
                <w:szCs w:val="24"/>
              </w:rPr>
              <w:t>Interventions</w:t>
            </w:r>
            <w:r>
              <w:rPr>
                <w:sz w:val="24"/>
                <w:szCs w:val="24"/>
              </w:rPr>
              <w:t xml:space="preserve">: </w:t>
            </w:r>
          </w:p>
        </w:tc>
        <w:tc>
          <w:tcPr>
            <w:tcW w:w="7125" w:type="dxa"/>
          </w:tcPr>
          <w:p w:rsidR="00882392" w:rsidRPr="007422D3" w:rsidRDefault="00882392" w:rsidP="00395B63">
            <w:pPr>
              <w:spacing w:after="0" w:line="240" w:lineRule="auto"/>
              <w:rPr>
                <w:sz w:val="24"/>
                <w:szCs w:val="24"/>
              </w:rPr>
            </w:pPr>
          </w:p>
        </w:tc>
      </w:tr>
      <w:tr w:rsidR="00882392" w:rsidRPr="002D1CBC" w:rsidTr="00395B63">
        <w:trPr>
          <w:trHeight w:hRule="exact" w:val="271"/>
        </w:trPr>
        <w:tc>
          <w:tcPr>
            <w:tcW w:w="2605" w:type="dxa"/>
          </w:tcPr>
          <w:p w:rsidR="00882392" w:rsidRPr="007422D3" w:rsidRDefault="00882392" w:rsidP="003D155B">
            <w:pPr>
              <w:spacing w:after="0" w:line="240" w:lineRule="auto"/>
              <w:rPr>
                <w:sz w:val="24"/>
                <w:szCs w:val="24"/>
              </w:rPr>
            </w:pPr>
            <w:r>
              <w:rPr>
                <w:sz w:val="24"/>
                <w:szCs w:val="24"/>
              </w:rPr>
              <w:t xml:space="preserve">Total </w:t>
            </w:r>
            <w:r w:rsidR="003D155B">
              <w:rPr>
                <w:sz w:val="24"/>
                <w:szCs w:val="24"/>
              </w:rPr>
              <w:t xml:space="preserve">Budget Request </w:t>
            </w:r>
            <w:r>
              <w:rPr>
                <w:sz w:val="24"/>
                <w:szCs w:val="24"/>
              </w:rPr>
              <w:t>($):</w:t>
            </w:r>
          </w:p>
        </w:tc>
        <w:tc>
          <w:tcPr>
            <w:tcW w:w="7125" w:type="dxa"/>
          </w:tcPr>
          <w:p w:rsidR="00882392" w:rsidRPr="007422D3" w:rsidRDefault="00882392" w:rsidP="00395B63">
            <w:pPr>
              <w:spacing w:after="0" w:line="240" w:lineRule="auto"/>
              <w:rPr>
                <w:sz w:val="24"/>
                <w:szCs w:val="24"/>
              </w:rPr>
            </w:pPr>
          </w:p>
        </w:tc>
      </w:tr>
    </w:tbl>
    <w:p w:rsidR="00882392" w:rsidRDefault="00882392" w:rsidP="00882392">
      <w:pPr>
        <w:pStyle w:val="ListParagraph"/>
        <w:spacing w:after="0" w:line="240" w:lineRule="auto"/>
        <w:rPr>
          <w:sz w:val="24"/>
          <w:szCs w:val="24"/>
        </w:rPr>
      </w:pPr>
    </w:p>
    <w:p w:rsidR="00882392" w:rsidRDefault="00882392" w:rsidP="00882392">
      <w:pPr>
        <w:pStyle w:val="ListParagraph"/>
        <w:spacing w:after="0" w:line="240" w:lineRule="auto"/>
        <w:ind w:left="0"/>
        <w:rPr>
          <w:b/>
          <w:sz w:val="24"/>
          <w:szCs w:val="24"/>
        </w:rPr>
      </w:pPr>
    </w:p>
    <w:p w:rsidR="00882392" w:rsidRDefault="00882392" w:rsidP="00882392">
      <w:pPr>
        <w:pStyle w:val="ListParagraph"/>
        <w:spacing w:after="0" w:line="240" w:lineRule="auto"/>
        <w:ind w:left="0"/>
        <w:rPr>
          <w:b/>
          <w:sz w:val="24"/>
          <w:szCs w:val="24"/>
        </w:rPr>
      </w:pPr>
      <w:r w:rsidRPr="00201205">
        <w:rPr>
          <w:b/>
          <w:sz w:val="24"/>
          <w:szCs w:val="24"/>
        </w:rPr>
        <w:t xml:space="preserve">Complete the </w:t>
      </w:r>
      <w:r w:rsidR="00243360">
        <w:rPr>
          <w:b/>
          <w:sz w:val="24"/>
          <w:szCs w:val="24"/>
        </w:rPr>
        <w:t>budget</w:t>
      </w:r>
      <w:r w:rsidRPr="00201205">
        <w:rPr>
          <w:b/>
          <w:sz w:val="24"/>
          <w:szCs w:val="24"/>
        </w:rPr>
        <w:t xml:space="preserve"> </w:t>
      </w:r>
      <w:r>
        <w:rPr>
          <w:b/>
          <w:sz w:val="24"/>
          <w:szCs w:val="24"/>
        </w:rPr>
        <w:t>table</w:t>
      </w:r>
      <w:r w:rsidR="00243360">
        <w:rPr>
          <w:b/>
          <w:sz w:val="24"/>
          <w:szCs w:val="24"/>
        </w:rPr>
        <w:t xml:space="preserve"> below, listing each type of budget line item, narrative summary description for each, and amount of expenses estimated.  </w:t>
      </w:r>
    </w:p>
    <w:p w:rsidR="00882392" w:rsidRPr="00B02980" w:rsidRDefault="00882392" w:rsidP="00882392">
      <w:pPr>
        <w:pStyle w:val="ListParagraph"/>
        <w:spacing w:after="0" w:line="240" w:lineRule="auto"/>
        <w:ind w:left="0"/>
        <w:rPr>
          <w:b/>
          <w:sz w:val="24"/>
          <w:szCs w:val="24"/>
        </w:rPr>
      </w:pPr>
    </w:p>
    <w:tbl>
      <w:tblPr>
        <w:tblW w:w="9720" w:type="dxa"/>
        <w:tblInd w:w="-6" w:type="dxa"/>
        <w:tblLayout w:type="fixed"/>
        <w:tblCellMar>
          <w:left w:w="0" w:type="dxa"/>
          <w:right w:w="0" w:type="dxa"/>
        </w:tblCellMar>
        <w:tblLook w:val="01E0" w:firstRow="1" w:lastRow="1" w:firstColumn="1" w:lastColumn="1" w:noHBand="0" w:noVBand="0"/>
      </w:tblPr>
      <w:tblGrid>
        <w:gridCol w:w="2700"/>
        <w:gridCol w:w="5490"/>
        <w:gridCol w:w="1530"/>
      </w:tblGrid>
      <w:tr w:rsidR="00882392" w:rsidRPr="00785A0B" w:rsidTr="00882392">
        <w:trPr>
          <w:trHeight w:hRule="exact" w:val="597"/>
        </w:trPr>
        <w:tc>
          <w:tcPr>
            <w:tcW w:w="27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882392" w:rsidRPr="00785A0B" w:rsidRDefault="00882392" w:rsidP="00395B63">
            <w:pPr>
              <w:spacing w:after="0" w:line="240" w:lineRule="auto"/>
              <w:jc w:val="center"/>
              <w:rPr>
                <w:sz w:val="24"/>
                <w:szCs w:val="24"/>
              </w:rPr>
            </w:pPr>
            <w:r>
              <w:rPr>
                <w:sz w:val="24"/>
                <w:szCs w:val="24"/>
              </w:rPr>
              <w:t>Workforce/Type of Staff</w:t>
            </w:r>
          </w:p>
        </w:tc>
        <w:tc>
          <w:tcPr>
            <w:tcW w:w="549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882392" w:rsidRPr="007422D3" w:rsidRDefault="00882392" w:rsidP="00395B63">
            <w:pPr>
              <w:spacing w:after="0" w:line="240" w:lineRule="auto"/>
              <w:jc w:val="center"/>
              <w:rPr>
                <w:sz w:val="24"/>
                <w:szCs w:val="24"/>
              </w:rPr>
            </w:pPr>
            <w:r>
              <w:rPr>
                <w:sz w:val="24"/>
                <w:szCs w:val="24"/>
              </w:rPr>
              <w:t>Description</w:t>
            </w:r>
          </w:p>
        </w:tc>
        <w:tc>
          <w:tcPr>
            <w:tcW w:w="153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882392" w:rsidRPr="007422D3" w:rsidRDefault="00882392" w:rsidP="00395B63">
            <w:pPr>
              <w:spacing w:after="0" w:line="240" w:lineRule="auto"/>
              <w:jc w:val="center"/>
              <w:rPr>
                <w:sz w:val="24"/>
                <w:szCs w:val="24"/>
              </w:rPr>
            </w:pPr>
            <w:r>
              <w:rPr>
                <w:sz w:val="24"/>
                <w:szCs w:val="24"/>
              </w:rPr>
              <w:t>Amount</w:t>
            </w:r>
          </w:p>
        </w:tc>
      </w:tr>
      <w:tr w:rsidR="00882392" w:rsidRPr="00785A0B" w:rsidTr="00882392">
        <w:trPr>
          <w:trHeight w:hRule="exact" w:val="4044"/>
        </w:trPr>
        <w:tc>
          <w:tcPr>
            <w:tcW w:w="2700" w:type="dxa"/>
            <w:tcBorders>
              <w:top w:val="single" w:sz="5" w:space="0" w:color="000000"/>
              <w:left w:val="single" w:sz="5" w:space="0" w:color="000000"/>
              <w:bottom w:val="single" w:sz="5" w:space="0" w:color="000000"/>
              <w:right w:val="single" w:sz="5" w:space="0" w:color="000000"/>
            </w:tcBorders>
          </w:tcPr>
          <w:p w:rsidR="00882392" w:rsidRPr="007422D3" w:rsidRDefault="00882392" w:rsidP="00395B63">
            <w:pPr>
              <w:spacing w:after="0" w:line="240" w:lineRule="auto"/>
              <w:rPr>
                <w:sz w:val="24"/>
                <w:szCs w:val="24"/>
              </w:rPr>
            </w:pPr>
          </w:p>
        </w:tc>
        <w:tc>
          <w:tcPr>
            <w:tcW w:w="5490" w:type="dxa"/>
            <w:tcBorders>
              <w:top w:val="single" w:sz="5" w:space="0" w:color="000000"/>
              <w:left w:val="single" w:sz="5" w:space="0" w:color="000000"/>
              <w:bottom w:val="single" w:sz="5" w:space="0" w:color="000000"/>
              <w:right w:val="single" w:sz="5" w:space="0" w:color="000000"/>
            </w:tcBorders>
          </w:tcPr>
          <w:p w:rsidR="00882392" w:rsidRPr="007422D3" w:rsidRDefault="00882392" w:rsidP="00395B63">
            <w:pPr>
              <w:spacing w:after="0" w:line="240" w:lineRule="auto"/>
              <w:rPr>
                <w:sz w:val="24"/>
                <w:szCs w:val="24"/>
              </w:rPr>
            </w:pPr>
          </w:p>
        </w:tc>
        <w:tc>
          <w:tcPr>
            <w:tcW w:w="1530" w:type="dxa"/>
            <w:tcBorders>
              <w:top w:val="single" w:sz="5" w:space="0" w:color="000000"/>
              <w:left w:val="single" w:sz="5" w:space="0" w:color="000000"/>
              <w:bottom w:val="single" w:sz="5" w:space="0" w:color="000000"/>
              <w:right w:val="single" w:sz="5" w:space="0" w:color="000000"/>
            </w:tcBorders>
          </w:tcPr>
          <w:p w:rsidR="00882392" w:rsidRPr="007422D3" w:rsidRDefault="00882392" w:rsidP="00395B63">
            <w:pPr>
              <w:spacing w:after="0" w:line="240" w:lineRule="auto"/>
              <w:rPr>
                <w:sz w:val="24"/>
                <w:szCs w:val="24"/>
              </w:rPr>
            </w:pPr>
          </w:p>
        </w:tc>
      </w:tr>
      <w:tr w:rsidR="00882392" w:rsidRPr="00785A0B" w:rsidTr="00882392">
        <w:trPr>
          <w:trHeight w:hRule="exact" w:val="597"/>
        </w:trPr>
        <w:tc>
          <w:tcPr>
            <w:tcW w:w="27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882392" w:rsidRPr="007422D3" w:rsidRDefault="00882392" w:rsidP="00882392">
            <w:pPr>
              <w:spacing w:after="0" w:line="240" w:lineRule="auto"/>
              <w:rPr>
                <w:sz w:val="24"/>
                <w:szCs w:val="24"/>
              </w:rPr>
            </w:pPr>
            <w:r>
              <w:rPr>
                <w:sz w:val="24"/>
                <w:szCs w:val="24"/>
              </w:rPr>
              <w:t xml:space="preserve"> IT/Technologies</w:t>
            </w:r>
          </w:p>
        </w:tc>
        <w:tc>
          <w:tcPr>
            <w:tcW w:w="549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882392" w:rsidRPr="007422D3" w:rsidRDefault="00882392" w:rsidP="00882392">
            <w:pPr>
              <w:spacing w:after="0" w:line="240" w:lineRule="auto"/>
              <w:jc w:val="center"/>
              <w:rPr>
                <w:sz w:val="24"/>
                <w:szCs w:val="24"/>
              </w:rPr>
            </w:pPr>
            <w:r>
              <w:rPr>
                <w:sz w:val="24"/>
                <w:szCs w:val="24"/>
              </w:rPr>
              <w:t>Description</w:t>
            </w:r>
          </w:p>
        </w:tc>
        <w:tc>
          <w:tcPr>
            <w:tcW w:w="153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882392" w:rsidRPr="007422D3" w:rsidRDefault="00882392" w:rsidP="00882392">
            <w:pPr>
              <w:spacing w:after="0" w:line="240" w:lineRule="auto"/>
              <w:jc w:val="center"/>
              <w:rPr>
                <w:sz w:val="24"/>
                <w:szCs w:val="24"/>
              </w:rPr>
            </w:pPr>
            <w:r>
              <w:rPr>
                <w:sz w:val="24"/>
                <w:szCs w:val="24"/>
              </w:rPr>
              <w:t>Amount</w:t>
            </w:r>
          </w:p>
        </w:tc>
      </w:tr>
      <w:tr w:rsidR="00882392" w:rsidRPr="00785A0B" w:rsidTr="00882392">
        <w:trPr>
          <w:trHeight w:hRule="exact" w:val="4242"/>
        </w:trPr>
        <w:tc>
          <w:tcPr>
            <w:tcW w:w="2700" w:type="dxa"/>
            <w:tcBorders>
              <w:top w:val="single" w:sz="5" w:space="0" w:color="000000"/>
              <w:left w:val="single" w:sz="5" w:space="0" w:color="000000"/>
              <w:bottom w:val="single" w:sz="5" w:space="0" w:color="000000"/>
              <w:right w:val="single" w:sz="5" w:space="0" w:color="000000"/>
            </w:tcBorders>
          </w:tcPr>
          <w:p w:rsidR="00882392" w:rsidRPr="007422D3" w:rsidRDefault="00882392" w:rsidP="00882392">
            <w:pPr>
              <w:spacing w:after="0" w:line="240" w:lineRule="auto"/>
              <w:rPr>
                <w:sz w:val="24"/>
                <w:szCs w:val="24"/>
              </w:rPr>
            </w:pPr>
          </w:p>
        </w:tc>
        <w:tc>
          <w:tcPr>
            <w:tcW w:w="5490" w:type="dxa"/>
            <w:tcBorders>
              <w:top w:val="single" w:sz="5" w:space="0" w:color="000000"/>
              <w:left w:val="single" w:sz="5" w:space="0" w:color="000000"/>
              <w:bottom w:val="single" w:sz="5" w:space="0" w:color="000000"/>
              <w:right w:val="single" w:sz="5" w:space="0" w:color="000000"/>
            </w:tcBorders>
          </w:tcPr>
          <w:p w:rsidR="00882392" w:rsidRDefault="00882392" w:rsidP="00882392">
            <w:pPr>
              <w:spacing w:after="0" w:line="240" w:lineRule="auto"/>
              <w:jc w:val="center"/>
              <w:rPr>
                <w:sz w:val="24"/>
                <w:szCs w:val="24"/>
              </w:rPr>
            </w:pPr>
          </w:p>
          <w:p w:rsidR="00882392" w:rsidRDefault="00882392" w:rsidP="00882392">
            <w:pPr>
              <w:spacing w:after="0" w:line="240" w:lineRule="auto"/>
              <w:jc w:val="center"/>
              <w:rPr>
                <w:sz w:val="24"/>
                <w:szCs w:val="24"/>
              </w:rPr>
            </w:pPr>
          </w:p>
          <w:p w:rsidR="00882392" w:rsidRDefault="00882392" w:rsidP="00882392">
            <w:pPr>
              <w:spacing w:after="0" w:line="240" w:lineRule="auto"/>
              <w:jc w:val="center"/>
              <w:rPr>
                <w:sz w:val="24"/>
                <w:szCs w:val="24"/>
              </w:rPr>
            </w:pPr>
          </w:p>
          <w:p w:rsidR="00882392" w:rsidRDefault="00882392" w:rsidP="00882392">
            <w:pPr>
              <w:spacing w:after="0" w:line="240" w:lineRule="auto"/>
              <w:jc w:val="center"/>
              <w:rPr>
                <w:sz w:val="24"/>
                <w:szCs w:val="24"/>
              </w:rPr>
            </w:pPr>
          </w:p>
          <w:p w:rsidR="00882392" w:rsidRDefault="00882392" w:rsidP="00882392">
            <w:pPr>
              <w:spacing w:after="0" w:line="240" w:lineRule="auto"/>
              <w:jc w:val="center"/>
              <w:rPr>
                <w:sz w:val="24"/>
                <w:szCs w:val="24"/>
              </w:rPr>
            </w:pPr>
          </w:p>
          <w:p w:rsidR="00882392" w:rsidRDefault="00882392" w:rsidP="00882392">
            <w:pPr>
              <w:spacing w:after="0" w:line="240" w:lineRule="auto"/>
              <w:jc w:val="center"/>
              <w:rPr>
                <w:sz w:val="24"/>
                <w:szCs w:val="24"/>
              </w:rPr>
            </w:pPr>
          </w:p>
          <w:p w:rsidR="00882392" w:rsidRDefault="00882392" w:rsidP="00882392">
            <w:pPr>
              <w:spacing w:after="0" w:line="240" w:lineRule="auto"/>
              <w:jc w:val="center"/>
              <w:rPr>
                <w:sz w:val="24"/>
                <w:szCs w:val="24"/>
              </w:rPr>
            </w:pPr>
          </w:p>
          <w:p w:rsidR="00882392" w:rsidRDefault="00882392" w:rsidP="00882392">
            <w:pPr>
              <w:spacing w:after="0" w:line="240" w:lineRule="auto"/>
              <w:jc w:val="center"/>
              <w:rPr>
                <w:sz w:val="24"/>
                <w:szCs w:val="24"/>
              </w:rPr>
            </w:pPr>
          </w:p>
          <w:p w:rsidR="00882392" w:rsidRDefault="00882392" w:rsidP="00882392">
            <w:pPr>
              <w:spacing w:after="0" w:line="240" w:lineRule="auto"/>
              <w:jc w:val="center"/>
              <w:rPr>
                <w:sz w:val="24"/>
                <w:szCs w:val="24"/>
              </w:rPr>
            </w:pPr>
          </w:p>
          <w:p w:rsidR="00882392" w:rsidRDefault="00882392" w:rsidP="00882392">
            <w:pPr>
              <w:spacing w:after="0" w:line="240" w:lineRule="auto"/>
              <w:jc w:val="center"/>
              <w:rPr>
                <w:sz w:val="24"/>
                <w:szCs w:val="24"/>
              </w:rPr>
            </w:pPr>
          </w:p>
          <w:p w:rsidR="00882392" w:rsidRPr="007422D3" w:rsidRDefault="00882392" w:rsidP="00882392">
            <w:pPr>
              <w:spacing w:after="0" w:line="240" w:lineRule="auto"/>
              <w:jc w:val="center"/>
              <w:rPr>
                <w:sz w:val="24"/>
                <w:szCs w:val="24"/>
              </w:rPr>
            </w:pPr>
          </w:p>
        </w:tc>
        <w:tc>
          <w:tcPr>
            <w:tcW w:w="1530" w:type="dxa"/>
            <w:tcBorders>
              <w:top w:val="single" w:sz="5" w:space="0" w:color="000000"/>
              <w:left w:val="single" w:sz="5" w:space="0" w:color="000000"/>
              <w:bottom w:val="single" w:sz="5" w:space="0" w:color="000000"/>
              <w:right w:val="single" w:sz="5" w:space="0" w:color="000000"/>
            </w:tcBorders>
          </w:tcPr>
          <w:p w:rsidR="00882392" w:rsidRPr="007422D3" w:rsidRDefault="00882392" w:rsidP="00882392">
            <w:pPr>
              <w:spacing w:after="0" w:line="240" w:lineRule="auto"/>
              <w:jc w:val="center"/>
              <w:rPr>
                <w:sz w:val="24"/>
                <w:szCs w:val="24"/>
              </w:rPr>
            </w:pPr>
          </w:p>
        </w:tc>
      </w:tr>
      <w:tr w:rsidR="00882392" w:rsidRPr="00785A0B" w:rsidTr="00882392">
        <w:trPr>
          <w:trHeight w:hRule="exact" w:val="957"/>
        </w:trPr>
        <w:tc>
          <w:tcPr>
            <w:tcW w:w="27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882392" w:rsidRPr="007422D3" w:rsidRDefault="00882392" w:rsidP="009B38F7">
            <w:pPr>
              <w:spacing w:after="0" w:line="240" w:lineRule="auto"/>
              <w:jc w:val="center"/>
              <w:rPr>
                <w:sz w:val="24"/>
                <w:szCs w:val="24"/>
              </w:rPr>
            </w:pPr>
            <w:r>
              <w:rPr>
                <w:sz w:val="24"/>
                <w:szCs w:val="24"/>
              </w:rPr>
              <w:lastRenderedPageBreak/>
              <w:t>Other implementation Activities</w:t>
            </w:r>
          </w:p>
        </w:tc>
        <w:tc>
          <w:tcPr>
            <w:tcW w:w="549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882392" w:rsidRPr="007422D3" w:rsidRDefault="00882392" w:rsidP="00882392">
            <w:pPr>
              <w:spacing w:after="0" w:line="240" w:lineRule="auto"/>
              <w:jc w:val="center"/>
              <w:rPr>
                <w:sz w:val="24"/>
                <w:szCs w:val="24"/>
              </w:rPr>
            </w:pPr>
            <w:r>
              <w:rPr>
                <w:sz w:val="24"/>
                <w:szCs w:val="24"/>
              </w:rPr>
              <w:t>Description</w:t>
            </w:r>
          </w:p>
        </w:tc>
        <w:tc>
          <w:tcPr>
            <w:tcW w:w="153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882392" w:rsidRPr="007422D3" w:rsidRDefault="00882392" w:rsidP="00882392">
            <w:pPr>
              <w:spacing w:after="0" w:line="240" w:lineRule="auto"/>
              <w:jc w:val="center"/>
              <w:rPr>
                <w:sz w:val="24"/>
                <w:szCs w:val="24"/>
              </w:rPr>
            </w:pPr>
            <w:r>
              <w:rPr>
                <w:sz w:val="24"/>
                <w:szCs w:val="24"/>
              </w:rPr>
              <w:t>Amount</w:t>
            </w:r>
          </w:p>
        </w:tc>
      </w:tr>
      <w:tr w:rsidR="00882392" w:rsidRPr="00785A0B" w:rsidTr="00882392">
        <w:trPr>
          <w:trHeight w:hRule="exact" w:val="4152"/>
        </w:trPr>
        <w:tc>
          <w:tcPr>
            <w:tcW w:w="2700" w:type="dxa"/>
            <w:tcBorders>
              <w:top w:val="single" w:sz="5" w:space="0" w:color="000000"/>
              <w:left w:val="single" w:sz="5" w:space="0" w:color="000000"/>
              <w:bottom w:val="single" w:sz="5" w:space="0" w:color="000000"/>
              <w:right w:val="single" w:sz="5" w:space="0" w:color="000000"/>
            </w:tcBorders>
          </w:tcPr>
          <w:p w:rsidR="00882392" w:rsidRDefault="00882392" w:rsidP="00882392">
            <w:pPr>
              <w:spacing w:after="0" w:line="240" w:lineRule="auto"/>
              <w:rPr>
                <w:sz w:val="24"/>
                <w:szCs w:val="24"/>
              </w:rPr>
            </w:pPr>
          </w:p>
          <w:p w:rsidR="00882392" w:rsidRDefault="00882392" w:rsidP="00882392">
            <w:pPr>
              <w:spacing w:after="0" w:line="240" w:lineRule="auto"/>
              <w:rPr>
                <w:sz w:val="24"/>
                <w:szCs w:val="24"/>
              </w:rPr>
            </w:pPr>
          </w:p>
          <w:p w:rsidR="00882392" w:rsidRDefault="00882392" w:rsidP="00882392">
            <w:pPr>
              <w:spacing w:after="0" w:line="240" w:lineRule="auto"/>
              <w:rPr>
                <w:sz w:val="24"/>
                <w:szCs w:val="24"/>
              </w:rPr>
            </w:pPr>
          </w:p>
          <w:p w:rsidR="00882392" w:rsidRDefault="00882392" w:rsidP="00882392">
            <w:pPr>
              <w:spacing w:after="0" w:line="240" w:lineRule="auto"/>
              <w:rPr>
                <w:sz w:val="24"/>
                <w:szCs w:val="24"/>
              </w:rPr>
            </w:pPr>
          </w:p>
          <w:p w:rsidR="00882392" w:rsidRDefault="00882392" w:rsidP="00882392">
            <w:pPr>
              <w:spacing w:after="0" w:line="240" w:lineRule="auto"/>
              <w:rPr>
                <w:sz w:val="24"/>
                <w:szCs w:val="24"/>
              </w:rPr>
            </w:pPr>
          </w:p>
          <w:p w:rsidR="00882392" w:rsidRDefault="00882392" w:rsidP="00882392">
            <w:pPr>
              <w:spacing w:after="0" w:line="240" w:lineRule="auto"/>
              <w:rPr>
                <w:sz w:val="24"/>
                <w:szCs w:val="24"/>
              </w:rPr>
            </w:pPr>
          </w:p>
          <w:p w:rsidR="00882392" w:rsidRDefault="00882392" w:rsidP="00882392">
            <w:pPr>
              <w:spacing w:after="0" w:line="240" w:lineRule="auto"/>
              <w:rPr>
                <w:sz w:val="24"/>
                <w:szCs w:val="24"/>
              </w:rPr>
            </w:pPr>
          </w:p>
          <w:p w:rsidR="00882392" w:rsidRDefault="00882392" w:rsidP="00882392">
            <w:pPr>
              <w:spacing w:after="0" w:line="240" w:lineRule="auto"/>
              <w:rPr>
                <w:sz w:val="24"/>
                <w:szCs w:val="24"/>
              </w:rPr>
            </w:pPr>
          </w:p>
          <w:p w:rsidR="00882392" w:rsidRDefault="00882392" w:rsidP="00882392">
            <w:pPr>
              <w:spacing w:after="0" w:line="240" w:lineRule="auto"/>
              <w:rPr>
                <w:sz w:val="24"/>
                <w:szCs w:val="24"/>
              </w:rPr>
            </w:pPr>
          </w:p>
          <w:p w:rsidR="00882392" w:rsidRDefault="00882392" w:rsidP="00882392">
            <w:pPr>
              <w:spacing w:after="0" w:line="240" w:lineRule="auto"/>
              <w:rPr>
                <w:sz w:val="24"/>
                <w:szCs w:val="24"/>
              </w:rPr>
            </w:pPr>
          </w:p>
          <w:p w:rsidR="00882392" w:rsidRDefault="00882392" w:rsidP="00882392">
            <w:pPr>
              <w:spacing w:after="0" w:line="240" w:lineRule="auto"/>
              <w:rPr>
                <w:sz w:val="24"/>
                <w:szCs w:val="24"/>
              </w:rPr>
            </w:pPr>
          </w:p>
        </w:tc>
        <w:tc>
          <w:tcPr>
            <w:tcW w:w="5490" w:type="dxa"/>
            <w:tcBorders>
              <w:top w:val="single" w:sz="5" w:space="0" w:color="000000"/>
              <w:left w:val="single" w:sz="5" w:space="0" w:color="000000"/>
              <w:bottom w:val="single" w:sz="5" w:space="0" w:color="000000"/>
              <w:right w:val="single" w:sz="5" w:space="0" w:color="000000"/>
            </w:tcBorders>
          </w:tcPr>
          <w:p w:rsidR="00882392" w:rsidRDefault="00882392" w:rsidP="00882392">
            <w:pPr>
              <w:spacing w:after="0" w:line="240" w:lineRule="auto"/>
              <w:jc w:val="center"/>
              <w:rPr>
                <w:sz w:val="24"/>
                <w:szCs w:val="24"/>
              </w:rPr>
            </w:pPr>
          </w:p>
          <w:p w:rsidR="00882392" w:rsidRDefault="00882392" w:rsidP="00882392">
            <w:pPr>
              <w:spacing w:after="0" w:line="240" w:lineRule="auto"/>
              <w:jc w:val="center"/>
              <w:rPr>
                <w:sz w:val="24"/>
                <w:szCs w:val="24"/>
              </w:rPr>
            </w:pPr>
          </w:p>
          <w:p w:rsidR="00882392" w:rsidRDefault="00882392" w:rsidP="00882392">
            <w:pPr>
              <w:spacing w:after="0" w:line="240" w:lineRule="auto"/>
              <w:jc w:val="center"/>
              <w:rPr>
                <w:sz w:val="24"/>
                <w:szCs w:val="24"/>
              </w:rPr>
            </w:pPr>
          </w:p>
          <w:p w:rsidR="00882392" w:rsidRDefault="00882392" w:rsidP="00882392">
            <w:pPr>
              <w:spacing w:after="0" w:line="240" w:lineRule="auto"/>
              <w:jc w:val="center"/>
              <w:rPr>
                <w:sz w:val="24"/>
                <w:szCs w:val="24"/>
              </w:rPr>
            </w:pPr>
          </w:p>
          <w:p w:rsidR="00882392" w:rsidRDefault="00882392" w:rsidP="00882392">
            <w:pPr>
              <w:spacing w:after="0" w:line="240" w:lineRule="auto"/>
              <w:jc w:val="center"/>
              <w:rPr>
                <w:sz w:val="24"/>
                <w:szCs w:val="24"/>
              </w:rPr>
            </w:pPr>
          </w:p>
          <w:p w:rsidR="00882392" w:rsidRDefault="00882392" w:rsidP="00882392">
            <w:pPr>
              <w:spacing w:after="0" w:line="240" w:lineRule="auto"/>
              <w:jc w:val="center"/>
              <w:rPr>
                <w:sz w:val="24"/>
                <w:szCs w:val="24"/>
              </w:rPr>
            </w:pPr>
          </w:p>
        </w:tc>
        <w:tc>
          <w:tcPr>
            <w:tcW w:w="1530" w:type="dxa"/>
            <w:tcBorders>
              <w:top w:val="single" w:sz="5" w:space="0" w:color="000000"/>
              <w:left w:val="single" w:sz="5" w:space="0" w:color="000000"/>
              <w:bottom w:val="single" w:sz="5" w:space="0" w:color="000000"/>
              <w:right w:val="single" w:sz="5" w:space="0" w:color="000000"/>
            </w:tcBorders>
          </w:tcPr>
          <w:p w:rsidR="00882392" w:rsidRDefault="00882392" w:rsidP="00882392">
            <w:pPr>
              <w:spacing w:after="0" w:line="240" w:lineRule="auto"/>
              <w:jc w:val="center"/>
              <w:rPr>
                <w:sz w:val="24"/>
                <w:szCs w:val="24"/>
              </w:rPr>
            </w:pPr>
          </w:p>
        </w:tc>
      </w:tr>
      <w:tr w:rsidR="00C76DC2" w:rsidRPr="00785A0B" w:rsidTr="00C76DC2">
        <w:trPr>
          <w:trHeight w:hRule="exact" w:val="750"/>
        </w:trPr>
        <w:tc>
          <w:tcPr>
            <w:tcW w:w="27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C76DC2" w:rsidRDefault="009B38F7" w:rsidP="00C76DC2">
            <w:pPr>
              <w:spacing w:after="0" w:line="240" w:lineRule="auto"/>
              <w:jc w:val="center"/>
              <w:rPr>
                <w:sz w:val="24"/>
                <w:szCs w:val="24"/>
              </w:rPr>
            </w:pPr>
            <w:r>
              <w:rPr>
                <w:sz w:val="24"/>
                <w:szCs w:val="24"/>
              </w:rPr>
              <w:t xml:space="preserve">Other </w:t>
            </w:r>
            <w:r w:rsidR="00C76DC2">
              <w:rPr>
                <w:sz w:val="24"/>
                <w:szCs w:val="24"/>
              </w:rPr>
              <w:t>Indirect costs</w:t>
            </w:r>
          </w:p>
        </w:tc>
        <w:tc>
          <w:tcPr>
            <w:tcW w:w="549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C76DC2" w:rsidRDefault="00C76DC2" w:rsidP="00C76DC2">
            <w:pPr>
              <w:spacing w:after="0" w:line="240" w:lineRule="auto"/>
              <w:jc w:val="center"/>
              <w:rPr>
                <w:sz w:val="24"/>
                <w:szCs w:val="24"/>
              </w:rPr>
            </w:pPr>
            <w:r>
              <w:rPr>
                <w:sz w:val="24"/>
                <w:szCs w:val="24"/>
              </w:rPr>
              <w:t>Description</w:t>
            </w:r>
          </w:p>
        </w:tc>
        <w:tc>
          <w:tcPr>
            <w:tcW w:w="153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C76DC2" w:rsidRDefault="00C76DC2" w:rsidP="00C76DC2">
            <w:pPr>
              <w:spacing w:after="0" w:line="240" w:lineRule="auto"/>
              <w:jc w:val="center"/>
              <w:rPr>
                <w:sz w:val="24"/>
                <w:szCs w:val="24"/>
              </w:rPr>
            </w:pPr>
            <w:r>
              <w:rPr>
                <w:sz w:val="24"/>
                <w:szCs w:val="24"/>
              </w:rPr>
              <w:t>Amount</w:t>
            </w:r>
          </w:p>
        </w:tc>
      </w:tr>
      <w:tr w:rsidR="00C76DC2" w:rsidRPr="00785A0B" w:rsidTr="00882392">
        <w:trPr>
          <w:trHeight w:hRule="exact" w:val="4152"/>
        </w:trPr>
        <w:tc>
          <w:tcPr>
            <w:tcW w:w="2700" w:type="dxa"/>
            <w:tcBorders>
              <w:top w:val="single" w:sz="5" w:space="0" w:color="000000"/>
              <w:left w:val="single" w:sz="5" w:space="0" w:color="000000"/>
              <w:bottom w:val="single" w:sz="5" w:space="0" w:color="000000"/>
              <w:right w:val="single" w:sz="5" w:space="0" w:color="000000"/>
            </w:tcBorders>
          </w:tcPr>
          <w:p w:rsidR="00C76DC2" w:rsidRDefault="00C76DC2" w:rsidP="00C76DC2">
            <w:pPr>
              <w:spacing w:after="0" w:line="240" w:lineRule="auto"/>
              <w:rPr>
                <w:sz w:val="24"/>
                <w:szCs w:val="24"/>
              </w:rPr>
            </w:pPr>
          </w:p>
        </w:tc>
        <w:tc>
          <w:tcPr>
            <w:tcW w:w="5490" w:type="dxa"/>
            <w:tcBorders>
              <w:top w:val="single" w:sz="5" w:space="0" w:color="000000"/>
              <w:left w:val="single" w:sz="5" w:space="0" w:color="000000"/>
              <w:bottom w:val="single" w:sz="5" w:space="0" w:color="000000"/>
              <w:right w:val="single" w:sz="5" w:space="0" w:color="000000"/>
            </w:tcBorders>
          </w:tcPr>
          <w:p w:rsidR="00C76DC2" w:rsidRDefault="00C76DC2" w:rsidP="00C76DC2">
            <w:pPr>
              <w:spacing w:after="0" w:line="240" w:lineRule="auto"/>
              <w:jc w:val="center"/>
              <w:rPr>
                <w:sz w:val="24"/>
                <w:szCs w:val="24"/>
              </w:rPr>
            </w:pPr>
          </w:p>
        </w:tc>
        <w:tc>
          <w:tcPr>
            <w:tcW w:w="1530" w:type="dxa"/>
            <w:tcBorders>
              <w:top w:val="single" w:sz="5" w:space="0" w:color="000000"/>
              <w:left w:val="single" w:sz="5" w:space="0" w:color="000000"/>
              <w:bottom w:val="single" w:sz="5" w:space="0" w:color="000000"/>
              <w:right w:val="single" w:sz="5" w:space="0" w:color="000000"/>
            </w:tcBorders>
          </w:tcPr>
          <w:p w:rsidR="00C76DC2" w:rsidRDefault="00C76DC2" w:rsidP="00C76DC2">
            <w:pPr>
              <w:spacing w:after="0" w:line="240" w:lineRule="auto"/>
              <w:jc w:val="center"/>
              <w:rPr>
                <w:sz w:val="24"/>
                <w:szCs w:val="24"/>
              </w:rPr>
            </w:pPr>
          </w:p>
        </w:tc>
      </w:tr>
      <w:tr w:rsidR="009B38F7" w:rsidRPr="00785A0B" w:rsidTr="009B38F7">
        <w:trPr>
          <w:trHeight w:hRule="exact" w:val="714"/>
        </w:trPr>
        <w:tc>
          <w:tcPr>
            <w:tcW w:w="27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9B38F7" w:rsidRDefault="009B38F7" w:rsidP="00C76DC2">
            <w:pPr>
              <w:spacing w:after="0" w:line="240" w:lineRule="auto"/>
              <w:rPr>
                <w:sz w:val="24"/>
                <w:szCs w:val="24"/>
              </w:rPr>
            </w:pPr>
            <w:r>
              <w:rPr>
                <w:sz w:val="24"/>
                <w:szCs w:val="24"/>
              </w:rPr>
              <w:t>Total Expenses/investments</w:t>
            </w:r>
          </w:p>
        </w:tc>
        <w:tc>
          <w:tcPr>
            <w:tcW w:w="549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9B38F7" w:rsidRDefault="009B38F7" w:rsidP="00C76DC2">
            <w:pPr>
              <w:spacing w:after="0" w:line="240" w:lineRule="auto"/>
              <w:jc w:val="center"/>
              <w:rPr>
                <w:sz w:val="24"/>
                <w:szCs w:val="24"/>
              </w:rPr>
            </w:pPr>
          </w:p>
        </w:tc>
        <w:tc>
          <w:tcPr>
            <w:tcW w:w="153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9B38F7" w:rsidRDefault="009B38F7" w:rsidP="00C76DC2">
            <w:pPr>
              <w:spacing w:after="0" w:line="240" w:lineRule="auto"/>
              <w:jc w:val="center"/>
              <w:rPr>
                <w:sz w:val="24"/>
                <w:szCs w:val="24"/>
              </w:rPr>
            </w:pPr>
          </w:p>
        </w:tc>
      </w:tr>
    </w:tbl>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882392" w:rsidRDefault="00882392" w:rsidP="00087E2C">
      <w:pPr>
        <w:spacing w:after="0" w:line="240" w:lineRule="auto"/>
        <w:rPr>
          <w:sz w:val="24"/>
          <w:szCs w:val="24"/>
        </w:rPr>
      </w:pPr>
    </w:p>
    <w:p w:rsidR="00BA3620" w:rsidRDefault="00BA3620" w:rsidP="00087E2C">
      <w:pPr>
        <w:spacing w:after="0" w:line="240" w:lineRule="auto"/>
        <w:rPr>
          <w:sz w:val="24"/>
          <w:szCs w:val="24"/>
        </w:rPr>
      </w:pPr>
    </w:p>
    <w:p w:rsidR="00BA3620" w:rsidRDefault="00BA3620" w:rsidP="00087E2C">
      <w:pPr>
        <w:spacing w:after="0" w:line="240" w:lineRule="auto"/>
        <w:rPr>
          <w:sz w:val="24"/>
          <w:szCs w:val="24"/>
        </w:rPr>
      </w:pPr>
    </w:p>
    <w:p w:rsidR="00BA3620" w:rsidRDefault="00BA3620">
      <w:pPr>
        <w:rPr>
          <w:sz w:val="24"/>
          <w:szCs w:val="24"/>
        </w:rPr>
      </w:pPr>
      <w:r>
        <w:rPr>
          <w:sz w:val="24"/>
          <w:szCs w:val="24"/>
        </w:rPr>
        <w:br w:type="page"/>
      </w:r>
    </w:p>
    <w:p w:rsidR="00BA3620" w:rsidRDefault="00BA3620" w:rsidP="00BA3620">
      <w:pPr>
        <w:spacing w:after="0" w:line="240" w:lineRule="auto"/>
        <w:rPr>
          <w:b/>
          <w:color w:val="365F91" w:themeColor="accent1" w:themeShade="BF"/>
          <w:sz w:val="28"/>
          <w:szCs w:val="28"/>
        </w:rPr>
      </w:pPr>
      <w:r w:rsidRPr="00BA3620">
        <w:rPr>
          <w:b/>
          <w:color w:val="365F91" w:themeColor="accent1" w:themeShade="BF"/>
          <w:sz w:val="28"/>
          <w:szCs w:val="28"/>
        </w:rPr>
        <w:lastRenderedPageBreak/>
        <w:t xml:space="preserve">Appendix </w:t>
      </w:r>
      <w:r w:rsidR="000656C6">
        <w:rPr>
          <w:b/>
          <w:color w:val="365F91" w:themeColor="accent1" w:themeShade="BF"/>
          <w:sz w:val="28"/>
          <w:szCs w:val="28"/>
        </w:rPr>
        <w:t>E</w:t>
      </w:r>
    </w:p>
    <w:p w:rsidR="00F116EF" w:rsidRPr="002A6EB4" w:rsidRDefault="00F116EF" w:rsidP="00F116EF">
      <w:pPr>
        <w:rPr>
          <w:rFonts w:asciiTheme="majorHAnsi" w:hAnsiTheme="majorHAnsi"/>
          <w:b/>
        </w:rPr>
      </w:pPr>
      <w:r w:rsidRPr="002A6EB4">
        <w:rPr>
          <w:rFonts w:asciiTheme="majorHAnsi" w:hAnsiTheme="majorHAnsi"/>
          <w:b/>
        </w:rPr>
        <w:t>Summary of Support for Care Coordination Investment</w:t>
      </w:r>
    </w:p>
    <w:p w:rsidR="00F116EF" w:rsidRPr="002A6EB4" w:rsidRDefault="00F116EF" w:rsidP="00F116EF">
      <w:pPr>
        <w:rPr>
          <w:rFonts w:asciiTheme="majorHAnsi" w:hAnsiTheme="majorHAnsi"/>
        </w:rPr>
      </w:pPr>
      <w:r>
        <w:rPr>
          <w:rFonts w:asciiTheme="majorHAnsi" w:hAnsiTheme="majorHAnsi"/>
        </w:rPr>
        <w:t>In Fiscal Years 2014 and 2015,</w:t>
      </w:r>
      <w:r w:rsidRPr="002A6EB4">
        <w:rPr>
          <w:rFonts w:asciiTheme="majorHAnsi" w:hAnsiTheme="majorHAnsi"/>
        </w:rPr>
        <w:t xml:space="preserve"> the Commission, recognizing the need for seed funding to invest in best practices to improve care coordination activities, increased </w:t>
      </w:r>
      <w:r>
        <w:rPr>
          <w:rFonts w:asciiTheme="majorHAnsi" w:hAnsiTheme="majorHAnsi"/>
        </w:rPr>
        <w:t xml:space="preserve">most GBR </w:t>
      </w:r>
      <w:r w:rsidRPr="002A6EB4">
        <w:rPr>
          <w:rFonts w:asciiTheme="majorHAnsi" w:hAnsiTheme="majorHAnsi"/>
        </w:rPr>
        <w:t>hospital</w:t>
      </w:r>
      <w:r>
        <w:rPr>
          <w:rFonts w:asciiTheme="majorHAnsi" w:hAnsiTheme="majorHAnsi"/>
        </w:rPr>
        <w:t>'s</w:t>
      </w:r>
      <w:r w:rsidRPr="002A6EB4">
        <w:rPr>
          <w:rFonts w:asciiTheme="majorHAnsi" w:hAnsiTheme="majorHAnsi"/>
        </w:rPr>
        <w:t xml:space="preserve"> rate</w:t>
      </w:r>
      <w:r>
        <w:rPr>
          <w:rFonts w:asciiTheme="majorHAnsi" w:hAnsiTheme="majorHAnsi"/>
        </w:rPr>
        <w:t>s</w:t>
      </w:r>
      <w:r w:rsidRPr="002A6EB4">
        <w:rPr>
          <w:rFonts w:asciiTheme="majorHAnsi" w:hAnsiTheme="majorHAnsi"/>
        </w:rPr>
        <w:t xml:space="preserve"> by</w:t>
      </w:r>
      <w:r>
        <w:rPr>
          <w:rFonts w:asciiTheme="majorHAnsi" w:hAnsiTheme="majorHAnsi"/>
        </w:rPr>
        <w:t xml:space="preserve"> a total of </w:t>
      </w:r>
      <w:r w:rsidRPr="002A6EB4">
        <w:rPr>
          <w:rFonts w:asciiTheme="majorHAnsi" w:hAnsiTheme="majorHAnsi"/>
        </w:rPr>
        <w:t>0.65%</w:t>
      </w:r>
      <w:r>
        <w:rPr>
          <w:rFonts w:asciiTheme="majorHAnsi" w:hAnsiTheme="majorHAnsi"/>
        </w:rPr>
        <w:t xml:space="preserve">, </w:t>
      </w:r>
      <w:r w:rsidRPr="002A6EB4">
        <w:rPr>
          <w:rFonts w:asciiTheme="majorHAnsi" w:hAnsiTheme="majorHAnsi"/>
        </w:rPr>
        <w:t>with the intent of it being used to invest in infrastructure that promotes the improvement of care delivery and reductions of potentially avoidable utilization.</w:t>
      </w:r>
      <w:r>
        <w:rPr>
          <w:rFonts w:asciiTheme="majorHAnsi" w:hAnsiTheme="majorHAnsi"/>
        </w:rPr>
        <w:t xml:space="preserve"> This funding was approved by the Commission to support the transformation with the expectation that the real return on investment will occur if projects are focused and well executed. TPR hospitals have been provided even higher levels of funding on a proportional basis</w:t>
      </w:r>
      <w:r w:rsidRPr="002A6EB4">
        <w:rPr>
          <w:rFonts w:asciiTheme="majorHAnsi" w:hAnsiTheme="majorHAnsi"/>
        </w:rPr>
        <w:t>.</w:t>
      </w:r>
      <w:r>
        <w:rPr>
          <w:rFonts w:asciiTheme="majorHAnsi" w:hAnsiTheme="majorHAnsi"/>
        </w:rPr>
        <w:t xml:space="preserve"> On</w:t>
      </w:r>
      <w:r w:rsidRPr="002A6EB4">
        <w:rPr>
          <w:rFonts w:asciiTheme="majorHAnsi" w:hAnsiTheme="majorHAnsi"/>
        </w:rPr>
        <w:t xml:space="preserve"> September 30, 2015, </w:t>
      </w:r>
      <w:r>
        <w:rPr>
          <w:rFonts w:asciiTheme="majorHAnsi" w:hAnsiTheme="majorHAnsi"/>
        </w:rPr>
        <w:t xml:space="preserve">all </w:t>
      </w:r>
      <w:r w:rsidRPr="002A6EB4">
        <w:rPr>
          <w:rFonts w:asciiTheme="majorHAnsi" w:hAnsiTheme="majorHAnsi"/>
        </w:rPr>
        <w:t xml:space="preserve">hospitals are required to </w:t>
      </w:r>
      <w:r>
        <w:rPr>
          <w:rFonts w:asciiTheme="majorHAnsi" w:hAnsiTheme="majorHAnsi"/>
        </w:rPr>
        <w:t>submit a GBR Investment R</w:t>
      </w:r>
      <w:r w:rsidRPr="002A6EB4">
        <w:rPr>
          <w:rFonts w:asciiTheme="majorHAnsi" w:hAnsiTheme="majorHAnsi"/>
        </w:rPr>
        <w:t xml:space="preserve">eport to HSCRC on the amounts and types of investments </w:t>
      </w:r>
      <w:r>
        <w:rPr>
          <w:rFonts w:asciiTheme="majorHAnsi" w:hAnsiTheme="majorHAnsi"/>
        </w:rPr>
        <w:t xml:space="preserve">they have made and will make </w:t>
      </w:r>
      <w:r w:rsidRPr="002A6EB4">
        <w:rPr>
          <w:rFonts w:asciiTheme="majorHAnsi" w:hAnsiTheme="majorHAnsi"/>
        </w:rPr>
        <w:t>to improve population health, and how effective these investments are in reducing potentially avoidable utilization and improving population health.</w:t>
      </w:r>
      <w:r>
        <w:rPr>
          <w:rFonts w:asciiTheme="majorHAnsi" w:hAnsiTheme="majorHAnsi"/>
        </w:rPr>
        <w:t xml:space="preserve"> </w:t>
      </w:r>
    </w:p>
    <w:p w:rsidR="00F116EF" w:rsidRPr="00961355" w:rsidRDefault="00F116EF" w:rsidP="00961355">
      <w:pPr>
        <w:pStyle w:val="Default"/>
        <w:spacing w:line="276" w:lineRule="auto"/>
        <w:rPr>
          <w:rFonts w:asciiTheme="majorHAnsi" w:eastAsiaTheme="minorHAnsi" w:hAnsiTheme="majorHAnsi"/>
          <w:sz w:val="22"/>
          <w:szCs w:val="22"/>
        </w:rPr>
      </w:pPr>
      <w:r w:rsidRPr="00961355">
        <w:rPr>
          <w:rFonts w:asciiTheme="majorHAnsi" w:eastAsiaTheme="minorHAnsi" w:hAnsiTheme="majorHAnsi"/>
          <w:sz w:val="22"/>
          <w:szCs w:val="22"/>
        </w:rPr>
        <w:t>In accordance with the provisions of the State Budget Reconciliation and Financing Act of 2014 (BRFA), earlier this year, the Commission increased rates (in FY 2015) effective May 1, 2015 to provide up to $15 million for the purpose of funding the p</w:t>
      </w:r>
      <w:r w:rsidRPr="00961355">
        <w:rPr>
          <w:rFonts w:asciiTheme="majorHAnsi" w:hAnsiTheme="majorHAnsi"/>
          <w:sz w:val="22"/>
          <w:szCs w:val="22"/>
        </w:rPr>
        <w:t>lanning of regional partnerships throughout the State; and statewide infrastructure to support care management, coordination, and planning.</w:t>
      </w:r>
      <w:r w:rsidRPr="00961355">
        <w:rPr>
          <w:rFonts w:asciiTheme="majorHAnsi" w:eastAsiaTheme="minorHAnsi" w:hAnsiTheme="majorHAnsi"/>
          <w:sz w:val="22"/>
          <w:szCs w:val="22"/>
        </w:rPr>
        <w:t xml:space="preserve"> In preparation for this funding, in February 2015, DHMH and HSCRC released an RFP to all hospitals offering funding </w:t>
      </w:r>
      <w:r w:rsidRPr="00961355">
        <w:rPr>
          <w:rFonts w:asciiTheme="majorHAnsi" w:hAnsiTheme="majorHAnsi" w:cs="Calibri"/>
          <w:sz w:val="22"/>
          <w:szCs w:val="22"/>
        </w:rPr>
        <w:t xml:space="preserve">to support the planning and development of </w:t>
      </w:r>
      <w:r w:rsidRPr="00961355">
        <w:rPr>
          <w:rFonts w:asciiTheme="majorHAnsi" w:hAnsiTheme="majorHAnsi" w:cs="Calibri"/>
          <w:i/>
          <w:iCs/>
          <w:sz w:val="22"/>
          <w:szCs w:val="22"/>
        </w:rPr>
        <w:t>Regional Partnerships for Health System Transformation</w:t>
      </w:r>
      <w:r w:rsidRPr="00961355">
        <w:rPr>
          <w:rFonts w:asciiTheme="majorHAnsi" w:hAnsiTheme="majorHAnsi" w:cs="Calibri"/>
          <w:sz w:val="22"/>
          <w:szCs w:val="22"/>
        </w:rPr>
        <w:t xml:space="preserve">. </w:t>
      </w:r>
      <w:r w:rsidRPr="00961355">
        <w:rPr>
          <w:rFonts w:asciiTheme="majorHAnsi" w:eastAsiaTheme="minorHAnsi" w:hAnsiTheme="majorHAnsi"/>
          <w:sz w:val="22"/>
          <w:szCs w:val="22"/>
        </w:rPr>
        <w:t xml:space="preserve">A portion of the BRFA funding ($2.5 million) was awarded to hospitals who applied for the funding to </w:t>
      </w:r>
      <w:r w:rsidRPr="00961355">
        <w:rPr>
          <w:rFonts w:asciiTheme="majorHAnsi" w:eastAsiaTheme="majorEastAsia" w:hAnsiTheme="majorHAnsi"/>
          <w:sz w:val="22"/>
          <w:szCs w:val="22"/>
        </w:rPr>
        <w:t xml:space="preserve">support regional planning and development initiatives with key community partners. A multi-stakeholder review committee selected 8 of 11 proposals; funding ranged from $200,000 to $400,000. Those grantees are required to submit a final Regional Transformation Plan to DHMH and HSCRC on December </w:t>
      </w:r>
      <w:r w:rsidR="004E614F">
        <w:rPr>
          <w:rFonts w:asciiTheme="majorHAnsi" w:eastAsiaTheme="majorEastAsia" w:hAnsiTheme="majorHAnsi"/>
          <w:sz w:val="22"/>
          <w:szCs w:val="22"/>
        </w:rPr>
        <w:t>21</w:t>
      </w:r>
      <w:r w:rsidRPr="00961355">
        <w:rPr>
          <w:rFonts w:asciiTheme="majorHAnsi" w:eastAsiaTheme="majorEastAsia" w:hAnsiTheme="majorHAnsi"/>
          <w:sz w:val="22"/>
          <w:szCs w:val="22"/>
        </w:rPr>
        <w:t xml:space="preserve">, 2015. </w:t>
      </w:r>
    </w:p>
    <w:p w:rsidR="00961355" w:rsidRDefault="00961355" w:rsidP="00F116EF">
      <w:pPr>
        <w:rPr>
          <w:rFonts w:asciiTheme="majorHAnsi" w:hAnsiTheme="majorHAnsi"/>
        </w:rPr>
      </w:pPr>
    </w:p>
    <w:p w:rsidR="00F116EF" w:rsidRDefault="00F116EF" w:rsidP="00F116EF">
      <w:pPr>
        <w:rPr>
          <w:rFonts w:asciiTheme="majorHAnsi" w:hAnsiTheme="majorHAnsi"/>
        </w:rPr>
      </w:pPr>
      <w:r w:rsidRPr="00961355">
        <w:rPr>
          <w:rFonts w:asciiTheme="majorHAnsi" w:hAnsiTheme="majorHAnsi"/>
        </w:rPr>
        <w:t xml:space="preserve">During its June 2015 public meeting, the Commission approved additional increases to the global budgets of GBR hospitals for FY 2016 to continue successful investments in infrastructure. All global budgets of GBR hospitals will receive an increase of 0.4% for infrastructure investments. Separately, </w:t>
      </w:r>
      <w:r>
        <w:rPr>
          <w:rFonts w:asciiTheme="majorHAnsi" w:hAnsiTheme="majorHAnsi"/>
        </w:rPr>
        <w:t>an additional 0</w:t>
      </w:r>
      <w:r w:rsidRPr="002A6EB4">
        <w:rPr>
          <w:rFonts w:asciiTheme="majorHAnsi" w:hAnsiTheme="majorHAnsi"/>
        </w:rPr>
        <w:t xml:space="preserve">.25% </w:t>
      </w:r>
      <w:r>
        <w:rPr>
          <w:rFonts w:asciiTheme="majorHAnsi" w:hAnsiTheme="majorHAnsi"/>
        </w:rPr>
        <w:t xml:space="preserve">in competitive transformation implementation awards </w:t>
      </w:r>
      <w:r w:rsidRPr="002A6EB4">
        <w:rPr>
          <w:rFonts w:asciiTheme="majorHAnsi" w:hAnsiTheme="majorHAnsi"/>
        </w:rPr>
        <w:t xml:space="preserve">will be available </w:t>
      </w:r>
      <w:r>
        <w:rPr>
          <w:rFonts w:asciiTheme="majorHAnsi" w:hAnsiTheme="majorHAnsi"/>
        </w:rPr>
        <w:t xml:space="preserve">to </w:t>
      </w:r>
      <w:r w:rsidRPr="002A6EB4">
        <w:rPr>
          <w:rFonts w:asciiTheme="majorHAnsi" w:hAnsiTheme="majorHAnsi"/>
        </w:rPr>
        <w:t>hospitals</w:t>
      </w:r>
      <w:r>
        <w:rPr>
          <w:rFonts w:asciiTheme="majorHAnsi" w:hAnsiTheme="majorHAnsi"/>
        </w:rPr>
        <w:t xml:space="preserve">, working in collaboration with other hospitals, physicians, post-acute providers and other community based providers. Hospitals interested in applying will be required to submit </w:t>
      </w:r>
      <w:r w:rsidRPr="002A6EB4">
        <w:rPr>
          <w:rFonts w:asciiTheme="majorHAnsi" w:hAnsiTheme="majorHAnsi"/>
        </w:rPr>
        <w:t xml:space="preserve">proposals </w:t>
      </w:r>
      <w:r>
        <w:rPr>
          <w:rFonts w:asciiTheme="majorHAnsi" w:hAnsiTheme="majorHAnsi"/>
        </w:rPr>
        <w:t>describing how they will use these additional</w:t>
      </w:r>
      <w:r w:rsidRPr="002A6EB4">
        <w:rPr>
          <w:rFonts w:asciiTheme="majorHAnsi" w:hAnsiTheme="majorHAnsi"/>
        </w:rPr>
        <w:t xml:space="preserve"> funds for implementation of </w:t>
      </w:r>
      <w:r>
        <w:rPr>
          <w:rFonts w:asciiTheme="majorHAnsi" w:hAnsiTheme="majorHAnsi"/>
        </w:rPr>
        <w:t xml:space="preserve">developed </w:t>
      </w:r>
      <w:r w:rsidRPr="002A6EB4">
        <w:rPr>
          <w:rFonts w:asciiTheme="majorHAnsi" w:hAnsiTheme="majorHAnsi"/>
        </w:rPr>
        <w:t>strategies to improve care coordination and population health</w:t>
      </w:r>
      <w:r>
        <w:rPr>
          <w:rFonts w:asciiTheme="majorHAnsi" w:hAnsiTheme="majorHAnsi"/>
        </w:rPr>
        <w:t xml:space="preserve">. </w:t>
      </w:r>
      <w:r w:rsidRPr="002A6EB4">
        <w:rPr>
          <w:rFonts w:asciiTheme="majorHAnsi" w:hAnsiTheme="majorHAnsi"/>
        </w:rPr>
        <w:t xml:space="preserve">The Commission </w:t>
      </w:r>
      <w:r>
        <w:rPr>
          <w:rFonts w:asciiTheme="majorHAnsi" w:hAnsiTheme="majorHAnsi"/>
        </w:rPr>
        <w:t>is</w:t>
      </w:r>
      <w:r w:rsidRPr="002A6EB4">
        <w:rPr>
          <w:rFonts w:asciiTheme="majorHAnsi" w:hAnsiTheme="majorHAnsi"/>
        </w:rPr>
        <w:t xml:space="preserve"> releas</w:t>
      </w:r>
      <w:r>
        <w:rPr>
          <w:rFonts w:asciiTheme="majorHAnsi" w:hAnsiTheme="majorHAnsi"/>
        </w:rPr>
        <w:t>ing</w:t>
      </w:r>
      <w:r w:rsidRPr="002A6EB4">
        <w:rPr>
          <w:rFonts w:asciiTheme="majorHAnsi" w:hAnsiTheme="majorHAnsi"/>
        </w:rPr>
        <w:t xml:space="preserve"> a Request for Propos</w:t>
      </w:r>
      <w:r>
        <w:rPr>
          <w:rFonts w:asciiTheme="majorHAnsi" w:hAnsiTheme="majorHAnsi"/>
        </w:rPr>
        <w:t xml:space="preserve">als (RFP) and </w:t>
      </w:r>
      <w:r w:rsidRPr="002A6EB4">
        <w:rPr>
          <w:rFonts w:asciiTheme="majorHAnsi" w:hAnsiTheme="majorHAnsi"/>
        </w:rPr>
        <w:t xml:space="preserve">proposals will be </w:t>
      </w:r>
      <w:r>
        <w:rPr>
          <w:rFonts w:asciiTheme="majorHAnsi" w:hAnsiTheme="majorHAnsi"/>
        </w:rPr>
        <w:t>due</w:t>
      </w:r>
      <w:r w:rsidRPr="002A6EB4">
        <w:rPr>
          <w:rFonts w:asciiTheme="majorHAnsi" w:hAnsiTheme="majorHAnsi"/>
        </w:rPr>
        <w:t xml:space="preserve"> </w:t>
      </w:r>
      <w:r>
        <w:rPr>
          <w:rFonts w:asciiTheme="majorHAnsi" w:hAnsiTheme="majorHAnsi"/>
        </w:rPr>
        <w:t xml:space="preserve">on </w:t>
      </w:r>
      <w:r w:rsidRPr="002A6EB4">
        <w:rPr>
          <w:rFonts w:asciiTheme="majorHAnsi" w:hAnsiTheme="majorHAnsi"/>
        </w:rPr>
        <w:t>December</w:t>
      </w:r>
      <w:r>
        <w:rPr>
          <w:rFonts w:asciiTheme="majorHAnsi" w:hAnsiTheme="majorHAnsi"/>
        </w:rPr>
        <w:t xml:space="preserve"> </w:t>
      </w:r>
      <w:r w:rsidR="00661411">
        <w:rPr>
          <w:rFonts w:asciiTheme="majorHAnsi" w:hAnsiTheme="majorHAnsi"/>
        </w:rPr>
        <w:t>21</w:t>
      </w:r>
      <w:r>
        <w:rPr>
          <w:rFonts w:asciiTheme="majorHAnsi" w:hAnsiTheme="majorHAnsi"/>
        </w:rPr>
        <w:t>,</w:t>
      </w:r>
      <w:r w:rsidRPr="002A6EB4">
        <w:rPr>
          <w:rFonts w:asciiTheme="majorHAnsi" w:hAnsiTheme="majorHAnsi"/>
        </w:rPr>
        <w:t xml:space="preserve"> 2015.</w:t>
      </w:r>
      <w:r>
        <w:rPr>
          <w:rFonts w:asciiTheme="majorHAnsi" w:hAnsiTheme="majorHAnsi"/>
        </w:rPr>
        <w:t xml:space="preserve"> </w:t>
      </w:r>
    </w:p>
    <w:p w:rsidR="00961355" w:rsidRDefault="00F116EF" w:rsidP="00961355">
      <w:pPr>
        <w:rPr>
          <w:rFonts w:asciiTheme="majorHAnsi" w:hAnsiTheme="majorHAnsi"/>
        </w:rPr>
      </w:pPr>
      <w:r w:rsidRPr="002A6EB4">
        <w:rPr>
          <w:rFonts w:asciiTheme="majorHAnsi" w:hAnsiTheme="majorHAnsi"/>
        </w:rPr>
        <w:t xml:space="preserve">The Commission also approved a recommendation that will require all hospitals to submit multi-year strategic plans for improving care coordination, chronic care, and provider alignment. These plans will be due on December </w:t>
      </w:r>
      <w:r>
        <w:rPr>
          <w:rFonts w:asciiTheme="majorHAnsi" w:hAnsiTheme="majorHAnsi"/>
        </w:rPr>
        <w:t>7</w:t>
      </w:r>
      <w:r w:rsidRPr="002A6EB4">
        <w:rPr>
          <w:rFonts w:asciiTheme="majorHAnsi" w:hAnsiTheme="majorHAnsi"/>
        </w:rPr>
        <w:t>, 2015.</w:t>
      </w:r>
      <w:r>
        <w:rPr>
          <w:rFonts w:asciiTheme="majorHAnsi" w:hAnsiTheme="majorHAnsi"/>
        </w:rPr>
        <w:t xml:space="preserve"> The strategic plan should draw from the other required reports and demonstrate how strategies are aligned. All hospitals will be required to submit their own strategic plan; however, in areas where hospitals are working with one another through a Regional Partnership or other collaborations, they should reference their Regional Partnership Transformation Plan. </w:t>
      </w:r>
    </w:p>
    <w:p w:rsidR="00961355" w:rsidRDefault="00661411" w:rsidP="00961355">
      <w:pPr>
        <w:jc w:val="both"/>
        <w:rPr>
          <w:rFonts w:asciiTheme="majorHAnsi" w:hAnsiTheme="majorHAnsi"/>
        </w:rPr>
      </w:pPr>
      <w:r w:rsidRPr="00661411">
        <w:rPr>
          <w:rFonts w:asciiTheme="majorHAnsi" w:hAnsiTheme="majorHAnsi"/>
        </w:rPr>
        <w:lastRenderedPageBreak/>
        <w:drawing>
          <wp:inline distT="0" distB="0" distL="0" distR="0" wp14:anchorId="7BAC4AD7" wp14:editId="3567874F">
            <wp:extent cx="6027420" cy="3909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28273" cy="3909613"/>
                    </a:xfrm>
                    <a:prstGeom prst="rect">
                      <a:avLst/>
                    </a:prstGeom>
                  </pic:spPr>
                </pic:pic>
              </a:graphicData>
            </a:graphic>
          </wp:inline>
        </w:drawing>
      </w:r>
    </w:p>
    <w:p w:rsidR="00961355" w:rsidRDefault="00961355" w:rsidP="00961355">
      <w:pPr>
        <w:rPr>
          <w:rFonts w:asciiTheme="majorHAnsi" w:hAnsiTheme="majorHAnsi"/>
        </w:rPr>
      </w:pPr>
      <w:r>
        <w:rPr>
          <w:rFonts w:asciiTheme="majorHAnsi" w:hAnsiTheme="majorHAnsi"/>
          <w:b/>
        </w:rPr>
        <w:t xml:space="preserve">Summary of </w:t>
      </w:r>
      <w:r w:rsidRPr="00AF01A0">
        <w:rPr>
          <w:rFonts w:asciiTheme="majorHAnsi" w:hAnsiTheme="majorHAnsi"/>
          <w:b/>
        </w:rPr>
        <w:t>H</w:t>
      </w:r>
      <w:r>
        <w:rPr>
          <w:rFonts w:asciiTheme="majorHAnsi" w:hAnsiTheme="majorHAnsi"/>
          <w:b/>
        </w:rPr>
        <w:t>SCRC Required R</w:t>
      </w:r>
      <w:r w:rsidRPr="00AF01A0">
        <w:rPr>
          <w:rFonts w:asciiTheme="majorHAnsi" w:hAnsiTheme="majorHAnsi"/>
          <w:b/>
        </w:rPr>
        <w:t>eports:</w:t>
      </w:r>
    </w:p>
    <w:tbl>
      <w:tblPr>
        <w:tblW w:w="10106" w:type="dxa"/>
        <w:tblLayout w:type="fixed"/>
        <w:tblCellMar>
          <w:left w:w="0" w:type="dxa"/>
          <w:right w:w="0" w:type="dxa"/>
        </w:tblCellMar>
        <w:tblLook w:val="0420" w:firstRow="1" w:lastRow="0" w:firstColumn="0" w:lastColumn="0" w:noHBand="0" w:noVBand="1"/>
      </w:tblPr>
      <w:tblGrid>
        <w:gridCol w:w="1970"/>
        <w:gridCol w:w="2147"/>
        <w:gridCol w:w="1559"/>
        <w:gridCol w:w="2018"/>
        <w:gridCol w:w="2412"/>
      </w:tblGrid>
      <w:tr w:rsidR="00961355" w:rsidRPr="00AF01A0" w:rsidTr="00D34B31">
        <w:trPr>
          <w:trHeight w:val="320"/>
        </w:trPr>
        <w:tc>
          <w:tcPr>
            <w:tcW w:w="1970" w:type="dxa"/>
            <w:tcBorders>
              <w:top w:val="single" w:sz="8" w:space="0" w:color="FFFFFF"/>
              <w:left w:val="single" w:sz="8" w:space="0" w:color="FFFFFF"/>
              <w:bottom w:val="single" w:sz="24" w:space="0" w:color="FFFFFF"/>
              <w:right w:val="single" w:sz="8" w:space="0" w:color="FFFFFF"/>
            </w:tcBorders>
            <w:shd w:val="clear" w:color="auto" w:fill="2F559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FFFFFF" w:themeColor="light1"/>
                <w:kern w:val="24"/>
                <w:sz w:val="22"/>
                <w:szCs w:val="22"/>
              </w:rPr>
              <w:t xml:space="preserve">Submission </w:t>
            </w:r>
          </w:p>
        </w:tc>
        <w:tc>
          <w:tcPr>
            <w:tcW w:w="2147" w:type="dxa"/>
            <w:tcBorders>
              <w:top w:val="single" w:sz="8" w:space="0" w:color="FFFFFF"/>
              <w:left w:val="single" w:sz="8" w:space="0" w:color="FFFFFF"/>
              <w:bottom w:val="single" w:sz="24" w:space="0" w:color="FFFFFF"/>
              <w:right w:val="single" w:sz="8" w:space="0" w:color="FFFFFF"/>
            </w:tcBorders>
            <w:shd w:val="clear" w:color="auto" w:fill="2F559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FFFFFF" w:themeColor="light1"/>
                <w:kern w:val="24"/>
                <w:sz w:val="22"/>
                <w:szCs w:val="22"/>
              </w:rPr>
              <w:t xml:space="preserve">Associated Funding </w:t>
            </w:r>
          </w:p>
        </w:tc>
        <w:tc>
          <w:tcPr>
            <w:tcW w:w="1559" w:type="dxa"/>
            <w:tcBorders>
              <w:top w:val="single" w:sz="8" w:space="0" w:color="FFFFFF"/>
              <w:left w:val="single" w:sz="8" w:space="0" w:color="FFFFFF"/>
              <w:bottom w:val="single" w:sz="24" w:space="0" w:color="FFFFFF"/>
              <w:right w:val="single" w:sz="8" w:space="0" w:color="FFFFFF"/>
            </w:tcBorders>
            <w:shd w:val="clear" w:color="auto" w:fill="2F559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FFFFFF" w:themeColor="light1"/>
                <w:kern w:val="24"/>
                <w:sz w:val="22"/>
                <w:szCs w:val="22"/>
              </w:rPr>
              <w:t>Report Due Date</w:t>
            </w:r>
          </w:p>
        </w:tc>
        <w:tc>
          <w:tcPr>
            <w:tcW w:w="2018" w:type="dxa"/>
            <w:tcBorders>
              <w:top w:val="single" w:sz="8" w:space="0" w:color="FFFFFF"/>
              <w:left w:val="single" w:sz="8" w:space="0" w:color="FFFFFF"/>
              <w:bottom w:val="single" w:sz="24" w:space="0" w:color="FFFFFF"/>
              <w:right w:val="single" w:sz="8" w:space="0" w:color="FFFFFF"/>
            </w:tcBorders>
            <w:shd w:val="clear" w:color="auto" w:fill="2F559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b/>
                <w:bCs/>
                <w:color w:val="FFFFFF" w:themeColor="light1"/>
                <w:kern w:val="24"/>
                <w:sz w:val="22"/>
                <w:szCs w:val="22"/>
              </w:rPr>
            </w:pPr>
            <w:r w:rsidRPr="00AF01A0">
              <w:rPr>
                <w:rFonts w:asciiTheme="majorHAnsi" w:hAnsiTheme="majorHAnsi" w:cs="Arial"/>
                <w:b/>
                <w:bCs/>
                <w:color w:val="FFFFFF" w:themeColor="light1"/>
                <w:kern w:val="24"/>
                <w:sz w:val="22"/>
                <w:szCs w:val="22"/>
              </w:rPr>
              <w:t>Requirements/</w:t>
            </w:r>
          </w:p>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FFFFFF" w:themeColor="light1"/>
                <w:kern w:val="24"/>
                <w:sz w:val="22"/>
                <w:szCs w:val="22"/>
              </w:rPr>
              <w:t>Scope</w:t>
            </w:r>
          </w:p>
        </w:tc>
        <w:tc>
          <w:tcPr>
            <w:tcW w:w="2412" w:type="dxa"/>
            <w:tcBorders>
              <w:top w:val="single" w:sz="8" w:space="0" w:color="FFFFFF"/>
              <w:left w:val="single" w:sz="8" w:space="0" w:color="FFFFFF"/>
              <w:bottom w:val="single" w:sz="24" w:space="0" w:color="FFFFFF"/>
              <w:right w:val="single" w:sz="8" w:space="0" w:color="FFFFFF"/>
            </w:tcBorders>
            <w:shd w:val="clear" w:color="auto" w:fill="2F559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FFFFFF" w:themeColor="light1"/>
                <w:kern w:val="24"/>
                <w:sz w:val="22"/>
                <w:szCs w:val="22"/>
              </w:rPr>
              <w:t>Who</w:t>
            </w:r>
          </w:p>
        </w:tc>
      </w:tr>
      <w:tr w:rsidR="00961355" w:rsidRPr="00AF01A0" w:rsidTr="00D34B31">
        <w:trPr>
          <w:trHeight w:val="1320"/>
        </w:trPr>
        <w:tc>
          <w:tcPr>
            <w:tcW w:w="1970"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vAlign w:val="center"/>
          </w:tcPr>
          <w:p w:rsidR="00961355" w:rsidRPr="00AF01A0" w:rsidRDefault="00961355" w:rsidP="00D34B31">
            <w:pPr>
              <w:pStyle w:val="NormalWeb"/>
              <w:spacing w:before="0" w:beforeAutospacing="0" w:after="0" w:afterAutospacing="0"/>
              <w:rPr>
                <w:rFonts w:asciiTheme="majorHAnsi" w:hAnsiTheme="majorHAnsi" w:cs="Arial"/>
                <w:b/>
                <w:bCs/>
                <w:color w:val="262626" w:themeColor="text1" w:themeTint="D9"/>
                <w:kern w:val="24"/>
                <w:sz w:val="22"/>
                <w:szCs w:val="22"/>
              </w:rPr>
            </w:pPr>
            <w:r>
              <w:rPr>
                <w:rFonts w:asciiTheme="majorHAnsi" w:hAnsiTheme="majorHAnsi" w:cs="Arial"/>
                <w:b/>
                <w:bCs/>
                <w:color w:val="262626" w:themeColor="text1" w:themeTint="D9"/>
                <w:kern w:val="24"/>
                <w:sz w:val="22"/>
                <w:szCs w:val="22"/>
              </w:rPr>
              <w:t>Interim</w:t>
            </w:r>
            <w:r w:rsidRPr="00AF01A0">
              <w:rPr>
                <w:rFonts w:asciiTheme="majorHAnsi" w:hAnsiTheme="majorHAnsi" w:cs="Arial"/>
                <w:b/>
                <w:bCs/>
                <w:color w:val="262626" w:themeColor="text1" w:themeTint="D9"/>
                <w:kern w:val="24"/>
                <w:sz w:val="22"/>
                <w:szCs w:val="22"/>
              </w:rPr>
              <w:t xml:space="preserve"> </w:t>
            </w:r>
            <w:r>
              <w:rPr>
                <w:rFonts w:asciiTheme="majorHAnsi" w:hAnsiTheme="majorHAnsi" w:cs="Arial"/>
                <w:b/>
                <w:bCs/>
                <w:color w:val="262626" w:themeColor="text1" w:themeTint="D9"/>
                <w:kern w:val="24"/>
                <w:sz w:val="22"/>
                <w:szCs w:val="22"/>
              </w:rPr>
              <w:t xml:space="preserve">Regional Transformation </w:t>
            </w:r>
            <w:r w:rsidRPr="00AF01A0">
              <w:rPr>
                <w:rFonts w:asciiTheme="majorHAnsi" w:hAnsiTheme="majorHAnsi" w:cs="Arial"/>
                <w:b/>
                <w:bCs/>
                <w:color w:val="262626" w:themeColor="text1" w:themeTint="D9"/>
                <w:kern w:val="24"/>
                <w:sz w:val="22"/>
                <w:szCs w:val="22"/>
              </w:rPr>
              <w:t>Report from Regional Partnerships</w:t>
            </w:r>
          </w:p>
        </w:tc>
        <w:tc>
          <w:tcPr>
            <w:tcW w:w="2147"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vAlign w:val="center"/>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 xml:space="preserve">$2.5 million </w:t>
            </w:r>
          </w:p>
          <w:p w:rsidR="00961355" w:rsidRPr="00AF01A0" w:rsidRDefault="00961355" w:rsidP="00D34B31">
            <w:pPr>
              <w:pStyle w:val="NormalWeb"/>
              <w:spacing w:before="0" w:beforeAutospacing="0" w:after="0" w:afterAutospacing="0"/>
              <w:rPr>
                <w:rFonts w:asciiTheme="majorHAnsi" w:hAnsiTheme="majorHAnsi" w:cs="Arial"/>
                <w:color w:val="000000" w:themeColor="dark1"/>
                <w:kern w:val="24"/>
                <w:sz w:val="22"/>
                <w:szCs w:val="22"/>
              </w:rPr>
            </w:pPr>
            <w:r w:rsidRPr="00AF01A0">
              <w:rPr>
                <w:rFonts w:asciiTheme="majorHAnsi" w:hAnsiTheme="majorHAnsi" w:cs="Arial"/>
                <w:color w:val="000000" w:themeColor="dark1"/>
                <w:kern w:val="24"/>
                <w:sz w:val="22"/>
                <w:szCs w:val="22"/>
              </w:rPr>
              <w:t>(BRFA funding)</w:t>
            </w:r>
          </w:p>
        </w:tc>
        <w:tc>
          <w:tcPr>
            <w:tcW w:w="1559"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vAlign w:val="center"/>
          </w:tcPr>
          <w:p w:rsidR="00961355" w:rsidRPr="00AF01A0" w:rsidRDefault="00961355" w:rsidP="00D34B31">
            <w:pPr>
              <w:pStyle w:val="NormalWeb"/>
              <w:spacing w:before="0" w:beforeAutospacing="0" w:after="0" w:afterAutospacing="0"/>
              <w:rPr>
                <w:rFonts w:asciiTheme="majorHAnsi" w:hAnsiTheme="majorHAnsi" w:cs="Arial"/>
                <w:color w:val="000000" w:themeColor="dark1"/>
                <w:kern w:val="24"/>
                <w:sz w:val="22"/>
                <w:szCs w:val="22"/>
              </w:rPr>
            </w:pPr>
            <w:r>
              <w:rPr>
                <w:rFonts w:asciiTheme="majorHAnsi" w:hAnsiTheme="majorHAnsi" w:cs="Arial"/>
                <w:color w:val="000000" w:themeColor="dark1"/>
                <w:kern w:val="24"/>
                <w:sz w:val="22"/>
                <w:szCs w:val="22"/>
              </w:rPr>
              <w:t>September 1, 2015</w:t>
            </w:r>
          </w:p>
        </w:tc>
        <w:tc>
          <w:tcPr>
            <w:tcW w:w="2018"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vAlign w:val="center"/>
          </w:tcPr>
          <w:p w:rsidR="00961355" w:rsidRPr="00AF01A0" w:rsidRDefault="00961355" w:rsidP="00D34B31">
            <w:pPr>
              <w:pStyle w:val="NormalWeb"/>
              <w:spacing w:before="0" w:beforeAutospacing="0" w:after="0" w:afterAutospacing="0"/>
              <w:rPr>
                <w:rFonts w:asciiTheme="majorHAnsi" w:hAnsiTheme="majorHAnsi" w:cs="Arial"/>
                <w:color w:val="000000" w:themeColor="dark1"/>
                <w:kern w:val="24"/>
                <w:sz w:val="22"/>
                <w:szCs w:val="22"/>
              </w:rPr>
            </w:pPr>
            <w:r>
              <w:rPr>
                <w:rFonts w:asciiTheme="majorHAnsi" w:hAnsiTheme="majorHAnsi" w:cs="Arial"/>
                <w:color w:val="000000" w:themeColor="dark1"/>
                <w:kern w:val="24"/>
                <w:sz w:val="22"/>
                <w:szCs w:val="22"/>
              </w:rPr>
              <w:t xml:space="preserve">Interim </w:t>
            </w:r>
            <w:r w:rsidRPr="00AF01A0">
              <w:rPr>
                <w:rFonts w:asciiTheme="majorHAnsi" w:hAnsiTheme="majorHAnsi" w:cs="Arial"/>
                <w:color w:val="000000" w:themeColor="dark1"/>
                <w:kern w:val="24"/>
                <w:sz w:val="22"/>
                <w:szCs w:val="22"/>
              </w:rPr>
              <w:t>Regional Transformation Plan Template (draft shared with grantees)</w:t>
            </w:r>
          </w:p>
        </w:tc>
        <w:tc>
          <w:tcPr>
            <w:tcW w:w="2412"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vAlign w:val="center"/>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Regional Partnership Grantees</w:t>
            </w:r>
          </w:p>
          <w:p w:rsidR="00961355" w:rsidRPr="00AF01A0" w:rsidRDefault="00961355" w:rsidP="00D34B31">
            <w:pPr>
              <w:pStyle w:val="NormalWeb"/>
              <w:spacing w:before="0" w:beforeAutospacing="0" w:after="0" w:afterAutospacing="0"/>
              <w:rPr>
                <w:rFonts w:asciiTheme="majorHAnsi" w:hAnsiTheme="majorHAnsi" w:cs="Arial"/>
                <w:color w:val="000000" w:themeColor="dark1"/>
                <w:kern w:val="24"/>
                <w:sz w:val="22"/>
                <w:szCs w:val="22"/>
              </w:rPr>
            </w:pPr>
          </w:p>
        </w:tc>
      </w:tr>
      <w:tr w:rsidR="00961355" w:rsidRPr="00AF01A0" w:rsidTr="00D34B31">
        <w:trPr>
          <w:trHeight w:val="1320"/>
        </w:trPr>
        <w:tc>
          <w:tcPr>
            <w:tcW w:w="1970" w:type="dxa"/>
            <w:vMerge w:val="restart"/>
            <w:tcBorders>
              <w:top w:val="single" w:sz="24"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262626" w:themeColor="text1" w:themeTint="D9"/>
                <w:kern w:val="24"/>
                <w:sz w:val="22"/>
                <w:szCs w:val="22"/>
              </w:rPr>
              <w:t>Global Budget Infrastructure Report</w:t>
            </w:r>
          </w:p>
        </w:tc>
        <w:tc>
          <w:tcPr>
            <w:tcW w:w="2147" w:type="dxa"/>
            <w:tcBorders>
              <w:top w:val="single" w:sz="24"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 xml:space="preserve">0.65% given to most GBR hospitals in July 2013/2014 </w:t>
            </w:r>
          </w:p>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*TPR hospitals were provided additional funding</w:t>
            </w:r>
            <w:r>
              <w:rPr>
                <w:rFonts w:asciiTheme="majorHAnsi" w:hAnsiTheme="majorHAnsi" w:cs="Arial"/>
                <w:color w:val="000000" w:themeColor="dark1"/>
                <w:kern w:val="24"/>
                <w:sz w:val="22"/>
                <w:szCs w:val="22"/>
              </w:rPr>
              <w:t xml:space="preserve"> </w:t>
            </w:r>
          </w:p>
        </w:tc>
        <w:tc>
          <w:tcPr>
            <w:tcW w:w="1559" w:type="dxa"/>
            <w:vMerge w:val="restart"/>
            <w:tcBorders>
              <w:top w:val="single" w:sz="24"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September 30, 2015</w:t>
            </w:r>
          </w:p>
        </w:tc>
        <w:tc>
          <w:tcPr>
            <w:tcW w:w="2018" w:type="dxa"/>
            <w:vMerge w:val="restart"/>
            <w:tcBorders>
              <w:top w:val="single" w:sz="24"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GBR Infrastructure Report Template available on HSCRC website</w:t>
            </w:r>
          </w:p>
        </w:tc>
        <w:tc>
          <w:tcPr>
            <w:tcW w:w="2412" w:type="dxa"/>
            <w:vMerge w:val="restart"/>
            <w:tcBorders>
              <w:top w:val="single" w:sz="24"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All Hospitals</w:t>
            </w:r>
          </w:p>
        </w:tc>
      </w:tr>
      <w:tr w:rsidR="00961355" w:rsidRPr="00AF01A0" w:rsidTr="00D34B31">
        <w:trPr>
          <w:trHeight w:val="1136"/>
        </w:trPr>
        <w:tc>
          <w:tcPr>
            <w:tcW w:w="1970" w:type="dxa"/>
            <w:vMerge/>
            <w:tcBorders>
              <w:top w:val="single" w:sz="24" w:space="0" w:color="FFFFFF"/>
              <w:left w:val="single" w:sz="8" w:space="0" w:color="FFFFFF"/>
              <w:bottom w:val="single" w:sz="8" w:space="0" w:color="FFFFFF"/>
              <w:right w:val="single" w:sz="8" w:space="0" w:color="FFFFFF"/>
            </w:tcBorders>
            <w:vAlign w:val="center"/>
            <w:hideMark/>
          </w:tcPr>
          <w:p w:rsidR="00961355" w:rsidRPr="00AF01A0" w:rsidRDefault="00961355" w:rsidP="00D34B31">
            <w:pPr>
              <w:rPr>
                <w:rFonts w:asciiTheme="majorHAnsi" w:hAnsiTheme="majorHAnsi" w:cs="Arial"/>
              </w:rPr>
            </w:pPr>
          </w:p>
        </w:tc>
        <w:tc>
          <w:tcPr>
            <w:tcW w:w="2147" w:type="dxa"/>
            <w:tcBorders>
              <w:top w:val="single" w:sz="8"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 xml:space="preserve">0.4% increases approved for FY2016 for all GBR hospitals </w:t>
            </w:r>
          </w:p>
        </w:tc>
        <w:tc>
          <w:tcPr>
            <w:tcW w:w="1559" w:type="dxa"/>
            <w:vMerge/>
            <w:tcBorders>
              <w:top w:val="single" w:sz="24" w:space="0" w:color="FFFFFF"/>
              <w:left w:val="single" w:sz="8" w:space="0" w:color="FFFFFF"/>
              <w:bottom w:val="single" w:sz="8" w:space="0" w:color="FFFFFF"/>
              <w:right w:val="single" w:sz="8" w:space="0" w:color="FFFFFF"/>
            </w:tcBorders>
            <w:vAlign w:val="center"/>
            <w:hideMark/>
          </w:tcPr>
          <w:p w:rsidR="00961355" w:rsidRPr="00AF01A0" w:rsidRDefault="00961355" w:rsidP="00D34B31">
            <w:pPr>
              <w:rPr>
                <w:rFonts w:asciiTheme="majorHAnsi" w:hAnsiTheme="majorHAnsi" w:cs="Arial"/>
              </w:rPr>
            </w:pPr>
          </w:p>
        </w:tc>
        <w:tc>
          <w:tcPr>
            <w:tcW w:w="2018" w:type="dxa"/>
            <w:vMerge/>
            <w:tcBorders>
              <w:top w:val="single" w:sz="24" w:space="0" w:color="FFFFFF"/>
              <w:left w:val="single" w:sz="8" w:space="0" w:color="FFFFFF"/>
              <w:bottom w:val="single" w:sz="8" w:space="0" w:color="FFFFFF"/>
              <w:right w:val="single" w:sz="8" w:space="0" w:color="FFFFFF"/>
            </w:tcBorders>
            <w:vAlign w:val="center"/>
            <w:hideMark/>
          </w:tcPr>
          <w:p w:rsidR="00961355" w:rsidRPr="00AF01A0" w:rsidRDefault="00961355" w:rsidP="00D34B31">
            <w:pPr>
              <w:rPr>
                <w:rFonts w:asciiTheme="majorHAnsi" w:hAnsiTheme="majorHAnsi" w:cs="Arial"/>
              </w:rPr>
            </w:pPr>
          </w:p>
        </w:tc>
        <w:tc>
          <w:tcPr>
            <w:tcW w:w="2412" w:type="dxa"/>
            <w:vMerge/>
            <w:tcBorders>
              <w:top w:val="single" w:sz="24" w:space="0" w:color="FFFFFF"/>
              <w:left w:val="single" w:sz="8" w:space="0" w:color="FFFFFF"/>
              <w:bottom w:val="single" w:sz="8" w:space="0" w:color="FFFFFF"/>
              <w:right w:val="single" w:sz="8" w:space="0" w:color="FFFFFF"/>
            </w:tcBorders>
            <w:vAlign w:val="center"/>
            <w:hideMark/>
          </w:tcPr>
          <w:p w:rsidR="00961355" w:rsidRPr="00AF01A0" w:rsidRDefault="00961355" w:rsidP="00D34B31">
            <w:pPr>
              <w:rPr>
                <w:rFonts w:asciiTheme="majorHAnsi" w:hAnsiTheme="majorHAnsi" w:cs="Arial"/>
              </w:rPr>
            </w:pPr>
          </w:p>
        </w:tc>
      </w:tr>
      <w:tr w:rsidR="00961355" w:rsidRPr="00AF01A0" w:rsidTr="00D34B31">
        <w:trPr>
          <w:trHeight w:val="1306"/>
        </w:trPr>
        <w:tc>
          <w:tcPr>
            <w:tcW w:w="197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262626" w:themeColor="text1" w:themeTint="D9"/>
                <w:kern w:val="24"/>
                <w:sz w:val="22"/>
                <w:szCs w:val="22"/>
              </w:rPr>
              <w:lastRenderedPageBreak/>
              <w:t xml:space="preserve">Final </w:t>
            </w:r>
            <w:r>
              <w:rPr>
                <w:rFonts w:asciiTheme="majorHAnsi" w:hAnsiTheme="majorHAnsi" w:cs="Arial"/>
                <w:b/>
                <w:bCs/>
                <w:color w:val="262626" w:themeColor="text1" w:themeTint="D9"/>
                <w:kern w:val="24"/>
                <w:sz w:val="22"/>
                <w:szCs w:val="22"/>
              </w:rPr>
              <w:t xml:space="preserve">Regional Transformation </w:t>
            </w:r>
            <w:r w:rsidRPr="00AF01A0">
              <w:rPr>
                <w:rFonts w:asciiTheme="majorHAnsi" w:hAnsiTheme="majorHAnsi" w:cs="Arial"/>
                <w:b/>
                <w:bCs/>
                <w:color w:val="262626" w:themeColor="text1" w:themeTint="D9"/>
                <w:kern w:val="24"/>
                <w:sz w:val="22"/>
                <w:szCs w:val="22"/>
              </w:rPr>
              <w:t>Report from Regional Partnerships</w:t>
            </w:r>
          </w:p>
        </w:tc>
        <w:tc>
          <w:tcPr>
            <w:tcW w:w="214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 xml:space="preserve">$2.5 million </w:t>
            </w:r>
          </w:p>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(BRFA funding)</w:t>
            </w:r>
          </w:p>
        </w:tc>
        <w:tc>
          <w:tcPr>
            <w:tcW w:w="155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Pr>
                <w:rFonts w:asciiTheme="majorHAnsi" w:hAnsiTheme="majorHAnsi" w:cs="Arial"/>
                <w:color w:val="000000" w:themeColor="dark1"/>
                <w:kern w:val="24"/>
                <w:sz w:val="22"/>
                <w:szCs w:val="22"/>
              </w:rPr>
              <w:t>December 7</w:t>
            </w:r>
            <w:r w:rsidRPr="00AF01A0">
              <w:rPr>
                <w:rFonts w:asciiTheme="majorHAnsi" w:hAnsiTheme="majorHAnsi" w:cs="Arial"/>
                <w:color w:val="000000" w:themeColor="dark1"/>
                <w:kern w:val="24"/>
                <w:sz w:val="22"/>
                <w:szCs w:val="22"/>
              </w:rPr>
              <w:t>, 2015</w:t>
            </w:r>
          </w:p>
        </w:tc>
        <w:tc>
          <w:tcPr>
            <w:tcW w:w="201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Regional Transformation Plan Template (draft shared with grantees)</w:t>
            </w:r>
          </w:p>
        </w:tc>
        <w:tc>
          <w:tcPr>
            <w:tcW w:w="241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Regional Partnership Grantees</w:t>
            </w:r>
          </w:p>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*Partnering hospitals will collaborate on one final report</w:t>
            </w:r>
          </w:p>
        </w:tc>
      </w:tr>
      <w:tr w:rsidR="00961355" w:rsidRPr="00AF01A0" w:rsidTr="00D34B31">
        <w:trPr>
          <w:trHeight w:val="2444"/>
        </w:trPr>
        <w:tc>
          <w:tcPr>
            <w:tcW w:w="1970" w:type="dxa"/>
            <w:tcBorders>
              <w:top w:val="single" w:sz="8"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262626" w:themeColor="text1" w:themeTint="D9"/>
                <w:kern w:val="24"/>
                <w:sz w:val="22"/>
                <w:szCs w:val="22"/>
              </w:rPr>
              <w:t xml:space="preserve">Strategic </w:t>
            </w:r>
            <w:r>
              <w:rPr>
                <w:rFonts w:asciiTheme="majorHAnsi" w:hAnsiTheme="majorHAnsi" w:cs="Arial"/>
                <w:b/>
                <w:bCs/>
                <w:color w:val="262626" w:themeColor="text1" w:themeTint="D9"/>
                <w:kern w:val="24"/>
                <w:sz w:val="22"/>
                <w:szCs w:val="22"/>
              </w:rPr>
              <w:t xml:space="preserve">Hospital Transformation </w:t>
            </w:r>
            <w:r w:rsidRPr="00AF01A0">
              <w:rPr>
                <w:rFonts w:asciiTheme="majorHAnsi" w:hAnsiTheme="majorHAnsi" w:cs="Arial"/>
                <w:b/>
                <w:bCs/>
                <w:color w:val="262626" w:themeColor="text1" w:themeTint="D9"/>
                <w:kern w:val="24"/>
                <w:sz w:val="22"/>
                <w:szCs w:val="22"/>
              </w:rPr>
              <w:t>Plan for Improving Care</w:t>
            </w:r>
          </w:p>
        </w:tc>
        <w:tc>
          <w:tcPr>
            <w:tcW w:w="2147" w:type="dxa"/>
            <w:tcBorders>
              <w:top w:val="single" w:sz="8"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jc w:val="center"/>
              <w:rPr>
                <w:rFonts w:asciiTheme="majorHAnsi" w:hAnsiTheme="majorHAnsi" w:cs="Arial"/>
                <w:sz w:val="22"/>
                <w:szCs w:val="22"/>
              </w:rPr>
            </w:pPr>
            <w:r w:rsidRPr="00AF01A0">
              <w:rPr>
                <w:rFonts w:asciiTheme="majorHAnsi" w:hAnsiTheme="majorHAnsi" w:cs="Arial"/>
                <w:color w:val="000000" w:themeColor="dark1"/>
                <w:kern w:val="24"/>
                <w:sz w:val="22"/>
                <w:szCs w:val="22"/>
              </w:rPr>
              <w:t>N/A</w:t>
            </w:r>
          </w:p>
        </w:tc>
        <w:tc>
          <w:tcPr>
            <w:tcW w:w="1559" w:type="dxa"/>
            <w:tcBorders>
              <w:top w:val="single" w:sz="8"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Pr>
                <w:rFonts w:asciiTheme="majorHAnsi" w:hAnsiTheme="majorHAnsi" w:cs="Arial"/>
                <w:color w:val="000000" w:themeColor="dark1"/>
                <w:kern w:val="24"/>
                <w:sz w:val="22"/>
                <w:szCs w:val="22"/>
              </w:rPr>
              <w:t>December 7</w:t>
            </w:r>
            <w:r w:rsidRPr="00AF01A0">
              <w:rPr>
                <w:rFonts w:asciiTheme="majorHAnsi" w:hAnsiTheme="majorHAnsi" w:cs="Arial"/>
                <w:color w:val="000000" w:themeColor="dark1"/>
                <w:kern w:val="24"/>
                <w:sz w:val="22"/>
                <w:szCs w:val="22"/>
              </w:rPr>
              <w:t>, 2015</w:t>
            </w:r>
          </w:p>
        </w:tc>
        <w:tc>
          <w:tcPr>
            <w:tcW w:w="2018" w:type="dxa"/>
            <w:tcBorders>
              <w:top w:val="single" w:sz="8"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Similar template as Regional Transformation Plan only broader and more comprehensive in scope</w:t>
            </w:r>
          </w:p>
          <w:p w:rsidR="00961355" w:rsidRPr="00AF01A0" w:rsidRDefault="00961355" w:rsidP="00D34B31">
            <w:pPr>
              <w:pStyle w:val="NormalWeb"/>
              <w:spacing w:before="0" w:beforeAutospacing="0" w:after="0" w:afterAutospacing="0"/>
              <w:rPr>
                <w:rFonts w:asciiTheme="majorHAnsi" w:hAnsiTheme="majorHAnsi" w:cs="Arial"/>
                <w:sz w:val="22"/>
                <w:szCs w:val="22"/>
              </w:rPr>
            </w:pPr>
          </w:p>
        </w:tc>
        <w:tc>
          <w:tcPr>
            <w:tcW w:w="2412" w:type="dxa"/>
            <w:tcBorders>
              <w:top w:val="single" w:sz="8"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All Hospitals</w:t>
            </w:r>
          </w:p>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*Plans should refer to and align with</w:t>
            </w:r>
          </w:p>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GBR Infrastructure Report, Regional Partnership Plan (if applicable), Community Benefit Report and Community Health Needs Assessments</w:t>
            </w:r>
          </w:p>
        </w:tc>
      </w:tr>
      <w:tr w:rsidR="00961355" w:rsidRPr="00AF01A0" w:rsidTr="00D34B31">
        <w:trPr>
          <w:trHeight w:val="3166"/>
        </w:trPr>
        <w:tc>
          <w:tcPr>
            <w:tcW w:w="197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961355" w:rsidRDefault="00961355" w:rsidP="00D34B31">
            <w:pPr>
              <w:pStyle w:val="NormalWeb"/>
              <w:spacing w:before="0" w:beforeAutospacing="0" w:after="0" w:afterAutospacing="0"/>
              <w:rPr>
                <w:rFonts w:asciiTheme="majorHAnsi" w:hAnsiTheme="majorHAnsi" w:cs="Arial"/>
                <w:b/>
                <w:bCs/>
                <w:color w:val="262626" w:themeColor="text1" w:themeTint="D9"/>
                <w:kern w:val="24"/>
                <w:sz w:val="22"/>
                <w:szCs w:val="22"/>
              </w:rPr>
            </w:pPr>
            <w:r w:rsidRPr="00AF01A0">
              <w:rPr>
                <w:rFonts w:asciiTheme="majorHAnsi" w:hAnsiTheme="majorHAnsi" w:cs="Arial"/>
                <w:b/>
                <w:bCs/>
                <w:color w:val="262626" w:themeColor="text1" w:themeTint="D9"/>
                <w:kern w:val="24"/>
                <w:sz w:val="22"/>
                <w:szCs w:val="22"/>
              </w:rPr>
              <w:t>Applications/</w:t>
            </w:r>
          </w:p>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262626" w:themeColor="text1" w:themeTint="D9"/>
                <w:kern w:val="24"/>
                <w:sz w:val="22"/>
                <w:szCs w:val="22"/>
              </w:rPr>
              <w:t xml:space="preserve">Proposals for Competitive Transformation Implementation Awards </w:t>
            </w:r>
          </w:p>
        </w:tc>
        <w:tc>
          <w:tcPr>
            <w:tcW w:w="214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0.25% (approx. $40 million)</w:t>
            </w:r>
          </w:p>
        </w:tc>
        <w:tc>
          <w:tcPr>
            <w:tcW w:w="155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961355" w:rsidRPr="00AF01A0" w:rsidRDefault="00961355" w:rsidP="00661775">
            <w:pPr>
              <w:pStyle w:val="NormalWeb"/>
              <w:spacing w:before="0" w:beforeAutospacing="0" w:after="0" w:afterAutospacing="0"/>
              <w:rPr>
                <w:rFonts w:asciiTheme="majorHAnsi" w:hAnsiTheme="majorHAnsi" w:cs="Arial"/>
                <w:sz w:val="22"/>
                <w:szCs w:val="22"/>
              </w:rPr>
            </w:pPr>
            <w:r>
              <w:rPr>
                <w:rFonts w:asciiTheme="majorHAnsi" w:hAnsiTheme="majorHAnsi" w:cs="Arial"/>
                <w:color w:val="000000" w:themeColor="dark1"/>
                <w:kern w:val="24"/>
                <w:sz w:val="22"/>
                <w:szCs w:val="22"/>
              </w:rPr>
              <w:t xml:space="preserve">December </w:t>
            </w:r>
            <w:r w:rsidR="00661775">
              <w:rPr>
                <w:rFonts w:asciiTheme="majorHAnsi" w:hAnsiTheme="majorHAnsi" w:cs="Arial"/>
                <w:color w:val="000000" w:themeColor="dark1"/>
                <w:kern w:val="24"/>
                <w:sz w:val="22"/>
                <w:szCs w:val="22"/>
              </w:rPr>
              <w:t>21</w:t>
            </w:r>
            <w:r w:rsidRPr="00AF01A0">
              <w:rPr>
                <w:rFonts w:asciiTheme="majorHAnsi" w:hAnsiTheme="majorHAnsi" w:cs="Arial"/>
                <w:color w:val="000000" w:themeColor="dark1"/>
                <w:kern w:val="24"/>
                <w:sz w:val="22"/>
                <w:szCs w:val="22"/>
              </w:rPr>
              <w:t>, 2015</w:t>
            </w:r>
          </w:p>
        </w:tc>
        <w:tc>
          <w:tcPr>
            <w:tcW w:w="201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Applications should draw from multi-year strategic hospital plan; must demonstrate how investments build on one another</w:t>
            </w:r>
          </w:p>
        </w:tc>
        <w:tc>
          <w:tcPr>
            <w:tcW w:w="241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rsidR="00961355" w:rsidRPr="00DB5434" w:rsidRDefault="00961355" w:rsidP="00D34B31">
            <w:pPr>
              <w:pStyle w:val="NormalWeb"/>
              <w:rPr>
                <w:rFonts w:asciiTheme="majorHAnsi" w:hAnsiTheme="majorHAnsi" w:cs="Arial"/>
                <w:color w:val="000000" w:themeColor="text1"/>
                <w:kern w:val="24"/>
                <w:sz w:val="22"/>
                <w:szCs w:val="22"/>
              </w:rPr>
            </w:pPr>
            <w:r w:rsidRPr="00DB5434">
              <w:rPr>
                <w:rFonts w:asciiTheme="majorHAnsi" w:hAnsiTheme="majorHAnsi" w:cs="Arial"/>
                <w:color w:val="000000" w:themeColor="text1"/>
                <w:kern w:val="24"/>
                <w:sz w:val="22"/>
                <w:szCs w:val="22"/>
              </w:rPr>
              <w:t>All Hospitals</w:t>
            </w:r>
            <w:r>
              <w:rPr>
                <w:rFonts w:asciiTheme="majorHAnsi" w:hAnsiTheme="majorHAnsi" w:cs="Arial"/>
                <w:color w:val="000000" w:themeColor="text1"/>
                <w:kern w:val="24"/>
                <w:sz w:val="22"/>
                <w:szCs w:val="22"/>
              </w:rPr>
              <w:t xml:space="preserve"> are Eligible to Apply</w:t>
            </w:r>
            <w:r w:rsidRPr="00DB5434">
              <w:rPr>
                <w:rFonts w:asciiTheme="majorHAnsi" w:hAnsiTheme="majorHAnsi" w:cs="Arial"/>
                <w:color w:val="000000" w:themeColor="text1"/>
                <w:kern w:val="24"/>
                <w:sz w:val="22"/>
                <w:szCs w:val="22"/>
              </w:rPr>
              <w:t xml:space="preserve"> *Collaboration </w:t>
            </w:r>
            <w:r>
              <w:rPr>
                <w:rFonts w:asciiTheme="majorHAnsi" w:hAnsiTheme="majorHAnsi" w:cs="Arial"/>
                <w:color w:val="000000" w:themeColor="text1"/>
                <w:kern w:val="24"/>
                <w:sz w:val="22"/>
                <w:szCs w:val="22"/>
              </w:rPr>
              <w:t>among hospitals in a single application is encouraged and collaboration with physicians and other providers is required</w:t>
            </w:r>
            <w:r w:rsidRPr="00DB5434">
              <w:rPr>
                <w:rFonts w:asciiTheme="majorHAnsi" w:hAnsiTheme="majorHAnsi" w:cs="Arial"/>
                <w:color w:val="000000" w:themeColor="text1"/>
                <w:kern w:val="24"/>
                <w:sz w:val="22"/>
                <w:szCs w:val="22"/>
              </w:rPr>
              <w:t>. RFP will provide more details when released.</w:t>
            </w:r>
          </w:p>
          <w:p w:rsidR="00961355" w:rsidRPr="00AF01A0" w:rsidRDefault="00961355" w:rsidP="00D34B31">
            <w:pPr>
              <w:pStyle w:val="NormalWeb"/>
              <w:spacing w:before="0" w:beforeAutospacing="0" w:after="0" w:afterAutospacing="0"/>
              <w:rPr>
                <w:rFonts w:asciiTheme="majorHAnsi" w:hAnsiTheme="majorHAnsi" w:cs="Arial"/>
                <w:sz w:val="22"/>
                <w:szCs w:val="22"/>
              </w:rPr>
            </w:pPr>
          </w:p>
        </w:tc>
      </w:tr>
    </w:tbl>
    <w:p w:rsidR="00961355" w:rsidRDefault="00961355" w:rsidP="00961355">
      <w:pPr>
        <w:rPr>
          <w:b/>
        </w:rPr>
      </w:pPr>
    </w:p>
    <w:p w:rsidR="00961355" w:rsidRPr="00AF01A0" w:rsidRDefault="00961355" w:rsidP="00961355">
      <w:pPr>
        <w:rPr>
          <w:b/>
        </w:rPr>
      </w:pPr>
      <w:r w:rsidRPr="00AF01A0">
        <w:rPr>
          <w:b/>
        </w:rPr>
        <w:t>Other Required Reports:</w:t>
      </w:r>
    </w:p>
    <w:tbl>
      <w:tblPr>
        <w:tblW w:w="5282" w:type="pct"/>
        <w:tblCellMar>
          <w:left w:w="0" w:type="dxa"/>
          <w:right w:w="0" w:type="dxa"/>
        </w:tblCellMar>
        <w:tblLook w:val="0420" w:firstRow="1" w:lastRow="0" w:firstColumn="0" w:lastColumn="0" w:noHBand="0" w:noVBand="1"/>
      </w:tblPr>
      <w:tblGrid>
        <w:gridCol w:w="1478"/>
        <w:gridCol w:w="2214"/>
        <w:gridCol w:w="1439"/>
        <w:gridCol w:w="2473"/>
        <w:gridCol w:w="2263"/>
      </w:tblGrid>
      <w:tr w:rsidR="00961355" w:rsidRPr="00AF01A0" w:rsidTr="00961355">
        <w:trPr>
          <w:trHeight w:val="430"/>
        </w:trPr>
        <w:tc>
          <w:tcPr>
            <w:tcW w:w="749" w:type="pct"/>
            <w:tcBorders>
              <w:top w:val="single" w:sz="8" w:space="0" w:color="FFFFFF"/>
              <w:left w:val="single" w:sz="8" w:space="0" w:color="FFFFFF"/>
              <w:bottom w:val="single" w:sz="24" w:space="0" w:color="FFFFFF"/>
              <w:right w:val="single" w:sz="8" w:space="0" w:color="FFFFFF"/>
            </w:tcBorders>
            <w:shd w:val="clear" w:color="auto" w:fill="2F559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FFFFFF" w:themeColor="light1"/>
                <w:kern w:val="24"/>
                <w:sz w:val="22"/>
                <w:szCs w:val="22"/>
              </w:rPr>
              <w:t xml:space="preserve">Submission </w:t>
            </w:r>
          </w:p>
        </w:tc>
        <w:tc>
          <w:tcPr>
            <w:tcW w:w="1122" w:type="pct"/>
            <w:tcBorders>
              <w:top w:val="single" w:sz="8" w:space="0" w:color="FFFFFF"/>
              <w:left w:val="single" w:sz="8" w:space="0" w:color="FFFFFF"/>
              <w:bottom w:val="single" w:sz="24" w:space="0" w:color="FFFFFF"/>
              <w:right w:val="single" w:sz="8" w:space="0" w:color="FFFFFF"/>
            </w:tcBorders>
            <w:shd w:val="clear" w:color="auto" w:fill="2F559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FFFFFF" w:themeColor="light1"/>
                <w:kern w:val="24"/>
                <w:sz w:val="22"/>
                <w:szCs w:val="22"/>
              </w:rPr>
              <w:t xml:space="preserve">Associated Funding </w:t>
            </w:r>
          </w:p>
        </w:tc>
        <w:tc>
          <w:tcPr>
            <w:tcW w:w="729" w:type="pct"/>
            <w:tcBorders>
              <w:top w:val="single" w:sz="8" w:space="0" w:color="FFFFFF"/>
              <w:left w:val="single" w:sz="8" w:space="0" w:color="FFFFFF"/>
              <w:bottom w:val="single" w:sz="24" w:space="0" w:color="FFFFFF"/>
              <w:right w:val="single" w:sz="8" w:space="0" w:color="FFFFFF"/>
            </w:tcBorders>
            <w:shd w:val="clear" w:color="auto" w:fill="2F559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FFFFFF" w:themeColor="light1"/>
                <w:kern w:val="24"/>
                <w:sz w:val="22"/>
                <w:szCs w:val="22"/>
              </w:rPr>
              <w:t>Report Due Date</w:t>
            </w:r>
          </w:p>
        </w:tc>
        <w:tc>
          <w:tcPr>
            <w:tcW w:w="1253" w:type="pct"/>
            <w:tcBorders>
              <w:top w:val="single" w:sz="8" w:space="0" w:color="FFFFFF"/>
              <w:left w:val="single" w:sz="8" w:space="0" w:color="FFFFFF"/>
              <w:bottom w:val="single" w:sz="24" w:space="0" w:color="FFFFFF"/>
              <w:right w:val="single" w:sz="8" w:space="0" w:color="FFFFFF"/>
            </w:tcBorders>
            <w:shd w:val="clear" w:color="auto" w:fill="2F559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FFFFFF" w:themeColor="light1"/>
                <w:kern w:val="24"/>
                <w:sz w:val="22"/>
                <w:szCs w:val="22"/>
              </w:rPr>
              <w:t>Requirements/Scope</w:t>
            </w:r>
          </w:p>
        </w:tc>
        <w:tc>
          <w:tcPr>
            <w:tcW w:w="1147" w:type="pct"/>
            <w:tcBorders>
              <w:top w:val="single" w:sz="8" w:space="0" w:color="FFFFFF"/>
              <w:left w:val="single" w:sz="8" w:space="0" w:color="FFFFFF"/>
              <w:bottom w:val="single" w:sz="24" w:space="0" w:color="FFFFFF"/>
              <w:right w:val="single" w:sz="8" w:space="0" w:color="FFFFFF"/>
            </w:tcBorders>
            <w:shd w:val="clear" w:color="auto" w:fill="2F559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FFFFFF" w:themeColor="light1"/>
                <w:kern w:val="24"/>
                <w:sz w:val="22"/>
                <w:szCs w:val="22"/>
              </w:rPr>
              <w:t>Who</w:t>
            </w:r>
          </w:p>
        </w:tc>
      </w:tr>
      <w:tr w:rsidR="00961355" w:rsidRPr="00AF01A0" w:rsidTr="00961355">
        <w:trPr>
          <w:trHeight w:val="948"/>
        </w:trPr>
        <w:tc>
          <w:tcPr>
            <w:tcW w:w="749" w:type="pct"/>
            <w:tcBorders>
              <w:top w:val="single" w:sz="24"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262626" w:themeColor="text1" w:themeTint="D9"/>
                <w:kern w:val="24"/>
                <w:sz w:val="22"/>
                <w:szCs w:val="22"/>
              </w:rPr>
              <w:t>Community Benefit Report</w:t>
            </w:r>
          </w:p>
        </w:tc>
        <w:tc>
          <w:tcPr>
            <w:tcW w:w="1122" w:type="pct"/>
            <w:tcBorders>
              <w:top w:val="single" w:sz="24"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jc w:val="center"/>
              <w:rPr>
                <w:rFonts w:asciiTheme="majorHAnsi" w:hAnsiTheme="majorHAnsi" w:cs="Arial"/>
                <w:sz w:val="22"/>
                <w:szCs w:val="22"/>
              </w:rPr>
            </w:pPr>
            <w:r w:rsidRPr="00AF01A0">
              <w:rPr>
                <w:rFonts w:asciiTheme="majorHAnsi" w:hAnsiTheme="majorHAnsi" w:cs="Arial"/>
                <w:color w:val="000000" w:themeColor="dark1"/>
                <w:kern w:val="24"/>
                <w:sz w:val="22"/>
                <w:szCs w:val="22"/>
              </w:rPr>
              <w:t>N/A</w:t>
            </w:r>
          </w:p>
        </w:tc>
        <w:tc>
          <w:tcPr>
            <w:tcW w:w="729" w:type="pct"/>
            <w:tcBorders>
              <w:top w:val="single" w:sz="24"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December 15, 2015</w:t>
            </w:r>
          </w:p>
        </w:tc>
        <w:tc>
          <w:tcPr>
            <w:tcW w:w="1253" w:type="pct"/>
            <w:tcBorders>
              <w:top w:val="single" w:sz="24"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Template available on the HSCRC website</w:t>
            </w:r>
          </w:p>
        </w:tc>
        <w:tc>
          <w:tcPr>
            <w:tcW w:w="1147" w:type="pct"/>
            <w:tcBorders>
              <w:top w:val="single" w:sz="24" w:space="0" w:color="FFFFFF"/>
              <w:left w:val="single" w:sz="8" w:space="0" w:color="FFFFFF"/>
              <w:bottom w:val="single" w:sz="8" w:space="0" w:color="FFFFFF"/>
              <w:right w:val="single" w:sz="8" w:space="0" w:color="FFFFFF"/>
            </w:tcBorders>
            <w:shd w:val="clear" w:color="auto" w:fill="B4C7E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All Hospitals</w:t>
            </w:r>
          </w:p>
        </w:tc>
      </w:tr>
      <w:tr w:rsidR="00961355" w:rsidRPr="00AF01A0" w:rsidTr="00961355">
        <w:trPr>
          <w:trHeight w:val="997"/>
        </w:trPr>
        <w:tc>
          <w:tcPr>
            <w:tcW w:w="74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b/>
                <w:bCs/>
                <w:color w:val="262626" w:themeColor="text1" w:themeTint="D9"/>
                <w:kern w:val="24"/>
                <w:sz w:val="22"/>
                <w:szCs w:val="22"/>
              </w:rPr>
              <w:t>Community Health Needs Assessment</w:t>
            </w:r>
          </w:p>
        </w:tc>
        <w:tc>
          <w:tcPr>
            <w:tcW w:w="1122"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jc w:val="center"/>
              <w:rPr>
                <w:rFonts w:asciiTheme="majorHAnsi" w:hAnsiTheme="majorHAnsi" w:cs="Arial"/>
                <w:sz w:val="22"/>
                <w:szCs w:val="22"/>
              </w:rPr>
            </w:pPr>
            <w:r w:rsidRPr="00AF01A0">
              <w:rPr>
                <w:rFonts w:asciiTheme="majorHAnsi" w:hAnsiTheme="majorHAnsi" w:cs="Arial"/>
                <w:color w:val="000000" w:themeColor="dark1"/>
                <w:kern w:val="24"/>
                <w:sz w:val="22"/>
                <w:szCs w:val="22"/>
              </w:rPr>
              <w:t>N/A</w:t>
            </w:r>
          </w:p>
        </w:tc>
        <w:tc>
          <w:tcPr>
            <w:tcW w:w="72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Hospitals on 1-3 year cycle</w:t>
            </w:r>
          </w:p>
        </w:tc>
        <w:tc>
          <w:tcPr>
            <w:tcW w:w="1253"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 xml:space="preserve">Hospitals should follow federal CHNA requirements </w:t>
            </w:r>
          </w:p>
        </w:tc>
        <w:tc>
          <w:tcPr>
            <w:tcW w:w="1147"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rsidR="00961355" w:rsidRPr="00AF01A0" w:rsidRDefault="00961355" w:rsidP="00D34B31">
            <w:pPr>
              <w:pStyle w:val="NormalWeb"/>
              <w:spacing w:before="0" w:beforeAutospacing="0" w:after="0" w:afterAutospacing="0"/>
              <w:rPr>
                <w:rFonts w:asciiTheme="majorHAnsi" w:hAnsiTheme="majorHAnsi" w:cs="Arial"/>
                <w:sz w:val="22"/>
                <w:szCs w:val="22"/>
              </w:rPr>
            </w:pPr>
            <w:r w:rsidRPr="00AF01A0">
              <w:rPr>
                <w:rFonts w:asciiTheme="majorHAnsi" w:hAnsiTheme="majorHAnsi" w:cs="Arial"/>
                <w:color w:val="000000" w:themeColor="dark1"/>
                <w:kern w:val="24"/>
                <w:sz w:val="22"/>
                <w:szCs w:val="22"/>
              </w:rPr>
              <w:t>All Hospitals</w:t>
            </w:r>
          </w:p>
        </w:tc>
      </w:tr>
    </w:tbl>
    <w:p w:rsidR="00961355" w:rsidRDefault="00961355" w:rsidP="00961355">
      <w:pPr>
        <w:rPr>
          <w:rFonts w:asciiTheme="majorHAnsi" w:hAnsiTheme="majorHAnsi"/>
          <w:b/>
        </w:rPr>
      </w:pPr>
    </w:p>
    <w:p w:rsidR="00961355" w:rsidRDefault="00961355" w:rsidP="00961355">
      <w:pPr>
        <w:rPr>
          <w:rFonts w:asciiTheme="majorHAnsi" w:hAnsiTheme="majorHAnsi"/>
          <w:b/>
        </w:rPr>
      </w:pPr>
    </w:p>
    <w:p w:rsidR="00961355" w:rsidRPr="002A6EB4" w:rsidRDefault="00961355" w:rsidP="00961355">
      <w:pPr>
        <w:rPr>
          <w:rFonts w:asciiTheme="majorHAnsi" w:hAnsiTheme="majorHAnsi"/>
          <w:b/>
        </w:rPr>
      </w:pPr>
      <w:r w:rsidRPr="002A6EB4">
        <w:rPr>
          <w:rFonts w:asciiTheme="majorHAnsi" w:hAnsiTheme="majorHAnsi"/>
          <w:b/>
        </w:rPr>
        <w:lastRenderedPageBreak/>
        <w:t>Technical Assistance Available to All Hospitals</w:t>
      </w:r>
    </w:p>
    <w:p w:rsidR="00961355" w:rsidRDefault="00961355" w:rsidP="00961355">
      <w:pPr>
        <w:rPr>
          <w:rFonts w:asciiTheme="majorHAnsi" w:hAnsiTheme="majorHAnsi"/>
        </w:rPr>
      </w:pPr>
      <w:r>
        <w:rPr>
          <w:rFonts w:asciiTheme="majorHAnsi" w:hAnsiTheme="majorHAnsi"/>
        </w:rPr>
        <w:t xml:space="preserve">In an effort to support the Regional Partnership Grantees through the process of establishing their plans for regional partnerships, the State, in collaboration with the Chesapeake Regional Information System for our Patients (CRISP), has assembled technical resources and consultants with broad experience and expertise in similar initiatives around the country. A portion of the statewide infrastructure funding is being used to provide this technical assistance support to the planning grantees </w:t>
      </w:r>
      <w:r w:rsidRPr="00DF4E56">
        <w:rPr>
          <w:rFonts w:asciiTheme="majorHAnsi" w:hAnsiTheme="majorHAnsi"/>
        </w:rPr>
        <w:t>and all hospitals</w:t>
      </w:r>
      <w:r>
        <w:rPr>
          <w:rFonts w:asciiTheme="majorHAnsi" w:hAnsiTheme="majorHAnsi"/>
        </w:rPr>
        <w:t xml:space="preserve"> and their partners throughout the State as they work their way through essential delivery system transformation. While planning grantees may avail themselves of one-on-one consultation (up to 60 hours) all hospitals and their partners will be invited to participate in a series of bi-monthly, topic-specific webinars and an interactive Learning Collaborative on specific topics of interest that will be designed to assist hospitals and their partners as they endeavor to improve their care coordination with the goal of real delivery system reform. Specific webinar topics will be sent closer to the meeting date; your input into the content of these events is encouraged. Please refer to the DHMH website for an updated list of webinar topics and resource material: </w:t>
      </w:r>
      <w:hyperlink r:id="rId12" w:history="1">
        <w:r w:rsidRPr="00441961">
          <w:rPr>
            <w:rStyle w:val="Hyperlink"/>
            <w:rFonts w:asciiTheme="majorHAnsi" w:hAnsiTheme="majorHAnsi"/>
          </w:rPr>
          <w:t>http://pophealth.dhmh.maryland.gov/transformation/SitePages/Home.aspx</w:t>
        </w:r>
      </w:hyperlink>
    </w:p>
    <w:p w:rsidR="00961355" w:rsidRDefault="00961355" w:rsidP="00961355">
      <w:pPr>
        <w:rPr>
          <w:rFonts w:asciiTheme="majorHAnsi" w:hAnsiTheme="majorHAnsi"/>
        </w:rPr>
      </w:pPr>
      <w:r>
        <w:rPr>
          <w:rFonts w:asciiTheme="majorHAnsi" w:hAnsiTheme="majorHAnsi"/>
        </w:rPr>
        <w:t>A schedule of these events and opportunities are as follows:</w:t>
      </w:r>
    </w:p>
    <w:p w:rsidR="007E01A9" w:rsidRDefault="007E01A9" w:rsidP="007E01A9">
      <w:pPr>
        <w:pStyle w:val="ListParagraph"/>
        <w:numPr>
          <w:ilvl w:val="0"/>
          <w:numId w:val="44"/>
        </w:numPr>
        <w:spacing w:after="0"/>
        <w:contextualSpacing w:val="0"/>
        <w:rPr>
          <w:rFonts w:asciiTheme="majorHAnsi" w:hAnsiTheme="majorHAnsi"/>
        </w:rPr>
      </w:pPr>
      <w:r>
        <w:rPr>
          <w:rFonts w:asciiTheme="majorHAnsi" w:hAnsiTheme="majorHAnsi"/>
        </w:rPr>
        <w:t>Webinar: Consumer Education and Outreach: September 10, 9-10am EST</w:t>
      </w:r>
    </w:p>
    <w:p w:rsidR="007E01A9" w:rsidRDefault="007E01A9" w:rsidP="007E01A9">
      <w:pPr>
        <w:pStyle w:val="ListParagraph"/>
        <w:numPr>
          <w:ilvl w:val="0"/>
          <w:numId w:val="44"/>
        </w:numPr>
        <w:spacing w:after="0"/>
        <w:contextualSpacing w:val="0"/>
        <w:rPr>
          <w:rFonts w:asciiTheme="majorHAnsi" w:hAnsiTheme="majorHAnsi"/>
        </w:rPr>
      </w:pPr>
      <w:r>
        <w:rPr>
          <w:rFonts w:asciiTheme="majorHAnsi" w:hAnsiTheme="majorHAnsi"/>
        </w:rPr>
        <w:t>Webinar: Behavioral Health Integration Models: September 24, 9-10am EST</w:t>
      </w:r>
    </w:p>
    <w:p w:rsidR="007E01A9" w:rsidRDefault="007E01A9" w:rsidP="007E01A9">
      <w:pPr>
        <w:pStyle w:val="ListParagraph"/>
        <w:numPr>
          <w:ilvl w:val="0"/>
          <w:numId w:val="44"/>
        </w:numPr>
        <w:spacing w:after="0"/>
        <w:contextualSpacing w:val="0"/>
        <w:rPr>
          <w:rFonts w:asciiTheme="majorHAnsi" w:hAnsiTheme="majorHAnsi"/>
        </w:rPr>
      </w:pPr>
      <w:r>
        <w:rPr>
          <w:rFonts w:asciiTheme="majorHAnsi" w:hAnsiTheme="majorHAnsi"/>
        </w:rPr>
        <w:t>Learning Collaborative: October 1, 9-10am EST</w:t>
      </w:r>
    </w:p>
    <w:p w:rsidR="007E01A9" w:rsidRDefault="007E01A9" w:rsidP="007E01A9">
      <w:pPr>
        <w:pStyle w:val="ListParagraph"/>
        <w:numPr>
          <w:ilvl w:val="0"/>
          <w:numId w:val="44"/>
        </w:numPr>
        <w:spacing w:after="0"/>
        <w:contextualSpacing w:val="0"/>
        <w:rPr>
          <w:rFonts w:asciiTheme="majorHAnsi" w:hAnsiTheme="majorHAnsi"/>
        </w:rPr>
      </w:pPr>
      <w:r>
        <w:rPr>
          <w:rFonts w:asciiTheme="majorHAnsi" w:hAnsiTheme="majorHAnsi"/>
        </w:rPr>
        <w:t>Webinar: Topic TBD: October 8, 9-10am EST</w:t>
      </w:r>
    </w:p>
    <w:p w:rsidR="007E01A9" w:rsidRDefault="007E01A9" w:rsidP="007E01A9">
      <w:pPr>
        <w:pStyle w:val="ListParagraph"/>
        <w:numPr>
          <w:ilvl w:val="0"/>
          <w:numId w:val="44"/>
        </w:numPr>
        <w:spacing w:after="0"/>
        <w:contextualSpacing w:val="0"/>
        <w:rPr>
          <w:rFonts w:asciiTheme="majorHAnsi" w:hAnsiTheme="majorHAnsi"/>
        </w:rPr>
      </w:pPr>
      <w:r>
        <w:rPr>
          <w:rFonts w:asciiTheme="majorHAnsi" w:hAnsiTheme="majorHAnsi"/>
        </w:rPr>
        <w:t>Webinar: Topic TBD: October 22, 9-10am EST</w:t>
      </w:r>
    </w:p>
    <w:p w:rsidR="007E01A9" w:rsidRDefault="007E01A9" w:rsidP="007E01A9">
      <w:pPr>
        <w:pStyle w:val="ListParagraph"/>
        <w:numPr>
          <w:ilvl w:val="0"/>
          <w:numId w:val="44"/>
        </w:numPr>
        <w:spacing w:after="0"/>
        <w:contextualSpacing w:val="0"/>
        <w:rPr>
          <w:rFonts w:asciiTheme="majorHAnsi" w:hAnsiTheme="majorHAnsi"/>
        </w:rPr>
      </w:pPr>
      <w:r>
        <w:rPr>
          <w:rFonts w:asciiTheme="majorHAnsi" w:hAnsiTheme="majorHAnsi"/>
        </w:rPr>
        <w:t>Webinar: Topic TBD: November 12, 9-10am EST</w:t>
      </w:r>
    </w:p>
    <w:p w:rsidR="00F116EF" w:rsidRDefault="00F116EF" w:rsidP="00BA3620">
      <w:pPr>
        <w:spacing w:after="0" w:line="240" w:lineRule="auto"/>
        <w:rPr>
          <w:b/>
          <w:color w:val="365F91" w:themeColor="accent1" w:themeShade="BF"/>
          <w:sz w:val="28"/>
          <w:szCs w:val="28"/>
        </w:rPr>
      </w:pPr>
    </w:p>
    <w:sectPr w:rsidR="00F116EF" w:rsidSect="006771E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497" w:rsidRDefault="00B30497" w:rsidP="00565E2F">
      <w:pPr>
        <w:spacing w:after="0" w:line="240" w:lineRule="auto"/>
      </w:pPr>
      <w:r>
        <w:separator/>
      </w:r>
    </w:p>
  </w:endnote>
  <w:endnote w:type="continuationSeparator" w:id="0">
    <w:p w:rsidR="00B30497" w:rsidRDefault="00B30497" w:rsidP="0056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531324"/>
      <w:docPartObj>
        <w:docPartGallery w:val="Page Numbers (Bottom of Page)"/>
        <w:docPartUnique/>
      </w:docPartObj>
    </w:sdtPr>
    <w:sdtEndPr/>
    <w:sdtContent>
      <w:sdt>
        <w:sdtPr>
          <w:id w:val="-1769616900"/>
          <w:docPartObj>
            <w:docPartGallery w:val="Page Numbers (Top of Page)"/>
            <w:docPartUnique/>
          </w:docPartObj>
        </w:sdtPr>
        <w:sdtEndPr/>
        <w:sdtContent>
          <w:p w:rsidR="00DF5437" w:rsidRDefault="00DF54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12BD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2BDA">
              <w:rPr>
                <w:b/>
                <w:bCs/>
                <w:noProof/>
              </w:rPr>
              <w:t>22</w:t>
            </w:r>
            <w:r>
              <w:rPr>
                <w:b/>
                <w:bCs/>
                <w:sz w:val="24"/>
                <w:szCs w:val="24"/>
              </w:rPr>
              <w:fldChar w:fldCharType="end"/>
            </w:r>
          </w:p>
        </w:sdtContent>
      </w:sdt>
    </w:sdtContent>
  </w:sdt>
  <w:p w:rsidR="00DF5437" w:rsidRDefault="00DF5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497" w:rsidRDefault="00B30497" w:rsidP="00565E2F">
      <w:pPr>
        <w:spacing w:after="0" w:line="240" w:lineRule="auto"/>
      </w:pPr>
      <w:r>
        <w:separator/>
      </w:r>
    </w:p>
  </w:footnote>
  <w:footnote w:type="continuationSeparator" w:id="0">
    <w:p w:rsidR="00B30497" w:rsidRDefault="00B30497" w:rsidP="00565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B4140"/>
    <w:multiLevelType w:val="hybridMultilevel"/>
    <w:tmpl w:val="F04AD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224E6"/>
    <w:multiLevelType w:val="hybridMultilevel"/>
    <w:tmpl w:val="AF7E14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6C7BCA"/>
    <w:multiLevelType w:val="hybridMultilevel"/>
    <w:tmpl w:val="7ADE1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EC0F9C"/>
    <w:multiLevelType w:val="hybridMultilevel"/>
    <w:tmpl w:val="00C85E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C513E5"/>
    <w:multiLevelType w:val="hybridMultilevel"/>
    <w:tmpl w:val="C92AD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7026D78"/>
    <w:multiLevelType w:val="multilevel"/>
    <w:tmpl w:val="3B8278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A237345"/>
    <w:multiLevelType w:val="hybridMultilevel"/>
    <w:tmpl w:val="BA8C05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EF6767"/>
    <w:multiLevelType w:val="hybridMultilevel"/>
    <w:tmpl w:val="5600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560EE"/>
    <w:multiLevelType w:val="hybridMultilevel"/>
    <w:tmpl w:val="AC22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277BE"/>
    <w:multiLevelType w:val="multilevel"/>
    <w:tmpl w:val="26A4DB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9FA20E0"/>
    <w:multiLevelType w:val="hybridMultilevel"/>
    <w:tmpl w:val="F1C6D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C6DDB"/>
    <w:multiLevelType w:val="hybridMultilevel"/>
    <w:tmpl w:val="867EF372"/>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12" w15:restartNumberingAfterBreak="0">
    <w:nsid w:val="32727FDA"/>
    <w:multiLevelType w:val="hybridMultilevel"/>
    <w:tmpl w:val="280CCB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48A3F86"/>
    <w:multiLevelType w:val="hybridMultilevel"/>
    <w:tmpl w:val="4C9ED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F715CF"/>
    <w:multiLevelType w:val="hybridMultilevel"/>
    <w:tmpl w:val="AB64A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765638"/>
    <w:multiLevelType w:val="hybridMultilevel"/>
    <w:tmpl w:val="D6C6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7769A"/>
    <w:multiLevelType w:val="hybridMultilevel"/>
    <w:tmpl w:val="F342C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C2B81"/>
    <w:multiLevelType w:val="hybridMultilevel"/>
    <w:tmpl w:val="09960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5D11C7"/>
    <w:multiLevelType w:val="hybridMultilevel"/>
    <w:tmpl w:val="7654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7A0"/>
    <w:multiLevelType w:val="hybridMultilevel"/>
    <w:tmpl w:val="24C6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A3816"/>
    <w:multiLevelType w:val="hybridMultilevel"/>
    <w:tmpl w:val="E24AF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F12FB"/>
    <w:multiLevelType w:val="hybridMultilevel"/>
    <w:tmpl w:val="08AE476E"/>
    <w:lvl w:ilvl="0" w:tplc="0DDAC5E8">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A4A40"/>
    <w:multiLevelType w:val="hybridMultilevel"/>
    <w:tmpl w:val="3FEA53A6"/>
    <w:lvl w:ilvl="0" w:tplc="C340F1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352273"/>
    <w:multiLevelType w:val="hybridMultilevel"/>
    <w:tmpl w:val="BA722348"/>
    <w:lvl w:ilvl="0" w:tplc="7CA402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F30ADD"/>
    <w:multiLevelType w:val="hybridMultilevel"/>
    <w:tmpl w:val="D132F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38550D"/>
    <w:multiLevelType w:val="hybridMultilevel"/>
    <w:tmpl w:val="AE5C8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7E173E"/>
    <w:multiLevelType w:val="hybridMultilevel"/>
    <w:tmpl w:val="AA6E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F33C7"/>
    <w:multiLevelType w:val="hybridMultilevel"/>
    <w:tmpl w:val="E9026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4349C"/>
    <w:multiLevelType w:val="hybridMultilevel"/>
    <w:tmpl w:val="FDDA3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5456F9"/>
    <w:multiLevelType w:val="hybridMultilevel"/>
    <w:tmpl w:val="6FEAFC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6C3BEC"/>
    <w:multiLevelType w:val="hybridMultilevel"/>
    <w:tmpl w:val="08C2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A14CA"/>
    <w:multiLevelType w:val="hybridMultilevel"/>
    <w:tmpl w:val="716EFEF0"/>
    <w:lvl w:ilvl="0" w:tplc="F7C841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41314"/>
    <w:multiLevelType w:val="hybridMultilevel"/>
    <w:tmpl w:val="F9E6AF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3E680A"/>
    <w:multiLevelType w:val="hybridMultilevel"/>
    <w:tmpl w:val="3202C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636AF6"/>
    <w:multiLevelType w:val="hybridMultilevel"/>
    <w:tmpl w:val="63F4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15EB5"/>
    <w:multiLevelType w:val="hybridMultilevel"/>
    <w:tmpl w:val="96D2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C4A0A"/>
    <w:multiLevelType w:val="hybridMultilevel"/>
    <w:tmpl w:val="622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54102A"/>
    <w:multiLevelType w:val="hybridMultilevel"/>
    <w:tmpl w:val="F9CA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126BF"/>
    <w:multiLevelType w:val="hybridMultilevel"/>
    <w:tmpl w:val="C5C2274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CE1C82"/>
    <w:multiLevelType w:val="hybridMultilevel"/>
    <w:tmpl w:val="A9DAA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DC706AC"/>
    <w:multiLevelType w:val="hybridMultilevel"/>
    <w:tmpl w:val="2ABA7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564780"/>
    <w:multiLevelType w:val="hybridMultilevel"/>
    <w:tmpl w:val="37B47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38"/>
  </w:num>
  <w:num w:numId="4">
    <w:abstractNumId w:val="35"/>
  </w:num>
  <w:num w:numId="5">
    <w:abstractNumId w:val="21"/>
  </w:num>
  <w:num w:numId="6">
    <w:abstractNumId w:val="4"/>
  </w:num>
  <w:num w:numId="7">
    <w:abstractNumId w:val="12"/>
  </w:num>
  <w:num w:numId="8">
    <w:abstractNumId w:val="4"/>
  </w:num>
  <w:num w:numId="9">
    <w:abstractNumId w:val="37"/>
  </w:num>
  <w:num w:numId="10">
    <w:abstractNumId w:val="30"/>
  </w:num>
  <w:num w:numId="11">
    <w:abstractNumId w:val="17"/>
  </w:num>
  <w:num w:numId="12">
    <w:abstractNumId w:val="6"/>
  </w:num>
  <w:num w:numId="13">
    <w:abstractNumId w:val="39"/>
  </w:num>
  <w:num w:numId="14">
    <w:abstractNumId w:val="13"/>
  </w:num>
  <w:num w:numId="15">
    <w:abstractNumId w:val="40"/>
  </w:num>
  <w:num w:numId="16">
    <w:abstractNumId w:val="2"/>
  </w:num>
  <w:num w:numId="17">
    <w:abstractNumId w:val="41"/>
  </w:num>
  <w:num w:numId="18">
    <w:abstractNumId w:val="14"/>
  </w:num>
  <w:num w:numId="19">
    <w:abstractNumId w:val="25"/>
  </w:num>
  <w:num w:numId="20">
    <w:abstractNumId w:val="31"/>
  </w:num>
  <w:num w:numId="21">
    <w:abstractNumId w:val="26"/>
  </w:num>
  <w:num w:numId="22">
    <w:abstractNumId w:val="9"/>
  </w:num>
  <w:num w:numId="23">
    <w:abstractNumId w:val="0"/>
  </w:num>
  <w:num w:numId="24">
    <w:abstractNumId w:val="19"/>
  </w:num>
  <w:num w:numId="25">
    <w:abstractNumId w:val="22"/>
  </w:num>
  <w:num w:numId="26">
    <w:abstractNumId w:val="11"/>
  </w:num>
  <w:num w:numId="27">
    <w:abstractNumId w:val="5"/>
  </w:num>
  <w:num w:numId="28">
    <w:abstractNumId w:val="28"/>
  </w:num>
  <w:num w:numId="29">
    <w:abstractNumId w:val="29"/>
  </w:num>
  <w:num w:numId="30">
    <w:abstractNumId w:val="27"/>
  </w:num>
  <w:num w:numId="31">
    <w:abstractNumId w:val="24"/>
  </w:num>
  <w:num w:numId="32">
    <w:abstractNumId w:val="32"/>
  </w:num>
  <w:num w:numId="33">
    <w:abstractNumId w:val="33"/>
  </w:num>
  <w:num w:numId="34">
    <w:abstractNumId w:val="1"/>
  </w:num>
  <w:num w:numId="35">
    <w:abstractNumId w:val="3"/>
  </w:num>
  <w:num w:numId="36">
    <w:abstractNumId w:val="10"/>
  </w:num>
  <w:num w:numId="37">
    <w:abstractNumId w:val="16"/>
  </w:num>
  <w:num w:numId="38">
    <w:abstractNumId w:val="18"/>
  </w:num>
  <w:num w:numId="39">
    <w:abstractNumId w:val="20"/>
  </w:num>
  <w:num w:numId="40">
    <w:abstractNumId w:val="8"/>
  </w:num>
  <w:num w:numId="41">
    <w:abstractNumId w:val="15"/>
  </w:num>
  <w:num w:numId="42">
    <w:abstractNumId w:val="36"/>
  </w:num>
  <w:num w:numId="43">
    <w:abstractNumId w:val="34"/>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81"/>
    <w:rsid w:val="00004253"/>
    <w:rsid w:val="000049B1"/>
    <w:rsid w:val="000053AC"/>
    <w:rsid w:val="00011C40"/>
    <w:rsid w:val="00016C8B"/>
    <w:rsid w:val="00035C95"/>
    <w:rsid w:val="00045296"/>
    <w:rsid w:val="000525EB"/>
    <w:rsid w:val="00060A1D"/>
    <w:rsid w:val="00062183"/>
    <w:rsid w:val="00062237"/>
    <w:rsid w:val="000646CB"/>
    <w:rsid w:val="000656C6"/>
    <w:rsid w:val="000720CA"/>
    <w:rsid w:val="00075230"/>
    <w:rsid w:val="00082A73"/>
    <w:rsid w:val="00085002"/>
    <w:rsid w:val="00087E2C"/>
    <w:rsid w:val="000A3E25"/>
    <w:rsid w:val="000A54B2"/>
    <w:rsid w:val="000A56B3"/>
    <w:rsid w:val="000A6F39"/>
    <w:rsid w:val="000B6CF0"/>
    <w:rsid w:val="000C5A15"/>
    <w:rsid w:val="000C7174"/>
    <w:rsid w:val="000D419F"/>
    <w:rsid w:val="000D66DC"/>
    <w:rsid w:val="000F0C44"/>
    <w:rsid w:val="000F2F02"/>
    <w:rsid w:val="000F7760"/>
    <w:rsid w:val="00101766"/>
    <w:rsid w:val="00101862"/>
    <w:rsid w:val="00104997"/>
    <w:rsid w:val="00113414"/>
    <w:rsid w:val="001142FA"/>
    <w:rsid w:val="00121FF7"/>
    <w:rsid w:val="001304CC"/>
    <w:rsid w:val="0013203B"/>
    <w:rsid w:val="00146CCA"/>
    <w:rsid w:val="00150353"/>
    <w:rsid w:val="00154CE1"/>
    <w:rsid w:val="00162ED4"/>
    <w:rsid w:val="00164734"/>
    <w:rsid w:val="00173690"/>
    <w:rsid w:val="00173806"/>
    <w:rsid w:val="00186D61"/>
    <w:rsid w:val="00193BE8"/>
    <w:rsid w:val="001A362A"/>
    <w:rsid w:val="001A6F6C"/>
    <w:rsid w:val="001B3FCB"/>
    <w:rsid w:val="001C17C2"/>
    <w:rsid w:val="001C2384"/>
    <w:rsid w:val="001C356E"/>
    <w:rsid w:val="001D6BE3"/>
    <w:rsid w:val="001F15AF"/>
    <w:rsid w:val="001F4AAB"/>
    <w:rsid w:val="001F5828"/>
    <w:rsid w:val="00201205"/>
    <w:rsid w:val="002051A5"/>
    <w:rsid w:val="002072B0"/>
    <w:rsid w:val="00214479"/>
    <w:rsid w:val="00217AC0"/>
    <w:rsid w:val="00224CB9"/>
    <w:rsid w:val="00224FFC"/>
    <w:rsid w:val="00233E1E"/>
    <w:rsid w:val="00235171"/>
    <w:rsid w:val="00241378"/>
    <w:rsid w:val="0024167A"/>
    <w:rsid w:val="00243360"/>
    <w:rsid w:val="00250502"/>
    <w:rsid w:val="00261DB1"/>
    <w:rsid w:val="00267995"/>
    <w:rsid w:val="00271E4F"/>
    <w:rsid w:val="00282954"/>
    <w:rsid w:val="0029033D"/>
    <w:rsid w:val="00291DDC"/>
    <w:rsid w:val="002923F8"/>
    <w:rsid w:val="00293BD0"/>
    <w:rsid w:val="002A0C66"/>
    <w:rsid w:val="002B277D"/>
    <w:rsid w:val="002B4B6C"/>
    <w:rsid w:val="002C6288"/>
    <w:rsid w:val="002D1CBC"/>
    <w:rsid w:val="002D33AA"/>
    <w:rsid w:val="002E452A"/>
    <w:rsid w:val="002F0030"/>
    <w:rsid w:val="002F2130"/>
    <w:rsid w:val="002F2A83"/>
    <w:rsid w:val="002F452A"/>
    <w:rsid w:val="002F7E32"/>
    <w:rsid w:val="003013F8"/>
    <w:rsid w:val="00301C34"/>
    <w:rsid w:val="00306424"/>
    <w:rsid w:val="003066FE"/>
    <w:rsid w:val="00316FA2"/>
    <w:rsid w:val="003330E9"/>
    <w:rsid w:val="0033353B"/>
    <w:rsid w:val="0034035A"/>
    <w:rsid w:val="00343F56"/>
    <w:rsid w:val="003445A8"/>
    <w:rsid w:val="00344954"/>
    <w:rsid w:val="00357515"/>
    <w:rsid w:val="00365E39"/>
    <w:rsid w:val="0036768B"/>
    <w:rsid w:val="00371EC5"/>
    <w:rsid w:val="0037385E"/>
    <w:rsid w:val="00380656"/>
    <w:rsid w:val="0038286F"/>
    <w:rsid w:val="00382F29"/>
    <w:rsid w:val="00385302"/>
    <w:rsid w:val="00387E20"/>
    <w:rsid w:val="00395B63"/>
    <w:rsid w:val="003A4EC4"/>
    <w:rsid w:val="003B1591"/>
    <w:rsid w:val="003B638A"/>
    <w:rsid w:val="003C0130"/>
    <w:rsid w:val="003C6662"/>
    <w:rsid w:val="003D155B"/>
    <w:rsid w:val="003E4263"/>
    <w:rsid w:val="003F6C0E"/>
    <w:rsid w:val="00400840"/>
    <w:rsid w:val="00402D9A"/>
    <w:rsid w:val="004033FB"/>
    <w:rsid w:val="00430A13"/>
    <w:rsid w:val="00430B89"/>
    <w:rsid w:val="00434E9B"/>
    <w:rsid w:val="004529A6"/>
    <w:rsid w:val="004558F4"/>
    <w:rsid w:val="00456782"/>
    <w:rsid w:val="00460154"/>
    <w:rsid w:val="0046480D"/>
    <w:rsid w:val="0046630F"/>
    <w:rsid w:val="0048140B"/>
    <w:rsid w:val="00487EF6"/>
    <w:rsid w:val="00490C80"/>
    <w:rsid w:val="00496DC7"/>
    <w:rsid w:val="00497F41"/>
    <w:rsid w:val="004B554A"/>
    <w:rsid w:val="004C0AAB"/>
    <w:rsid w:val="004C2255"/>
    <w:rsid w:val="004C796D"/>
    <w:rsid w:val="004D166C"/>
    <w:rsid w:val="004D2AB0"/>
    <w:rsid w:val="004D39FA"/>
    <w:rsid w:val="004D4218"/>
    <w:rsid w:val="004E5703"/>
    <w:rsid w:val="004E614F"/>
    <w:rsid w:val="004F2042"/>
    <w:rsid w:val="004F5DA4"/>
    <w:rsid w:val="004F69E0"/>
    <w:rsid w:val="0050180E"/>
    <w:rsid w:val="00505D43"/>
    <w:rsid w:val="00507399"/>
    <w:rsid w:val="00514AC1"/>
    <w:rsid w:val="00522DB4"/>
    <w:rsid w:val="0053056C"/>
    <w:rsid w:val="00530CEA"/>
    <w:rsid w:val="00531205"/>
    <w:rsid w:val="00540103"/>
    <w:rsid w:val="0054112D"/>
    <w:rsid w:val="00545D28"/>
    <w:rsid w:val="00551A23"/>
    <w:rsid w:val="00554C9D"/>
    <w:rsid w:val="0056246B"/>
    <w:rsid w:val="00564994"/>
    <w:rsid w:val="00565E2F"/>
    <w:rsid w:val="00567B81"/>
    <w:rsid w:val="00575114"/>
    <w:rsid w:val="00591CE5"/>
    <w:rsid w:val="00596298"/>
    <w:rsid w:val="005A48C6"/>
    <w:rsid w:val="005A4F1D"/>
    <w:rsid w:val="005B0E15"/>
    <w:rsid w:val="005C4C51"/>
    <w:rsid w:val="005F0A79"/>
    <w:rsid w:val="005F1954"/>
    <w:rsid w:val="005F1B4E"/>
    <w:rsid w:val="005F4125"/>
    <w:rsid w:val="00604573"/>
    <w:rsid w:val="006121EF"/>
    <w:rsid w:val="00615534"/>
    <w:rsid w:val="00616BD3"/>
    <w:rsid w:val="006177DE"/>
    <w:rsid w:val="00617F65"/>
    <w:rsid w:val="006201C9"/>
    <w:rsid w:val="00623161"/>
    <w:rsid w:val="006310D8"/>
    <w:rsid w:val="00635652"/>
    <w:rsid w:val="00650565"/>
    <w:rsid w:val="00654960"/>
    <w:rsid w:val="00661411"/>
    <w:rsid w:val="006616AC"/>
    <w:rsid w:val="00661775"/>
    <w:rsid w:val="00662413"/>
    <w:rsid w:val="00665BBF"/>
    <w:rsid w:val="00670F17"/>
    <w:rsid w:val="00671DDA"/>
    <w:rsid w:val="006722E5"/>
    <w:rsid w:val="006771ED"/>
    <w:rsid w:val="00683970"/>
    <w:rsid w:val="00692876"/>
    <w:rsid w:val="00692DF4"/>
    <w:rsid w:val="006A0EA2"/>
    <w:rsid w:val="006B372D"/>
    <w:rsid w:val="006B3AE6"/>
    <w:rsid w:val="006B609A"/>
    <w:rsid w:val="006C3447"/>
    <w:rsid w:val="006D0B2F"/>
    <w:rsid w:val="006D14FF"/>
    <w:rsid w:val="006D4BF3"/>
    <w:rsid w:val="006D6B90"/>
    <w:rsid w:val="006F08AB"/>
    <w:rsid w:val="006F3D8F"/>
    <w:rsid w:val="006F5972"/>
    <w:rsid w:val="0070027F"/>
    <w:rsid w:val="00705B15"/>
    <w:rsid w:val="00715D38"/>
    <w:rsid w:val="007207E9"/>
    <w:rsid w:val="007265A5"/>
    <w:rsid w:val="00735F9C"/>
    <w:rsid w:val="00736B6C"/>
    <w:rsid w:val="0074293D"/>
    <w:rsid w:val="0074627D"/>
    <w:rsid w:val="0075574A"/>
    <w:rsid w:val="00755EB2"/>
    <w:rsid w:val="0076415A"/>
    <w:rsid w:val="00773481"/>
    <w:rsid w:val="00775083"/>
    <w:rsid w:val="00777E2E"/>
    <w:rsid w:val="00781927"/>
    <w:rsid w:val="00785A0B"/>
    <w:rsid w:val="00786F7C"/>
    <w:rsid w:val="00787EE4"/>
    <w:rsid w:val="007A18A7"/>
    <w:rsid w:val="007A1FDC"/>
    <w:rsid w:val="007B31B5"/>
    <w:rsid w:val="007B68E5"/>
    <w:rsid w:val="007D2CD3"/>
    <w:rsid w:val="007D2E43"/>
    <w:rsid w:val="007E01A9"/>
    <w:rsid w:val="007F5190"/>
    <w:rsid w:val="007F6EF3"/>
    <w:rsid w:val="0080054B"/>
    <w:rsid w:val="00801C0F"/>
    <w:rsid w:val="00804328"/>
    <w:rsid w:val="008057F9"/>
    <w:rsid w:val="0081597E"/>
    <w:rsid w:val="00815F61"/>
    <w:rsid w:val="00832B0D"/>
    <w:rsid w:val="0083764C"/>
    <w:rsid w:val="00840257"/>
    <w:rsid w:val="00841A0C"/>
    <w:rsid w:val="00854708"/>
    <w:rsid w:val="00854E9B"/>
    <w:rsid w:val="00857F07"/>
    <w:rsid w:val="00857F46"/>
    <w:rsid w:val="00872D00"/>
    <w:rsid w:val="00876A5F"/>
    <w:rsid w:val="00882392"/>
    <w:rsid w:val="00882E56"/>
    <w:rsid w:val="008839BB"/>
    <w:rsid w:val="00885264"/>
    <w:rsid w:val="00886F6A"/>
    <w:rsid w:val="008B57AC"/>
    <w:rsid w:val="008D19C4"/>
    <w:rsid w:val="008E0A0A"/>
    <w:rsid w:val="008F1783"/>
    <w:rsid w:val="008F31D6"/>
    <w:rsid w:val="008F6981"/>
    <w:rsid w:val="00905A59"/>
    <w:rsid w:val="00906174"/>
    <w:rsid w:val="00915E58"/>
    <w:rsid w:val="00915F38"/>
    <w:rsid w:val="00916FF4"/>
    <w:rsid w:val="0092155C"/>
    <w:rsid w:val="00924763"/>
    <w:rsid w:val="00925634"/>
    <w:rsid w:val="00926401"/>
    <w:rsid w:val="00934632"/>
    <w:rsid w:val="00940E14"/>
    <w:rsid w:val="00945660"/>
    <w:rsid w:val="00954C57"/>
    <w:rsid w:val="00961355"/>
    <w:rsid w:val="00963F21"/>
    <w:rsid w:val="00964A49"/>
    <w:rsid w:val="00965DAA"/>
    <w:rsid w:val="00973F0B"/>
    <w:rsid w:val="00985E26"/>
    <w:rsid w:val="00990FFD"/>
    <w:rsid w:val="009B19B6"/>
    <w:rsid w:val="009B38F7"/>
    <w:rsid w:val="009B5D94"/>
    <w:rsid w:val="009B6DAE"/>
    <w:rsid w:val="009C488C"/>
    <w:rsid w:val="009C5A07"/>
    <w:rsid w:val="009C7FBA"/>
    <w:rsid w:val="009D745F"/>
    <w:rsid w:val="009D7D46"/>
    <w:rsid w:val="009E1582"/>
    <w:rsid w:val="009E276C"/>
    <w:rsid w:val="009E2C7F"/>
    <w:rsid w:val="009F24E1"/>
    <w:rsid w:val="009F3583"/>
    <w:rsid w:val="009F3C9C"/>
    <w:rsid w:val="009F79B2"/>
    <w:rsid w:val="00A0564B"/>
    <w:rsid w:val="00A05776"/>
    <w:rsid w:val="00A12BDA"/>
    <w:rsid w:val="00A34ED1"/>
    <w:rsid w:val="00A46553"/>
    <w:rsid w:val="00A473C1"/>
    <w:rsid w:val="00A47AC7"/>
    <w:rsid w:val="00A52255"/>
    <w:rsid w:val="00A570D8"/>
    <w:rsid w:val="00A81CC3"/>
    <w:rsid w:val="00A8204E"/>
    <w:rsid w:val="00A82561"/>
    <w:rsid w:val="00A82C36"/>
    <w:rsid w:val="00A83EE8"/>
    <w:rsid w:val="00A942BA"/>
    <w:rsid w:val="00AA5E80"/>
    <w:rsid w:val="00AA5FB5"/>
    <w:rsid w:val="00AB04B4"/>
    <w:rsid w:val="00AB7A8A"/>
    <w:rsid w:val="00AB7C77"/>
    <w:rsid w:val="00AC53F7"/>
    <w:rsid w:val="00AD504D"/>
    <w:rsid w:val="00AE214D"/>
    <w:rsid w:val="00AE6445"/>
    <w:rsid w:val="00AE7932"/>
    <w:rsid w:val="00AF189D"/>
    <w:rsid w:val="00AF4494"/>
    <w:rsid w:val="00AF451A"/>
    <w:rsid w:val="00B02980"/>
    <w:rsid w:val="00B04CDF"/>
    <w:rsid w:val="00B2561A"/>
    <w:rsid w:val="00B25A0D"/>
    <w:rsid w:val="00B30497"/>
    <w:rsid w:val="00B37FDE"/>
    <w:rsid w:val="00B45E75"/>
    <w:rsid w:val="00B500E5"/>
    <w:rsid w:val="00B51170"/>
    <w:rsid w:val="00B55216"/>
    <w:rsid w:val="00B56374"/>
    <w:rsid w:val="00B671F5"/>
    <w:rsid w:val="00B736D2"/>
    <w:rsid w:val="00B74B86"/>
    <w:rsid w:val="00B82E01"/>
    <w:rsid w:val="00B83163"/>
    <w:rsid w:val="00B872D0"/>
    <w:rsid w:val="00B9574D"/>
    <w:rsid w:val="00BA3620"/>
    <w:rsid w:val="00BB4D58"/>
    <w:rsid w:val="00BC5A85"/>
    <w:rsid w:val="00BD3F72"/>
    <w:rsid w:val="00BE33AB"/>
    <w:rsid w:val="00BF1C3A"/>
    <w:rsid w:val="00BF3C21"/>
    <w:rsid w:val="00C01310"/>
    <w:rsid w:val="00C03EF0"/>
    <w:rsid w:val="00C117D5"/>
    <w:rsid w:val="00C139D2"/>
    <w:rsid w:val="00C17C1F"/>
    <w:rsid w:val="00C2547F"/>
    <w:rsid w:val="00C319EA"/>
    <w:rsid w:val="00C34851"/>
    <w:rsid w:val="00C519F5"/>
    <w:rsid w:val="00C54181"/>
    <w:rsid w:val="00C54486"/>
    <w:rsid w:val="00C5448E"/>
    <w:rsid w:val="00C60A82"/>
    <w:rsid w:val="00C63648"/>
    <w:rsid w:val="00C76DC2"/>
    <w:rsid w:val="00C7721A"/>
    <w:rsid w:val="00C80F2F"/>
    <w:rsid w:val="00C81587"/>
    <w:rsid w:val="00C82E4A"/>
    <w:rsid w:val="00C866F0"/>
    <w:rsid w:val="00C921A0"/>
    <w:rsid w:val="00C93C22"/>
    <w:rsid w:val="00C957E5"/>
    <w:rsid w:val="00C966BB"/>
    <w:rsid w:val="00CA2786"/>
    <w:rsid w:val="00CA5219"/>
    <w:rsid w:val="00CC5128"/>
    <w:rsid w:val="00CD0C3E"/>
    <w:rsid w:val="00CD75FB"/>
    <w:rsid w:val="00D02038"/>
    <w:rsid w:val="00D15965"/>
    <w:rsid w:val="00D204B7"/>
    <w:rsid w:val="00D21B4D"/>
    <w:rsid w:val="00D31900"/>
    <w:rsid w:val="00D32804"/>
    <w:rsid w:val="00D33B20"/>
    <w:rsid w:val="00D36E33"/>
    <w:rsid w:val="00D44C62"/>
    <w:rsid w:val="00D47F05"/>
    <w:rsid w:val="00D5093E"/>
    <w:rsid w:val="00D52FD9"/>
    <w:rsid w:val="00D542BE"/>
    <w:rsid w:val="00D57637"/>
    <w:rsid w:val="00D616D4"/>
    <w:rsid w:val="00D62CB9"/>
    <w:rsid w:val="00D66E70"/>
    <w:rsid w:val="00D702EB"/>
    <w:rsid w:val="00D7145E"/>
    <w:rsid w:val="00D73BF4"/>
    <w:rsid w:val="00D746C0"/>
    <w:rsid w:val="00D76F15"/>
    <w:rsid w:val="00D828FF"/>
    <w:rsid w:val="00D83EC3"/>
    <w:rsid w:val="00D90006"/>
    <w:rsid w:val="00D97A19"/>
    <w:rsid w:val="00DA6BD3"/>
    <w:rsid w:val="00DB22F3"/>
    <w:rsid w:val="00DC602B"/>
    <w:rsid w:val="00DD641B"/>
    <w:rsid w:val="00DF5437"/>
    <w:rsid w:val="00DF68AC"/>
    <w:rsid w:val="00E005CE"/>
    <w:rsid w:val="00E01449"/>
    <w:rsid w:val="00E04EA8"/>
    <w:rsid w:val="00E11B2F"/>
    <w:rsid w:val="00E23B84"/>
    <w:rsid w:val="00E2605D"/>
    <w:rsid w:val="00E332CA"/>
    <w:rsid w:val="00E41444"/>
    <w:rsid w:val="00E4170C"/>
    <w:rsid w:val="00E647B5"/>
    <w:rsid w:val="00E71D49"/>
    <w:rsid w:val="00E73CD0"/>
    <w:rsid w:val="00E8253C"/>
    <w:rsid w:val="00E8500E"/>
    <w:rsid w:val="00E8502F"/>
    <w:rsid w:val="00EA49BC"/>
    <w:rsid w:val="00EA4FC5"/>
    <w:rsid w:val="00EB2705"/>
    <w:rsid w:val="00EB4D74"/>
    <w:rsid w:val="00EB63F6"/>
    <w:rsid w:val="00EB7C93"/>
    <w:rsid w:val="00EC06DA"/>
    <w:rsid w:val="00EC72E7"/>
    <w:rsid w:val="00ED057B"/>
    <w:rsid w:val="00EE6112"/>
    <w:rsid w:val="00EE69F4"/>
    <w:rsid w:val="00EE7626"/>
    <w:rsid w:val="00EF1AAB"/>
    <w:rsid w:val="00EF262A"/>
    <w:rsid w:val="00EF3950"/>
    <w:rsid w:val="00EF67F9"/>
    <w:rsid w:val="00F077FF"/>
    <w:rsid w:val="00F10922"/>
    <w:rsid w:val="00F116EF"/>
    <w:rsid w:val="00F139A1"/>
    <w:rsid w:val="00F20E51"/>
    <w:rsid w:val="00F255B3"/>
    <w:rsid w:val="00F3736C"/>
    <w:rsid w:val="00F544BB"/>
    <w:rsid w:val="00F57FF8"/>
    <w:rsid w:val="00F60A95"/>
    <w:rsid w:val="00F6291B"/>
    <w:rsid w:val="00F664BD"/>
    <w:rsid w:val="00F7207D"/>
    <w:rsid w:val="00F730D4"/>
    <w:rsid w:val="00F73389"/>
    <w:rsid w:val="00F73903"/>
    <w:rsid w:val="00F77A2D"/>
    <w:rsid w:val="00F77F50"/>
    <w:rsid w:val="00F801EC"/>
    <w:rsid w:val="00F84397"/>
    <w:rsid w:val="00FA459E"/>
    <w:rsid w:val="00FB1C0F"/>
    <w:rsid w:val="00FB75B8"/>
    <w:rsid w:val="00FB7A4D"/>
    <w:rsid w:val="00FC094E"/>
    <w:rsid w:val="00FC1089"/>
    <w:rsid w:val="00FC4C05"/>
    <w:rsid w:val="00FD065D"/>
    <w:rsid w:val="00FD76FC"/>
    <w:rsid w:val="00FE2458"/>
    <w:rsid w:val="00FF50AC"/>
    <w:rsid w:val="00FF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9EFA643-C242-4CA0-B5A9-D2E9D029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7DE"/>
  </w:style>
  <w:style w:type="paragraph" w:styleId="Heading2">
    <w:name w:val="heading 2"/>
    <w:basedOn w:val="Normal"/>
    <w:next w:val="Normal"/>
    <w:link w:val="Heading2Char"/>
    <w:uiPriority w:val="9"/>
    <w:unhideWhenUsed/>
    <w:qFormat/>
    <w:rsid w:val="00382F29"/>
    <w:pPr>
      <w:keepNext/>
      <w:keepLines/>
      <w:spacing w:before="40" w:after="0"/>
      <w:outlineLvl w:val="1"/>
    </w:pPr>
    <w:rPr>
      <w:rFonts w:eastAsiaTheme="majorEastAsia" w:cstheme="majorBidi"/>
      <w:b/>
      <w:color w:val="244061" w:themeColor="accent1"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54181"/>
    <w:pPr>
      <w:ind w:left="720"/>
      <w:contextualSpacing/>
    </w:pPr>
  </w:style>
  <w:style w:type="paragraph" w:styleId="BalloonText">
    <w:name w:val="Balloon Text"/>
    <w:basedOn w:val="Normal"/>
    <w:link w:val="BalloonTextChar"/>
    <w:uiPriority w:val="99"/>
    <w:semiHidden/>
    <w:unhideWhenUsed/>
    <w:rsid w:val="00D15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965"/>
    <w:rPr>
      <w:rFonts w:ascii="Segoe UI" w:hAnsi="Segoe UI" w:cs="Segoe UI"/>
      <w:sz w:val="18"/>
      <w:szCs w:val="18"/>
    </w:rPr>
  </w:style>
  <w:style w:type="character" w:styleId="CommentReference">
    <w:name w:val="annotation reference"/>
    <w:basedOn w:val="DefaultParagraphFont"/>
    <w:uiPriority w:val="99"/>
    <w:semiHidden/>
    <w:unhideWhenUsed/>
    <w:rsid w:val="00990FFD"/>
    <w:rPr>
      <w:sz w:val="16"/>
      <w:szCs w:val="16"/>
    </w:rPr>
  </w:style>
  <w:style w:type="paragraph" w:styleId="CommentText">
    <w:name w:val="annotation text"/>
    <w:basedOn w:val="Normal"/>
    <w:link w:val="CommentTextChar"/>
    <w:uiPriority w:val="99"/>
    <w:semiHidden/>
    <w:unhideWhenUsed/>
    <w:rsid w:val="00990FFD"/>
    <w:pPr>
      <w:spacing w:line="240" w:lineRule="auto"/>
    </w:pPr>
    <w:rPr>
      <w:sz w:val="20"/>
      <w:szCs w:val="20"/>
    </w:rPr>
  </w:style>
  <w:style w:type="character" w:customStyle="1" w:styleId="CommentTextChar">
    <w:name w:val="Comment Text Char"/>
    <w:basedOn w:val="DefaultParagraphFont"/>
    <w:link w:val="CommentText"/>
    <w:uiPriority w:val="99"/>
    <w:semiHidden/>
    <w:rsid w:val="00990FFD"/>
    <w:rPr>
      <w:sz w:val="20"/>
      <w:szCs w:val="20"/>
    </w:rPr>
  </w:style>
  <w:style w:type="paragraph" w:styleId="CommentSubject">
    <w:name w:val="annotation subject"/>
    <w:basedOn w:val="CommentText"/>
    <w:next w:val="CommentText"/>
    <w:link w:val="CommentSubjectChar"/>
    <w:uiPriority w:val="99"/>
    <w:semiHidden/>
    <w:unhideWhenUsed/>
    <w:rsid w:val="00990FFD"/>
    <w:rPr>
      <w:b/>
      <w:bCs/>
    </w:rPr>
  </w:style>
  <w:style w:type="character" w:customStyle="1" w:styleId="CommentSubjectChar">
    <w:name w:val="Comment Subject Char"/>
    <w:basedOn w:val="CommentTextChar"/>
    <w:link w:val="CommentSubject"/>
    <w:uiPriority w:val="99"/>
    <w:semiHidden/>
    <w:rsid w:val="00990FFD"/>
    <w:rPr>
      <w:b/>
      <w:bCs/>
      <w:sz w:val="20"/>
      <w:szCs w:val="20"/>
    </w:rPr>
  </w:style>
  <w:style w:type="paragraph" w:styleId="NormalWeb">
    <w:name w:val="Normal (Web)"/>
    <w:basedOn w:val="Normal"/>
    <w:uiPriority w:val="99"/>
    <w:unhideWhenUsed/>
    <w:rsid w:val="00B511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4218"/>
    <w:rPr>
      <w:color w:val="0000FF" w:themeColor="hyperlink"/>
      <w:u w:val="single"/>
    </w:rPr>
  </w:style>
  <w:style w:type="paragraph" w:styleId="Header">
    <w:name w:val="header"/>
    <w:basedOn w:val="Normal"/>
    <w:link w:val="HeaderChar"/>
    <w:uiPriority w:val="99"/>
    <w:unhideWhenUsed/>
    <w:rsid w:val="00565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E2F"/>
  </w:style>
  <w:style w:type="paragraph" w:styleId="Footer">
    <w:name w:val="footer"/>
    <w:basedOn w:val="Normal"/>
    <w:link w:val="FooterChar"/>
    <w:uiPriority w:val="99"/>
    <w:unhideWhenUsed/>
    <w:rsid w:val="00565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E2F"/>
  </w:style>
  <w:style w:type="paragraph" w:styleId="Revision">
    <w:name w:val="Revision"/>
    <w:hidden/>
    <w:uiPriority w:val="99"/>
    <w:semiHidden/>
    <w:rsid w:val="00250502"/>
    <w:pPr>
      <w:spacing w:after="0" w:line="240" w:lineRule="auto"/>
    </w:pPr>
  </w:style>
  <w:style w:type="character" w:customStyle="1" w:styleId="Heading2Char">
    <w:name w:val="Heading 2 Char"/>
    <w:basedOn w:val="DefaultParagraphFont"/>
    <w:link w:val="Heading2"/>
    <w:uiPriority w:val="9"/>
    <w:rsid w:val="00382F29"/>
    <w:rPr>
      <w:rFonts w:eastAsiaTheme="majorEastAsia" w:cstheme="majorBidi"/>
      <w:b/>
      <w:color w:val="244061" w:themeColor="accent1" w:themeShade="80"/>
      <w:sz w:val="28"/>
      <w:szCs w:val="26"/>
    </w:rPr>
  </w:style>
  <w:style w:type="table" w:styleId="TableGrid">
    <w:name w:val="Table Grid"/>
    <w:basedOn w:val="TableNormal"/>
    <w:uiPriority w:val="59"/>
    <w:rsid w:val="007F6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3620"/>
    <w:pPr>
      <w:autoSpaceDE w:val="0"/>
      <w:autoSpaceDN w:val="0"/>
      <w:adjustRightInd w:val="0"/>
      <w:spacing w:after="0" w:line="240" w:lineRule="auto"/>
    </w:pPr>
    <w:rPr>
      <w:rFonts w:ascii="Book Antiqua" w:eastAsia="Calibri"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094">
      <w:bodyDiv w:val="1"/>
      <w:marLeft w:val="0"/>
      <w:marRight w:val="0"/>
      <w:marTop w:val="0"/>
      <w:marBottom w:val="0"/>
      <w:divBdr>
        <w:top w:val="none" w:sz="0" w:space="0" w:color="auto"/>
        <w:left w:val="none" w:sz="0" w:space="0" w:color="auto"/>
        <w:bottom w:val="none" w:sz="0" w:space="0" w:color="auto"/>
        <w:right w:val="none" w:sz="0" w:space="0" w:color="auto"/>
      </w:divBdr>
    </w:div>
    <w:div w:id="381827858">
      <w:bodyDiv w:val="1"/>
      <w:marLeft w:val="0"/>
      <w:marRight w:val="0"/>
      <w:marTop w:val="0"/>
      <w:marBottom w:val="0"/>
      <w:divBdr>
        <w:top w:val="none" w:sz="0" w:space="0" w:color="auto"/>
        <w:left w:val="none" w:sz="0" w:space="0" w:color="auto"/>
        <w:bottom w:val="none" w:sz="0" w:space="0" w:color="auto"/>
        <w:right w:val="none" w:sz="0" w:space="0" w:color="auto"/>
      </w:divBdr>
    </w:div>
    <w:div w:id="404303229">
      <w:bodyDiv w:val="1"/>
      <w:marLeft w:val="0"/>
      <w:marRight w:val="0"/>
      <w:marTop w:val="0"/>
      <w:marBottom w:val="0"/>
      <w:divBdr>
        <w:top w:val="none" w:sz="0" w:space="0" w:color="auto"/>
        <w:left w:val="none" w:sz="0" w:space="0" w:color="auto"/>
        <w:bottom w:val="none" w:sz="0" w:space="0" w:color="auto"/>
        <w:right w:val="none" w:sz="0" w:space="0" w:color="auto"/>
      </w:divBdr>
    </w:div>
    <w:div w:id="1168211317">
      <w:bodyDiv w:val="1"/>
      <w:marLeft w:val="0"/>
      <w:marRight w:val="0"/>
      <w:marTop w:val="0"/>
      <w:marBottom w:val="0"/>
      <w:divBdr>
        <w:top w:val="none" w:sz="0" w:space="0" w:color="auto"/>
        <w:left w:val="none" w:sz="0" w:space="0" w:color="auto"/>
        <w:bottom w:val="none" w:sz="0" w:space="0" w:color="auto"/>
        <w:right w:val="none" w:sz="0" w:space="0" w:color="auto"/>
      </w:divBdr>
    </w:div>
    <w:div w:id="20979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crc.rfp-implement@maryland.gov"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phealth.dhmh.maryland.gov/transformation/SitePages/Home.aspx"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scrc.rfp-implement@marylan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A97751-5BA9-479C-87EC-528DE6400D32}"/>
</file>

<file path=customXml/itemProps2.xml><?xml version="1.0" encoding="utf-8"?>
<ds:datastoreItem xmlns:ds="http://schemas.openxmlformats.org/officeDocument/2006/customXml" ds:itemID="{3647B76D-9AAE-4FC7-9A5E-0DB8A87FE24F}"/>
</file>

<file path=customXml/itemProps3.xml><?xml version="1.0" encoding="utf-8"?>
<ds:datastoreItem xmlns:ds="http://schemas.openxmlformats.org/officeDocument/2006/customXml" ds:itemID="{DFBFF910-CFD2-49FE-8681-5FDA3B7287F3}"/>
</file>

<file path=customXml/itemProps4.xml><?xml version="1.0" encoding="utf-8"?>
<ds:datastoreItem xmlns:ds="http://schemas.openxmlformats.org/officeDocument/2006/customXml" ds:itemID="{859765ED-225D-4AA8-806E-3353A3248D6F}"/>
</file>

<file path=docProps/app.xml><?xml version="1.0" encoding="utf-8"?>
<Properties xmlns="http://schemas.openxmlformats.org/officeDocument/2006/extended-properties" xmlns:vt="http://schemas.openxmlformats.org/officeDocument/2006/docPropsVTypes">
  <Template>Normal.dotm</Template>
  <TotalTime>80</TotalTime>
  <Pages>22</Pages>
  <Words>5288</Words>
  <Characters>30146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Meghan Kirkpatrick</dc:creator>
  <cp:lastModifiedBy>Steve Ports</cp:lastModifiedBy>
  <cp:revision>4</cp:revision>
  <cp:lastPrinted>2015-11-13T16:35:00Z</cp:lastPrinted>
  <dcterms:created xsi:type="dcterms:W3CDTF">2015-11-13T14:58:00Z</dcterms:created>
  <dcterms:modified xsi:type="dcterms:W3CDTF">2015-11-13T16:36:00Z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