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67E3D" w14:textId="77777777" w:rsidR="009C5EBC" w:rsidRDefault="00E67B14" w:rsidP="00547224">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imes New Roman TUR" w:hAnsi="Times New Roman TUR" w:cs="Times New Roman TUR"/>
          <w:b w:val="0"/>
          <w:bCs w:val="0"/>
          <w:vanish/>
        </w:rPr>
        <w:sectPr w:rsidR="009C5EBC" w:rsidSect="00382567">
          <w:footerReference w:type="default" r:id="rId7"/>
          <w:footerReference w:type="first" r:id="rId8"/>
          <w:pgSz w:w="12240" w:h="15840" w:code="1"/>
          <w:pgMar w:top="4896" w:right="1440" w:bottom="720" w:left="1440" w:header="4608" w:footer="432" w:gutter="0"/>
          <w:pgNumType w:start="1"/>
          <w:cols w:space="720"/>
          <w:formProt w:val="0"/>
          <w:noEndnote/>
          <w:titlePg/>
          <w:docGrid w:linePitch="326"/>
        </w:sectPr>
      </w:pPr>
      <w:r>
        <w:rPr>
          <w:noProof/>
        </w:rPr>
        <mc:AlternateContent>
          <mc:Choice Requires="wps">
            <w:drawing>
              <wp:anchor distT="0" distB="0" distL="114300" distR="114300" simplePos="0" relativeHeight="251656704" behindDoc="1" locked="1" layoutInCell="0" allowOverlap="1" wp14:anchorId="2FD3653E" wp14:editId="5BDFD343">
                <wp:simplePos x="0" y="0"/>
                <wp:positionH relativeFrom="margin">
                  <wp:posOffset>-429895</wp:posOffset>
                </wp:positionH>
                <wp:positionV relativeFrom="margin">
                  <wp:posOffset>-2236470</wp:posOffset>
                </wp:positionV>
                <wp:extent cx="1765935" cy="21583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 cy="215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8E6F924"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Nelson J. Sabatini</w:t>
                            </w:r>
                          </w:p>
                          <w:p w14:paraId="3FF0A070"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14:paraId="0D47B1AC"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1277C3D1"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Joseph </w:t>
                            </w:r>
                            <w:proofErr w:type="spellStart"/>
                            <w:r>
                              <w:rPr>
                                <w:rFonts w:ascii="Arial" w:hAnsi="Arial" w:cs="Arial"/>
                                <w:b/>
                                <w:bCs/>
                                <w:color w:val="000080"/>
                                <w:sz w:val="16"/>
                                <w:szCs w:val="16"/>
                              </w:rPr>
                              <w:t>Antos</w:t>
                            </w:r>
                            <w:proofErr w:type="spellEnd"/>
                            <w:r>
                              <w:rPr>
                                <w:rFonts w:ascii="Arial" w:hAnsi="Arial" w:cs="Arial"/>
                                <w:b/>
                                <w:bCs/>
                                <w:color w:val="000080"/>
                                <w:sz w:val="16"/>
                                <w:szCs w:val="16"/>
                              </w:rPr>
                              <w:t>, PhD</w:t>
                            </w:r>
                          </w:p>
                          <w:p w14:paraId="179FE279"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14:paraId="6BC0029D"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403125E4"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Victoria W. Bayless</w:t>
                            </w:r>
                          </w:p>
                          <w:p w14:paraId="38876230"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CCE946B"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sidRPr="0043126C">
                              <w:rPr>
                                <w:rFonts w:ascii="Arial" w:hAnsi="Arial" w:cs="Arial"/>
                                <w:b/>
                                <w:bCs/>
                                <w:color w:val="000080"/>
                                <w:sz w:val="16"/>
                                <w:szCs w:val="16"/>
                              </w:rPr>
                              <w:t>James N. Elliott, M.D.</w:t>
                            </w:r>
                          </w:p>
                          <w:p w14:paraId="5C20A390"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6B2FAB38"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John M. </w:t>
                            </w:r>
                            <w:proofErr w:type="spellStart"/>
                            <w:r>
                              <w:rPr>
                                <w:rFonts w:ascii="Arial" w:hAnsi="Arial" w:cs="Arial"/>
                                <w:b/>
                                <w:bCs/>
                                <w:color w:val="000080"/>
                                <w:sz w:val="16"/>
                                <w:szCs w:val="16"/>
                              </w:rPr>
                              <w:t>Colmers</w:t>
                            </w:r>
                            <w:proofErr w:type="spellEnd"/>
                          </w:p>
                          <w:p w14:paraId="1EC8705E"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0A8B84B8"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Adam Kane</w:t>
                            </w:r>
                          </w:p>
                          <w:p w14:paraId="256F2DA9"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5376351"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Jack C. Keane</w:t>
                            </w:r>
                          </w:p>
                          <w:p w14:paraId="28E9F9BC"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31E7CEF"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3ABBC49"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5E62FFBB"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16F98027"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653E" id="Rectangle 2" o:spid="_x0000_s1026" style="position:absolute;margin-left:-33.85pt;margin-top:-176.1pt;width:139.05pt;height:169.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LLpwIAAJ4FAAAOAAAAZHJzL2Uyb0RvYy54bWysVG1v0zAQ/o7Ef7D8PcvL0j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" o:allowincell="f" filled="f" stroked="f" strokeweight="0">
                <v:textbox inset="0,0,0,0">
                  <w:txbxContent>
                    <w:p w14:paraId="28E6F924"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Nelson J. Sabatini</w:t>
                      </w:r>
                    </w:p>
                    <w:p w14:paraId="3FF0A070"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14:paraId="0D47B1AC"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1277C3D1"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Joseph Antos, PhD</w:t>
                      </w:r>
                    </w:p>
                    <w:p w14:paraId="179FE279"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14:paraId="6BC0029D"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403125E4"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Victoria W. Bayless</w:t>
                      </w:r>
                    </w:p>
                    <w:p w14:paraId="38876230"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CCE946B"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sidRPr="0043126C">
                        <w:rPr>
                          <w:rFonts w:ascii="Arial" w:hAnsi="Arial" w:cs="Arial"/>
                          <w:b/>
                          <w:bCs/>
                          <w:color w:val="000080"/>
                          <w:sz w:val="16"/>
                          <w:szCs w:val="16"/>
                        </w:rPr>
                        <w:t>James N. Elliott, M.D.</w:t>
                      </w:r>
                    </w:p>
                    <w:p w14:paraId="5C20A390"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6B2FAB38"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John M. Colmers</w:t>
                      </w:r>
                    </w:p>
                    <w:p w14:paraId="1EC8705E"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0A8B84B8"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Adam Kane</w:t>
                      </w:r>
                    </w:p>
                    <w:p w14:paraId="256F2DA9"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5376351"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Jack C. Keane</w:t>
                      </w:r>
                    </w:p>
                    <w:p w14:paraId="28E9F9BC"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31E7CEF"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33ABBC49"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5E62FFBB"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14:paraId="16F98027" w14:textId="77777777" w:rsidR="007C7733" w:rsidRDefault="007C7733"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7728" behindDoc="1" locked="1" layoutInCell="0" allowOverlap="1" wp14:anchorId="34B8A614" wp14:editId="2AC826F5">
                <wp:simplePos x="0" y="0"/>
                <wp:positionH relativeFrom="margin">
                  <wp:posOffset>4906010</wp:posOffset>
                </wp:positionH>
                <wp:positionV relativeFrom="margin">
                  <wp:posOffset>-2346960</wp:posOffset>
                </wp:positionV>
                <wp:extent cx="1572260" cy="2225040"/>
                <wp:effectExtent l="635" t="0" r="0" b="38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222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61EE29" w14:textId="77777777" w:rsidR="007C7733" w:rsidRDefault="007C7733" w:rsidP="00AB2E2C">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54FA8285"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Katie Wunderlich</w:t>
                            </w:r>
                          </w:p>
                          <w:p w14:paraId="296E0A40" w14:textId="77777777" w:rsidR="007C7733" w:rsidRDefault="007C7733" w:rsidP="00CE755D">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Executive Director</w:t>
                            </w:r>
                          </w:p>
                          <w:p w14:paraId="7D8BFC3C" w14:textId="77777777" w:rsidR="007C7733" w:rsidRDefault="007C7733" w:rsidP="00CE755D">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7E587278" w14:textId="77777777" w:rsidR="007C7733" w:rsidRDefault="007C7733" w:rsidP="002824C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Allan Pack, Director</w:t>
                            </w:r>
                          </w:p>
                          <w:p w14:paraId="222C5C5B" w14:textId="77777777" w:rsidR="007C7733" w:rsidRDefault="007C7733" w:rsidP="002824C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Population Based Methodologies</w:t>
                            </w:r>
                          </w:p>
                          <w:p w14:paraId="1ADFE527" w14:textId="77777777" w:rsidR="007C7733" w:rsidRDefault="007C7733" w:rsidP="00CE755D">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1A66D7B2"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Chris Peterson, Director</w:t>
                            </w:r>
                          </w:p>
                          <w:p w14:paraId="766D88EC"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Clinical &amp; Financial</w:t>
                            </w:r>
                          </w:p>
                          <w:p w14:paraId="632ACDF4"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Information</w:t>
                            </w:r>
                          </w:p>
                          <w:p w14:paraId="7C2BEC2B"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3C10285B"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Gerard J. Schmith, Director</w:t>
                            </w:r>
                          </w:p>
                          <w:p w14:paraId="52E8F2EA"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Revenue &amp; Regulation Compliance</w:t>
                            </w:r>
                          </w:p>
                          <w:p w14:paraId="4DBBDC44"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3AFDEDB4"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3A94D36E" w14:textId="77777777" w:rsidR="007C7733" w:rsidRPr="00F51FC0"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8A614" id="Rectangle 3" o:spid="_x0000_s1027" style="position:absolute;margin-left:386.3pt;margin-top:-184.8pt;width:123.8pt;height:175.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EzrAIAAKU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" o:allowincell="f" filled="f" stroked="f" strokeweight="0">
                <v:textbox inset="0,0,0,0">
                  <w:txbxContent>
                    <w:p w14:paraId="7161EE29" w14:textId="77777777" w:rsidR="007C7733" w:rsidRDefault="007C7733" w:rsidP="00AB2E2C">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54FA8285"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Katie Wunderlich</w:t>
                      </w:r>
                    </w:p>
                    <w:p w14:paraId="296E0A40" w14:textId="77777777" w:rsidR="007C7733" w:rsidRDefault="007C7733" w:rsidP="00CE755D">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Executive Director</w:t>
                      </w:r>
                    </w:p>
                    <w:p w14:paraId="7D8BFC3C" w14:textId="77777777" w:rsidR="007C7733" w:rsidRDefault="007C7733" w:rsidP="00CE755D">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7E587278" w14:textId="77777777" w:rsidR="007C7733" w:rsidRDefault="007C7733" w:rsidP="002824C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Allan Pack, Director</w:t>
                      </w:r>
                    </w:p>
                    <w:p w14:paraId="222C5C5B" w14:textId="77777777" w:rsidR="007C7733" w:rsidRDefault="007C7733" w:rsidP="002824C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Population Based Methodologies</w:t>
                      </w:r>
                    </w:p>
                    <w:p w14:paraId="1ADFE527" w14:textId="77777777" w:rsidR="007C7733" w:rsidRDefault="007C7733" w:rsidP="00CE755D">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1A66D7B2"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Chris Peterson, Director</w:t>
                      </w:r>
                    </w:p>
                    <w:p w14:paraId="766D88EC"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Clinical &amp; Financial</w:t>
                      </w:r>
                    </w:p>
                    <w:p w14:paraId="632ACDF4"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Information</w:t>
                      </w:r>
                    </w:p>
                    <w:p w14:paraId="7C2BEC2B"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3C10285B"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Gerard J. Schmith, Director</w:t>
                      </w:r>
                    </w:p>
                    <w:p w14:paraId="52E8F2EA"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Revenue &amp; Regulation Compliance</w:t>
                      </w:r>
                    </w:p>
                    <w:p w14:paraId="4DBBDC44"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3AFDEDB4" w14:textId="77777777" w:rsidR="007C7733" w:rsidRDefault="007C7733"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14:paraId="3A94D36E" w14:textId="77777777" w:rsidR="007C7733" w:rsidRPr="00F51FC0" w:rsidRDefault="007C7733">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sz w:val="20"/>
                          <w:szCs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8752" behindDoc="1" locked="1" layoutInCell="0" allowOverlap="1" wp14:anchorId="5B8B48BD" wp14:editId="09725C4C">
                <wp:simplePos x="0" y="0"/>
                <wp:positionH relativeFrom="margin">
                  <wp:posOffset>1185545</wp:posOffset>
                </wp:positionH>
                <wp:positionV relativeFrom="margin">
                  <wp:posOffset>-914400</wp:posOffset>
                </wp:positionV>
                <wp:extent cx="3583940" cy="670560"/>
                <wp:effectExtent l="4445" t="3810" r="2540" b="19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94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923AC64" w14:textId="77777777" w:rsidR="007C7733" w:rsidRDefault="007C7733">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sidRPr="00EE4A5D">
                              <w:rPr>
                                <w:sz w:val="24"/>
                                <w:szCs w:val="24"/>
                              </w:rPr>
                              <w:t>Health Services Cost Review Commission</w:t>
                            </w:r>
                          </w:p>
                          <w:p w14:paraId="08993DCA" w14:textId="77777777" w:rsidR="007C7733" w:rsidRDefault="007C7733">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14:paraId="79E43077" w14:textId="77777777" w:rsidR="007C7733" w:rsidRDefault="007C7733" w:rsidP="001059E8">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14:paraId="42244D60" w14:textId="77777777" w:rsidR="007C7733" w:rsidRDefault="007C7733">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14:paraId="05B9375E" w14:textId="77777777" w:rsidR="007C7733" w:rsidRPr="001C6448" w:rsidRDefault="007C7733">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9" w:history="1">
                              <w:r w:rsidRPr="001C6448">
                                <w:rPr>
                                  <w:rStyle w:val="Hyperlink"/>
                                  <w:rFonts w:ascii="Arial" w:hAnsi="Arial" w:cs="Arial"/>
                                  <w:color w:val="000080"/>
                                  <w:sz w:val="16"/>
                                  <w:szCs w:val="16"/>
                                  <w:u w:val="none"/>
                                </w:rPr>
                                <w:t>hscrc.maryland.gov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B48BD" id="Rectangle 4" o:spid="_x0000_s1028" style="position:absolute;margin-left:93.35pt;margin-top:-1in;width:282.2pt;height:52.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FgrAIAAKQ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" o:allowincell="f" filled="f" stroked="f" strokeweight="0">
                <v:textbox inset="0,0,0,0">
                  <w:txbxContent>
                    <w:p w14:paraId="1923AC64" w14:textId="77777777" w:rsidR="007C7733" w:rsidRDefault="007C7733">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sidRPr="00EE4A5D">
                        <w:rPr>
                          <w:sz w:val="24"/>
                          <w:szCs w:val="24"/>
                        </w:rPr>
                        <w:t>Health Services Cost Review Commission</w:t>
                      </w:r>
                    </w:p>
                    <w:p w14:paraId="08993DCA" w14:textId="77777777" w:rsidR="007C7733" w:rsidRDefault="007C7733">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14:paraId="79E43077" w14:textId="77777777" w:rsidR="007C7733" w:rsidRDefault="007C7733" w:rsidP="001059E8">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14:paraId="42244D60" w14:textId="77777777" w:rsidR="007C7733" w:rsidRDefault="007C7733">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14:paraId="05B9375E" w14:textId="77777777" w:rsidR="007C7733" w:rsidRPr="001C6448" w:rsidRDefault="007C7733">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10" w:history="1">
                        <w:r w:rsidRPr="001C6448">
                          <w:rPr>
                            <w:rStyle w:val="Hyperlink"/>
                            <w:rFonts w:ascii="Arial" w:hAnsi="Arial" w:cs="Arial"/>
                            <w:color w:val="000080"/>
                            <w:sz w:val="16"/>
                            <w:szCs w:val="16"/>
                            <w:u w:val="none"/>
                          </w:rPr>
                          <w:t>hscrc.maryland.gov</w:t>
                        </w:r>
                      </w:hyperlink>
                    </w:p>
                  </w:txbxContent>
                </v:textbox>
                <w10:wrap anchorx="margin" anchory="margin"/>
                <w10:anchorlock/>
              </v:rect>
            </w:pict>
          </mc:Fallback>
        </mc:AlternateContent>
      </w:r>
      <w:r>
        <w:rPr>
          <w:noProof/>
        </w:rPr>
        <mc:AlternateContent>
          <mc:Choice Requires="wps">
            <w:drawing>
              <wp:anchor distT="0" distB="0" distL="114300" distR="114300" simplePos="0" relativeHeight="251659776" behindDoc="1" locked="1" layoutInCell="0" allowOverlap="1" wp14:anchorId="034B76BA" wp14:editId="01166A02">
                <wp:simplePos x="0" y="0"/>
                <wp:positionH relativeFrom="margin">
                  <wp:posOffset>1336040</wp:posOffset>
                </wp:positionH>
                <wp:positionV relativeFrom="margin">
                  <wp:posOffset>-2670810</wp:posOffset>
                </wp:positionV>
                <wp:extent cx="3279140" cy="323850"/>
                <wp:effectExtent l="2540" t="0" r="4445"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91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17DEE27" w14:textId="77777777" w:rsidR="007C7733" w:rsidRPr="00EE4A5D" w:rsidRDefault="007C7733">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20"/>
                                <w:szCs w:val="20"/>
                              </w:rPr>
                            </w:pPr>
                            <w:r w:rsidRPr="00EE4A5D">
                              <w:rPr>
                                <w:rFonts w:ascii="Arial" w:hAnsi="Arial" w:cs="Arial"/>
                                <w:b/>
                                <w:bCs/>
                                <w:color w:val="000080"/>
                                <w:sz w:val="20"/>
                                <w:szCs w:val="20"/>
                              </w:rPr>
                              <w:t>State of Maryland</w:t>
                            </w:r>
                          </w:p>
                          <w:p w14:paraId="472624A3"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sidRPr="00EE4A5D">
                              <w:rPr>
                                <w:rFonts w:ascii="Arial" w:hAnsi="Arial" w:cs="Arial"/>
                                <w:b/>
                                <w:bCs/>
                                <w:color w:val="000080"/>
                                <w:sz w:val="20"/>
                                <w:szCs w:val="20"/>
                              </w:rPr>
                              <w:t>Department of Health</w:t>
                            </w:r>
                          </w:p>
                          <w:p w14:paraId="1D584C38"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B76BA" id="Rectangle 5" o:spid="_x0000_s1029" style="position:absolute;margin-left:105.2pt;margin-top:-210.3pt;width:258.2pt;height:2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" o:allowincell="f" filled="f" stroked="f" strokeweight="0">
                <v:textbox inset="0,0,0,0">
                  <w:txbxContent>
                    <w:p w14:paraId="317DEE27" w14:textId="77777777" w:rsidR="007C7733" w:rsidRPr="00EE4A5D" w:rsidRDefault="007C7733">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20"/>
                          <w:szCs w:val="20"/>
                        </w:rPr>
                      </w:pPr>
                      <w:r w:rsidRPr="00EE4A5D">
                        <w:rPr>
                          <w:rFonts w:ascii="Arial" w:hAnsi="Arial" w:cs="Arial"/>
                          <w:b/>
                          <w:bCs/>
                          <w:color w:val="000080"/>
                          <w:sz w:val="20"/>
                          <w:szCs w:val="20"/>
                        </w:rPr>
                        <w:t>State of Maryland</w:t>
                      </w:r>
                    </w:p>
                    <w:p w14:paraId="472624A3"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sidRPr="00EE4A5D">
                        <w:rPr>
                          <w:rFonts w:ascii="Arial" w:hAnsi="Arial" w:cs="Arial"/>
                          <w:b/>
                          <w:bCs/>
                          <w:color w:val="000080"/>
                          <w:sz w:val="20"/>
                          <w:szCs w:val="20"/>
                        </w:rPr>
                        <w:t>Department of Health</w:t>
                      </w:r>
                    </w:p>
                    <w:p w14:paraId="1D584C38" w14:textId="77777777" w:rsidR="007C7733" w:rsidRDefault="007C7733">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txbxContent>
                </v:textbox>
                <w10:wrap anchorx="margin" anchory="margin"/>
                <w10:anchorlock/>
              </v:rect>
            </w:pict>
          </mc:Fallback>
        </mc:AlternateContent>
      </w:r>
    </w:p>
    <w:p w14:paraId="6495A667" w14:textId="77777777" w:rsidR="00B26662" w:rsidRDefault="00E67B14">
      <w:pPr>
        <w:framePr w:w="3766" w:h="2154" w:hRule="exact" w:hSpace="240" w:vSpace="240" w:wrap="auto" w:vAnchor="page" w:hAnchor="page" w:x="4199" w:y="1285"/>
        <w:pBdr>
          <w:top w:val="single" w:sz="6" w:space="0" w:color="FFFFFF"/>
          <w:left w:val="single" w:sz="6" w:space="0" w:color="FFFFFF"/>
          <w:bottom w:val="single" w:sz="6" w:space="0" w:color="FFFFFF"/>
          <w:right w:val="single" w:sz="6" w:space="0" w:color="FFFFFF"/>
        </w:pBdr>
        <w:shd w:val="solid" w:color="FFFFFF" w:fill="FFFFFF"/>
        <w:rPr>
          <w:rFonts w:ascii="Times New Roman TUR" w:hAnsi="Times New Roman TUR" w:cs="Times New Roman TUR"/>
          <w:b/>
          <w:bCs/>
        </w:rPr>
      </w:pPr>
      <w:r>
        <w:rPr>
          <w:rFonts w:ascii="Times New Roman TUR" w:hAnsi="Times New Roman TUR" w:cs="Times New Roman TUR"/>
          <w:b/>
          <w:noProof/>
        </w:rPr>
        <w:drawing>
          <wp:inline distT="0" distB="0" distL="0" distR="0" wp14:anchorId="53ED7730" wp14:editId="58026092">
            <wp:extent cx="254508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465" t="-1604" r="-1465" b="-1604"/>
                    <a:stretch>
                      <a:fillRect/>
                    </a:stretch>
                  </pic:blipFill>
                  <pic:spPr bwMode="auto">
                    <a:xfrm>
                      <a:off x="0" y="0"/>
                      <a:ext cx="2545080" cy="1371600"/>
                    </a:xfrm>
                    <a:prstGeom prst="rect">
                      <a:avLst/>
                    </a:prstGeom>
                    <a:noFill/>
                    <a:ln>
                      <a:noFill/>
                    </a:ln>
                  </pic:spPr>
                </pic:pic>
              </a:graphicData>
            </a:graphic>
          </wp:inline>
        </w:drawing>
      </w:r>
    </w:p>
    <w:p w14:paraId="5C1D98C1" w14:textId="77777777" w:rsidR="00B26662" w:rsidRDefault="00E67B14">
      <w:pPr>
        <w:framePr w:w="4002" w:h="2154" w:hRule="exact" w:vSpace="240" w:wrap="auto" w:vAnchor="page" w:hAnchor="page" w:x="4081" w:y="1285"/>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cs="Times New Roman TUR"/>
          <w:b/>
          <w:bCs/>
        </w:rPr>
      </w:pPr>
      <w:r>
        <w:rPr>
          <w:noProof/>
        </w:rPr>
        <w:drawing>
          <wp:anchor distT="0" distB="0" distL="114300" distR="114300" simplePos="0" relativeHeight="251655680" behindDoc="0" locked="1" layoutInCell="1" allowOverlap="1" wp14:anchorId="6E3F9C99" wp14:editId="19679870">
            <wp:simplePos x="0" y="0"/>
            <wp:positionH relativeFrom="page">
              <wp:posOffset>-54610</wp:posOffset>
            </wp:positionH>
            <wp:positionV relativeFrom="page">
              <wp:posOffset>-33655</wp:posOffset>
            </wp:positionV>
            <wp:extent cx="2541905" cy="1368425"/>
            <wp:effectExtent l="0" t="0" r="0" b="3175"/>
            <wp:wrapTight wrapText="bothSides">
              <wp:wrapPolygon edited="0">
                <wp:start x="0" y="0"/>
                <wp:lineTo x="0" y="21349"/>
                <wp:lineTo x="21368" y="21349"/>
                <wp:lineTo x="21368" y="0"/>
                <wp:lineTo x="0" y="0"/>
              </wp:wrapPolygon>
            </wp:wrapTight>
            <wp:docPr id="6" name="Picture 7" descr="DHMH ALternative Seal - Reflex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MH ALternative Seal - Reflex 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1905" cy="1368425"/>
                    </a:xfrm>
                    <a:prstGeom prst="rect">
                      <a:avLst/>
                    </a:prstGeom>
                    <a:noFill/>
                  </pic:spPr>
                </pic:pic>
              </a:graphicData>
            </a:graphic>
            <wp14:sizeRelH relativeFrom="page">
              <wp14:pctWidth>0</wp14:pctWidth>
            </wp14:sizeRelH>
            <wp14:sizeRelV relativeFrom="page">
              <wp14:pctHeight>0</wp14:pctHeight>
            </wp14:sizeRelV>
          </wp:anchor>
        </w:drawing>
      </w:r>
    </w:p>
    <w:p w14:paraId="767A0E0F" w14:textId="77777777" w:rsidR="00382567" w:rsidRDefault="00412C47" w:rsidP="00412C47">
      <w:pPr>
        <w:spacing w:line="276" w:lineRule="auto"/>
        <w:rPr>
          <w:sz w:val="22"/>
          <w:szCs w:val="22"/>
        </w:rPr>
      </w:pPr>
      <w:r>
        <w:rPr>
          <w:sz w:val="22"/>
          <w:szCs w:val="22"/>
        </w:rPr>
        <w:t>To: Hospital CFOs</w:t>
      </w:r>
    </w:p>
    <w:p w14:paraId="437A4F82" w14:textId="77777777" w:rsidR="00412C47" w:rsidRDefault="00412C47" w:rsidP="00412C47">
      <w:pPr>
        <w:spacing w:line="276" w:lineRule="auto"/>
        <w:rPr>
          <w:sz w:val="22"/>
          <w:szCs w:val="22"/>
        </w:rPr>
      </w:pPr>
      <w:r>
        <w:rPr>
          <w:sz w:val="22"/>
          <w:szCs w:val="22"/>
        </w:rPr>
        <w:t>From: Chris Peterson, Principal Deputy Director</w:t>
      </w:r>
    </w:p>
    <w:p w14:paraId="46490405" w14:textId="378E49CB" w:rsidR="00412C47" w:rsidRDefault="00412C47" w:rsidP="00412C47">
      <w:pPr>
        <w:spacing w:line="276" w:lineRule="auto"/>
        <w:rPr>
          <w:sz w:val="22"/>
          <w:szCs w:val="22"/>
        </w:rPr>
      </w:pPr>
      <w:r>
        <w:rPr>
          <w:sz w:val="22"/>
          <w:szCs w:val="22"/>
        </w:rPr>
        <w:t>Date: Dec</w:t>
      </w:r>
      <w:r w:rsidR="0023538A">
        <w:rPr>
          <w:sz w:val="22"/>
          <w:szCs w:val="22"/>
        </w:rPr>
        <w:t>embe</w:t>
      </w:r>
      <w:r w:rsidR="0023538A" w:rsidRPr="0023538A">
        <w:rPr>
          <w:sz w:val="22"/>
          <w:szCs w:val="22"/>
        </w:rPr>
        <w:t>r</w:t>
      </w:r>
      <w:r w:rsidRPr="0023538A">
        <w:rPr>
          <w:sz w:val="22"/>
          <w:szCs w:val="22"/>
        </w:rPr>
        <w:t xml:space="preserve"> </w:t>
      </w:r>
      <w:r w:rsidR="0023538A" w:rsidRPr="0023538A">
        <w:rPr>
          <w:sz w:val="22"/>
          <w:szCs w:val="22"/>
        </w:rPr>
        <w:t>12</w:t>
      </w:r>
      <w:r w:rsidRPr="0023538A">
        <w:rPr>
          <w:sz w:val="22"/>
          <w:szCs w:val="22"/>
        </w:rPr>
        <w:t>, 2018</w:t>
      </w:r>
    </w:p>
    <w:p w14:paraId="7A2C0CD4" w14:textId="5AB64C27" w:rsidR="00412C47" w:rsidRDefault="00412C47" w:rsidP="00412C47">
      <w:pPr>
        <w:pBdr>
          <w:bottom w:val="single" w:sz="12" w:space="1" w:color="auto"/>
        </w:pBdr>
        <w:spacing w:line="276" w:lineRule="auto"/>
        <w:rPr>
          <w:sz w:val="22"/>
          <w:szCs w:val="22"/>
        </w:rPr>
      </w:pPr>
      <w:r>
        <w:rPr>
          <w:sz w:val="22"/>
          <w:szCs w:val="22"/>
        </w:rPr>
        <w:t>Re: RY 2021 Medicare Performance Adjustment</w:t>
      </w:r>
      <w:r w:rsidR="00123467">
        <w:rPr>
          <w:sz w:val="22"/>
          <w:szCs w:val="22"/>
        </w:rPr>
        <w:t>, Data Submission Guidance</w:t>
      </w:r>
      <w:r>
        <w:rPr>
          <w:sz w:val="22"/>
          <w:szCs w:val="22"/>
        </w:rPr>
        <w:t xml:space="preserve"> </w:t>
      </w:r>
      <w:r w:rsidR="00123467">
        <w:rPr>
          <w:sz w:val="22"/>
          <w:szCs w:val="22"/>
        </w:rPr>
        <w:t>and Documentation Requirements</w:t>
      </w:r>
    </w:p>
    <w:p w14:paraId="06F51921" w14:textId="77777777" w:rsidR="00412C47" w:rsidRDefault="00412C47" w:rsidP="00412C47">
      <w:pPr>
        <w:pBdr>
          <w:bottom w:val="single" w:sz="12" w:space="1" w:color="auto"/>
        </w:pBdr>
        <w:spacing w:line="276" w:lineRule="auto"/>
        <w:rPr>
          <w:sz w:val="22"/>
          <w:szCs w:val="22"/>
        </w:rPr>
      </w:pPr>
    </w:p>
    <w:p w14:paraId="03D1C110" w14:textId="77777777" w:rsidR="00412C47" w:rsidRDefault="00412C47" w:rsidP="00412C47">
      <w:pPr>
        <w:spacing w:line="276" w:lineRule="auto"/>
        <w:rPr>
          <w:sz w:val="22"/>
          <w:szCs w:val="22"/>
        </w:rPr>
      </w:pPr>
    </w:p>
    <w:p w14:paraId="2F6997AB" w14:textId="77777777" w:rsidR="00123467" w:rsidRDefault="00412C47" w:rsidP="00412C47">
      <w:pPr>
        <w:spacing w:line="276" w:lineRule="auto"/>
        <w:rPr>
          <w:sz w:val="22"/>
          <w:szCs w:val="22"/>
        </w:rPr>
      </w:pPr>
      <w:r>
        <w:rPr>
          <w:sz w:val="22"/>
          <w:szCs w:val="22"/>
        </w:rPr>
        <w:t xml:space="preserve">This memorandum </w:t>
      </w:r>
      <w:r w:rsidR="00AE01C8">
        <w:rPr>
          <w:sz w:val="22"/>
          <w:szCs w:val="22"/>
        </w:rPr>
        <w:t>serves</w:t>
      </w:r>
      <w:r>
        <w:rPr>
          <w:sz w:val="22"/>
          <w:szCs w:val="22"/>
        </w:rPr>
        <w:t xml:space="preserve"> to inform hospitals of the </w:t>
      </w:r>
      <w:r w:rsidR="00123467">
        <w:rPr>
          <w:sz w:val="22"/>
          <w:szCs w:val="22"/>
        </w:rPr>
        <w:t xml:space="preserve">data </w:t>
      </w:r>
      <w:r>
        <w:rPr>
          <w:sz w:val="22"/>
          <w:szCs w:val="22"/>
        </w:rPr>
        <w:t>submission guidance and documentation requirements for the Year 2 (Rate Year 2021) Medicare Performance Adjustment (MPA)</w:t>
      </w:r>
      <w:r w:rsidR="00123467">
        <w:rPr>
          <w:sz w:val="22"/>
          <w:szCs w:val="22"/>
        </w:rPr>
        <w:t xml:space="preserve">. </w:t>
      </w:r>
    </w:p>
    <w:p w14:paraId="0528372E" w14:textId="77777777" w:rsidR="00123467" w:rsidRDefault="00123467" w:rsidP="00412C47">
      <w:pPr>
        <w:spacing w:line="276" w:lineRule="auto"/>
        <w:rPr>
          <w:sz w:val="22"/>
          <w:szCs w:val="22"/>
        </w:rPr>
      </w:pPr>
    </w:p>
    <w:p w14:paraId="4388367A" w14:textId="4640CB37" w:rsidR="00123467" w:rsidRPr="00123467" w:rsidRDefault="00123467" w:rsidP="00123467">
      <w:pPr>
        <w:spacing w:line="276" w:lineRule="auto"/>
        <w:ind w:left="360"/>
        <w:rPr>
          <w:i/>
          <w:sz w:val="22"/>
          <w:szCs w:val="22"/>
        </w:rPr>
      </w:pPr>
      <w:r w:rsidRPr="00123467">
        <w:rPr>
          <w:i/>
          <w:sz w:val="22"/>
          <w:szCs w:val="22"/>
        </w:rPr>
        <w:t>Required Action</w:t>
      </w:r>
      <w:r w:rsidR="0036378F">
        <w:rPr>
          <w:i/>
          <w:sz w:val="22"/>
          <w:szCs w:val="22"/>
        </w:rPr>
        <w:t>s</w:t>
      </w:r>
      <w:r w:rsidRPr="00123467">
        <w:rPr>
          <w:i/>
          <w:sz w:val="22"/>
          <w:szCs w:val="22"/>
        </w:rPr>
        <w:t xml:space="preserve">: </w:t>
      </w:r>
    </w:p>
    <w:p w14:paraId="2263196A" w14:textId="05FB0A9D" w:rsidR="00123467" w:rsidRDefault="00123467" w:rsidP="00123467">
      <w:pPr>
        <w:pStyle w:val="ListParagraph"/>
        <w:numPr>
          <w:ilvl w:val="0"/>
          <w:numId w:val="5"/>
        </w:numPr>
        <w:spacing w:line="276" w:lineRule="auto"/>
        <w:ind w:left="1080"/>
        <w:rPr>
          <w:sz w:val="22"/>
          <w:szCs w:val="22"/>
        </w:rPr>
      </w:pPr>
      <w:r w:rsidRPr="00123467">
        <w:rPr>
          <w:sz w:val="22"/>
          <w:szCs w:val="22"/>
        </w:rPr>
        <w:t xml:space="preserve">Hospitals participating in accountable care organizations (ACOs) will be required to submit </w:t>
      </w:r>
      <w:r>
        <w:rPr>
          <w:sz w:val="22"/>
          <w:szCs w:val="22"/>
        </w:rPr>
        <w:t xml:space="preserve">their certified ACO </w:t>
      </w:r>
      <w:r w:rsidRPr="00123467">
        <w:rPr>
          <w:sz w:val="22"/>
          <w:szCs w:val="22"/>
        </w:rPr>
        <w:t xml:space="preserve">provider </w:t>
      </w:r>
      <w:r>
        <w:rPr>
          <w:sz w:val="22"/>
          <w:szCs w:val="22"/>
        </w:rPr>
        <w:t>list to the HSCRC for use in the MPA Attribution</w:t>
      </w:r>
      <w:r w:rsidRPr="00123467">
        <w:rPr>
          <w:sz w:val="22"/>
          <w:szCs w:val="22"/>
        </w:rPr>
        <w:t xml:space="preserve">. </w:t>
      </w:r>
    </w:p>
    <w:p w14:paraId="0AD2D82B" w14:textId="6AA1E1D8" w:rsidR="00123467" w:rsidRPr="00123467" w:rsidRDefault="00123467" w:rsidP="00123467">
      <w:pPr>
        <w:pStyle w:val="ListParagraph"/>
        <w:numPr>
          <w:ilvl w:val="0"/>
          <w:numId w:val="5"/>
        </w:numPr>
        <w:spacing w:line="276" w:lineRule="auto"/>
        <w:ind w:left="1080"/>
        <w:rPr>
          <w:sz w:val="22"/>
          <w:szCs w:val="22"/>
        </w:rPr>
      </w:pPr>
      <w:r>
        <w:rPr>
          <w:sz w:val="22"/>
          <w:szCs w:val="22"/>
        </w:rPr>
        <w:t xml:space="preserve">All hospitals will be required to attest that providers submitted to the HSCRC for the MPA Attribution </w:t>
      </w:r>
      <w:r w:rsidR="00FE2037">
        <w:rPr>
          <w:sz w:val="22"/>
          <w:szCs w:val="22"/>
        </w:rPr>
        <w:t>are accurate and represent</w:t>
      </w:r>
      <w:r>
        <w:rPr>
          <w:sz w:val="22"/>
          <w:szCs w:val="22"/>
        </w:rPr>
        <w:t xml:space="preserve"> a </w:t>
      </w:r>
      <w:r w:rsidR="0036378F">
        <w:rPr>
          <w:sz w:val="22"/>
          <w:szCs w:val="22"/>
        </w:rPr>
        <w:t>care coordination</w:t>
      </w:r>
      <w:r>
        <w:rPr>
          <w:sz w:val="22"/>
          <w:szCs w:val="22"/>
        </w:rPr>
        <w:t xml:space="preserve"> relationship with </w:t>
      </w:r>
      <w:r w:rsidR="00FE2037">
        <w:rPr>
          <w:sz w:val="22"/>
          <w:szCs w:val="22"/>
        </w:rPr>
        <w:t xml:space="preserve">attributed </w:t>
      </w:r>
      <w:r>
        <w:rPr>
          <w:sz w:val="22"/>
          <w:szCs w:val="22"/>
        </w:rPr>
        <w:t xml:space="preserve">Medicare beneficiaries. </w:t>
      </w:r>
    </w:p>
    <w:p w14:paraId="074BE54D" w14:textId="77777777" w:rsidR="00123467" w:rsidRDefault="00123467" w:rsidP="00123467">
      <w:pPr>
        <w:spacing w:line="276" w:lineRule="auto"/>
        <w:ind w:left="360"/>
        <w:rPr>
          <w:sz w:val="22"/>
          <w:szCs w:val="22"/>
        </w:rPr>
      </w:pPr>
    </w:p>
    <w:p w14:paraId="796125C8" w14:textId="3EC0CE94" w:rsidR="00123467" w:rsidRPr="00123467" w:rsidRDefault="00123467" w:rsidP="00123467">
      <w:pPr>
        <w:spacing w:line="276" w:lineRule="auto"/>
        <w:ind w:left="360"/>
        <w:rPr>
          <w:i/>
          <w:sz w:val="22"/>
          <w:szCs w:val="22"/>
        </w:rPr>
      </w:pPr>
      <w:r w:rsidRPr="00123467">
        <w:rPr>
          <w:i/>
          <w:sz w:val="22"/>
          <w:szCs w:val="22"/>
        </w:rPr>
        <w:t>Optional Action</w:t>
      </w:r>
      <w:r w:rsidR="0036378F">
        <w:rPr>
          <w:i/>
          <w:sz w:val="22"/>
          <w:szCs w:val="22"/>
        </w:rPr>
        <w:t>s</w:t>
      </w:r>
      <w:r w:rsidRPr="00123467">
        <w:rPr>
          <w:i/>
          <w:sz w:val="22"/>
          <w:szCs w:val="22"/>
        </w:rPr>
        <w:t xml:space="preserve">: </w:t>
      </w:r>
    </w:p>
    <w:p w14:paraId="5C29D790" w14:textId="524BEFF1" w:rsidR="00123467" w:rsidRDefault="00123467" w:rsidP="00123467">
      <w:pPr>
        <w:pStyle w:val="ListParagraph"/>
        <w:numPr>
          <w:ilvl w:val="0"/>
          <w:numId w:val="6"/>
        </w:numPr>
        <w:spacing w:line="276" w:lineRule="auto"/>
        <w:ind w:left="1080"/>
        <w:rPr>
          <w:sz w:val="22"/>
          <w:szCs w:val="22"/>
        </w:rPr>
      </w:pPr>
      <w:r w:rsidRPr="00123467">
        <w:rPr>
          <w:sz w:val="22"/>
          <w:szCs w:val="22"/>
        </w:rPr>
        <w:t>All hospitals will have the opportunity to share additional</w:t>
      </w:r>
      <w:r w:rsidR="0036378F">
        <w:rPr>
          <w:sz w:val="22"/>
          <w:szCs w:val="22"/>
        </w:rPr>
        <w:t>,</w:t>
      </w:r>
      <w:r w:rsidRPr="00123467">
        <w:rPr>
          <w:sz w:val="22"/>
          <w:szCs w:val="22"/>
        </w:rPr>
        <w:t xml:space="preserve"> voluntary provider information</w:t>
      </w:r>
      <w:r>
        <w:rPr>
          <w:sz w:val="22"/>
          <w:szCs w:val="22"/>
        </w:rPr>
        <w:t xml:space="preserve"> for use in the MPA Attribution Algorithm.</w:t>
      </w:r>
    </w:p>
    <w:p w14:paraId="20E82D86" w14:textId="05C1D631" w:rsidR="00412C47" w:rsidRPr="00123467" w:rsidRDefault="00123467" w:rsidP="00123467">
      <w:pPr>
        <w:pStyle w:val="ListParagraph"/>
        <w:numPr>
          <w:ilvl w:val="0"/>
          <w:numId w:val="6"/>
        </w:numPr>
        <w:spacing w:line="276" w:lineRule="auto"/>
        <w:ind w:left="1080"/>
        <w:rPr>
          <w:sz w:val="22"/>
          <w:szCs w:val="22"/>
        </w:rPr>
      </w:pPr>
      <w:r>
        <w:rPr>
          <w:sz w:val="22"/>
          <w:szCs w:val="22"/>
        </w:rPr>
        <w:t xml:space="preserve">Hospitals can elect to address Medicare Total Cost of Care (TCOC) together and combine MPAs. </w:t>
      </w:r>
      <w:r w:rsidRPr="00123467">
        <w:rPr>
          <w:sz w:val="22"/>
          <w:szCs w:val="22"/>
        </w:rPr>
        <w:t xml:space="preserve"> </w:t>
      </w:r>
    </w:p>
    <w:p w14:paraId="062735B1" w14:textId="77777777" w:rsidR="00412C47" w:rsidRDefault="00412C47" w:rsidP="00412C47">
      <w:pPr>
        <w:spacing w:line="276" w:lineRule="auto"/>
        <w:rPr>
          <w:sz w:val="22"/>
          <w:szCs w:val="22"/>
        </w:rPr>
      </w:pPr>
    </w:p>
    <w:p w14:paraId="23BFF2C3" w14:textId="77777777" w:rsidR="00123467" w:rsidRDefault="00123467" w:rsidP="00412C47">
      <w:pPr>
        <w:spacing w:line="276" w:lineRule="auto"/>
        <w:rPr>
          <w:b/>
          <w:sz w:val="22"/>
          <w:szCs w:val="22"/>
        </w:rPr>
      </w:pPr>
      <w:r w:rsidRPr="00123467">
        <w:rPr>
          <w:b/>
          <w:sz w:val="22"/>
          <w:szCs w:val="22"/>
        </w:rPr>
        <w:t>Background</w:t>
      </w:r>
    </w:p>
    <w:p w14:paraId="294369C5" w14:textId="15D0E1DC" w:rsidR="00412C47" w:rsidRDefault="00412C47" w:rsidP="00412C47">
      <w:pPr>
        <w:spacing w:line="276" w:lineRule="auto"/>
        <w:rPr>
          <w:sz w:val="22"/>
          <w:szCs w:val="22"/>
        </w:rPr>
      </w:pPr>
      <w:r>
        <w:rPr>
          <w:sz w:val="22"/>
          <w:szCs w:val="22"/>
        </w:rPr>
        <w:t>The MPA is a</w:t>
      </w:r>
      <w:r w:rsidRPr="00412C47">
        <w:rPr>
          <w:sz w:val="22"/>
          <w:szCs w:val="22"/>
        </w:rPr>
        <w:t xml:space="preserve"> scaled adjustment for each hospital based on its performance relative to</w:t>
      </w:r>
      <w:r w:rsidR="00123467">
        <w:rPr>
          <w:sz w:val="22"/>
          <w:szCs w:val="22"/>
        </w:rPr>
        <w:t xml:space="preserve"> a Medicare </w:t>
      </w:r>
      <w:r w:rsidRPr="00412C47">
        <w:rPr>
          <w:sz w:val="22"/>
          <w:szCs w:val="22"/>
        </w:rPr>
        <w:t>TCOC benchmark</w:t>
      </w:r>
      <w:r>
        <w:rPr>
          <w:sz w:val="22"/>
          <w:szCs w:val="22"/>
        </w:rPr>
        <w:t xml:space="preserve">. Its purpose is to bring direct accountability to individual hospitals </w:t>
      </w:r>
      <w:r w:rsidR="00123467">
        <w:rPr>
          <w:sz w:val="22"/>
          <w:szCs w:val="22"/>
        </w:rPr>
        <w:t xml:space="preserve">on Medicare </w:t>
      </w:r>
      <w:r>
        <w:rPr>
          <w:sz w:val="22"/>
          <w:szCs w:val="22"/>
        </w:rPr>
        <w:t xml:space="preserve">TCOC performance. The MPA attribution algorithm links beneficiaries to </w:t>
      </w:r>
      <w:r w:rsidR="001D3725">
        <w:rPr>
          <w:sz w:val="22"/>
          <w:szCs w:val="22"/>
        </w:rPr>
        <w:t xml:space="preserve">non-hospital </w:t>
      </w:r>
      <w:r>
        <w:rPr>
          <w:sz w:val="22"/>
          <w:szCs w:val="22"/>
        </w:rPr>
        <w:t xml:space="preserve">providers and </w:t>
      </w:r>
      <w:r w:rsidR="001D3725">
        <w:rPr>
          <w:sz w:val="22"/>
          <w:szCs w:val="22"/>
        </w:rPr>
        <w:t xml:space="preserve">those </w:t>
      </w:r>
      <w:r>
        <w:rPr>
          <w:sz w:val="22"/>
          <w:szCs w:val="22"/>
        </w:rPr>
        <w:t xml:space="preserve">providers to hospitals. </w:t>
      </w:r>
    </w:p>
    <w:p w14:paraId="6F5F37BB" w14:textId="77777777" w:rsidR="00123467" w:rsidRDefault="00123467" w:rsidP="00412C47">
      <w:pPr>
        <w:spacing w:line="276" w:lineRule="auto"/>
        <w:rPr>
          <w:sz w:val="22"/>
          <w:szCs w:val="22"/>
        </w:rPr>
      </w:pPr>
    </w:p>
    <w:p w14:paraId="32E9F5D3" w14:textId="5B144F86" w:rsidR="00123467" w:rsidRPr="00123467" w:rsidRDefault="00123467" w:rsidP="00412C47">
      <w:pPr>
        <w:spacing w:line="276" w:lineRule="auto"/>
        <w:rPr>
          <w:b/>
          <w:sz w:val="22"/>
          <w:szCs w:val="22"/>
        </w:rPr>
      </w:pPr>
      <w:r>
        <w:rPr>
          <w:b/>
          <w:sz w:val="22"/>
          <w:szCs w:val="22"/>
        </w:rPr>
        <w:t>Data Submission Guidance for</w:t>
      </w:r>
      <w:r w:rsidR="00872753">
        <w:rPr>
          <w:b/>
          <w:sz w:val="22"/>
          <w:szCs w:val="22"/>
        </w:rPr>
        <w:t xml:space="preserve"> the</w:t>
      </w:r>
      <w:bookmarkStart w:id="0" w:name="_GoBack"/>
      <w:bookmarkEnd w:id="0"/>
      <w:r>
        <w:rPr>
          <w:b/>
          <w:sz w:val="22"/>
          <w:szCs w:val="22"/>
        </w:rPr>
        <w:t xml:space="preserve"> MPA Attribution Algorithm</w:t>
      </w:r>
    </w:p>
    <w:p w14:paraId="67950399" w14:textId="6FB4E66A" w:rsidR="007C7733" w:rsidRDefault="00412C47" w:rsidP="00412C47">
      <w:pPr>
        <w:spacing w:line="276" w:lineRule="auto"/>
        <w:rPr>
          <w:sz w:val="22"/>
          <w:szCs w:val="22"/>
        </w:rPr>
      </w:pPr>
      <w:r>
        <w:rPr>
          <w:sz w:val="22"/>
          <w:szCs w:val="22"/>
        </w:rPr>
        <w:t xml:space="preserve">Based on feedback from the TCOC </w:t>
      </w:r>
      <w:r w:rsidR="001D3725">
        <w:rPr>
          <w:sz w:val="22"/>
          <w:szCs w:val="22"/>
        </w:rPr>
        <w:t>W</w:t>
      </w:r>
      <w:r>
        <w:rPr>
          <w:sz w:val="22"/>
          <w:szCs w:val="22"/>
        </w:rPr>
        <w:t xml:space="preserve">ork </w:t>
      </w:r>
      <w:r w:rsidR="001D3725">
        <w:rPr>
          <w:sz w:val="22"/>
          <w:szCs w:val="22"/>
        </w:rPr>
        <w:t>G</w:t>
      </w:r>
      <w:r>
        <w:rPr>
          <w:sz w:val="22"/>
          <w:szCs w:val="22"/>
        </w:rPr>
        <w:t>roup, the HSCRC has expanded the number of voluntary provider</w:t>
      </w:r>
      <w:r w:rsidR="00AE01C8">
        <w:rPr>
          <w:sz w:val="22"/>
          <w:szCs w:val="22"/>
        </w:rPr>
        <w:t>-to-hospital linkages</w:t>
      </w:r>
      <w:r>
        <w:rPr>
          <w:sz w:val="22"/>
          <w:szCs w:val="22"/>
        </w:rPr>
        <w:t xml:space="preserve"> to </w:t>
      </w:r>
      <w:r w:rsidR="001D3725">
        <w:rPr>
          <w:sz w:val="22"/>
          <w:szCs w:val="22"/>
        </w:rPr>
        <w:t xml:space="preserve">better </w:t>
      </w:r>
      <w:r>
        <w:rPr>
          <w:sz w:val="22"/>
          <w:szCs w:val="22"/>
        </w:rPr>
        <w:t>capture existing</w:t>
      </w:r>
      <w:r w:rsidR="00F7472C">
        <w:rPr>
          <w:sz w:val="22"/>
          <w:szCs w:val="22"/>
        </w:rPr>
        <w:t xml:space="preserve"> provider</w:t>
      </w:r>
      <w:r w:rsidR="00AE01C8">
        <w:rPr>
          <w:sz w:val="22"/>
          <w:szCs w:val="22"/>
        </w:rPr>
        <w:t>-to-</w:t>
      </w:r>
      <w:r w:rsidR="00F7472C">
        <w:rPr>
          <w:sz w:val="22"/>
          <w:szCs w:val="22"/>
        </w:rPr>
        <w:t>hospital</w:t>
      </w:r>
      <w:r>
        <w:rPr>
          <w:sz w:val="22"/>
          <w:szCs w:val="22"/>
        </w:rPr>
        <w:t xml:space="preserve"> relationships. Voluntary provider</w:t>
      </w:r>
      <w:r w:rsidR="00AE01C8">
        <w:rPr>
          <w:sz w:val="22"/>
          <w:szCs w:val="22"/>
        </w:rPr>
        <w:t>-to-</w:t>
      </w:r>
      <w:r>
        <w:rPr>
          <w:sz w:val="22"/>
          <w:szCs w:val="22"/>
        </w:rPr>
        <w:t xml:space="preserve">hospital linkages now include </w:t>
      </w:r>
      <w:r w:rsidR="00AD3B96">
        <w:rPr>
          <w:sz w:val="22"/>
          <w:szCs w:val="22"/>
        </w:rPr>
        <w:t>(</w:t>
      </w:r>
      <w:r>
        <w:rPr>
          <w:sz w:val="22"/>
          <w:szCs w:val="22"/>
        </w:rPr>
        <w:t xml:space="preserve">1) providers and practices participating in the Maryland Primary Care Program with a hospital-affiliated Care Transformation Organization (CTO), </w:t>
      </w:r>
      <w:r w:rsidR="00AD3B96">
        <w:rPr>
          <w:sz w:val="22"/>
          <w:szCs w:val="22"/>
        </w:rPr>
        <w:t>(</w:t>
      </w:r>
      <w:r>
        <w:rPr>
          <w:sz w:val="22"/>
          <w:szCs w:val="22"/>
        </w:rPr>
        <w:t xml:space="preserve">2) providers </w:t>
      </w:r>
      <w:r>
        <w:rPr>
          <w:sz w:val="22"/>
          <w:szCs w:val="22"/>
        </w:rPr>
        <w:lastRenderedPageBreak/>
        <w:t xml:space="preserve">participating with a hospital-affiliated ACO, and </w:t>
      </w:r>
      <w:r w:rsidR="00AD3B96">
        <w:rPr>
          <w:sz w:val="22"/>
          <w:szCs w:val="22"/>
        </w:rPr>
        <w:t>(</w:t>
      </w:r>
      <w:r>
        <w:rPr>
          <w:sz w:val="22"/>
          <w:szCs w:val="22"/>
        </w:rPr>
        <w:t xml:space="preserve">3) providers employed by a hospital entity.  </w:t>
      </w:r>
    </w:p>
    <w:p w14:paraId="5F621B98" w14:textId="77777777" w:rsidR="00FE2037" w:rsidRDefault="00FE2037" w:rsidP="00AE01C8">
      <w:pPr>
        <w:spacing w:line="276" w:lineRule="auto"/>
        <w:rPr>
          <w:i/>
          <w:sz w:val="22"/>
          <w:szCs w:val="22"/>
        </w:rPr>
      </w:pPr>
    </w:p>
    <w:p w14:paraId="308D96E2" w14:textId="17CCED1D" w:rsidR="00A23713" w:rsidRDefault="00123467" w:rsidP="00AE01C8">
      <w:pPr>
        <w:spacing w:line="276" w:lineRule="auto"/>
        <w:rPr>
          <w:sz w:val="22"/>
          <w:szCs w:val="22"/>
        </w:rPr>
      </w:pPr>
      <w:r>
        <w:rPr>
          <w:i/>
          <w:sz w:val="22"/>
          <w:szCs w:val="22"/>
        </w:rPr>
        <w:t xml:space="preserve">Required </w:t>
      </w:r>
      <w:r w:rsidR="00AE01C8">
        <w:rPr>
          <w:i/>
          <w:sz w:val="22"/>
          <w:szCs w:val="22"/>
        </w:rPr>
        <w:t xml:space="preserve">Submission </w:t>
      </w:r>
      <w:r>
        <w:rPr>
          <w:i/>
          <w:sz w:val="22"/>
          <w:szCs w:val="22"/>
        </w:rPr>
        <w:t>Guidance</w:t>
      </w:r>
      <w:r w:rsidR="00AE01C8">
        <w:rPr>
          <w:i/>
          <w:sz w:val="22"/>
          <w:szCs w:val="22"/>
        </w:rPr>
        <w:t xml:space="preserve">: </w:t>
      </w:r>
      <w:r w:rsidR="00A23713">
        <w:rPr>
          <w:sz w:val="22"/>
          <w:szCs w:val="22"/>
        </w:rPr>
        <w:t xml:space="preserve">The HSCRC will require hospitals to submit information for providers </w:t>
      </w:r>
      <w:proofErr w:type="gramStart"/>
      <w:r w:rsidR="00A23713">
        <w:rPr>
          <w:sz w:val="22"/>
          <w:szCs w:val="22"/>
        </w:rPr>
        <w:t>participating</w:t>
      </w:r>
      <w:proofErr w:type="gramEnd"/>
      <w:r w:rsidR="00A23713">
        <w:rPr>
          <w:sz w:val="22"/>
          <w:szCs w:val="22"/>
        </w:rPr>
        <w:t xml:space="preserve"> in </w:t>
      </w:r>
      <w:r w:rsidR="00AD3B96">
        <w:rPr>
          <w:sz w:val="22"/>
          <w:szCs w:val="22"/>
        </w:rPr>
        <w:t xml:space="preserve">a </w:t>
      </w:r>
      <w:r w:rsidR="00A23713">
        <w:rPr>
          <w:sz w:val="22"/>
          <w:szCs w:val="22"/>
        </w:rPr>
        <w:t>hospital-affiliated ACO. Hospitals should export their list of certified ACO provider</w:t>
      </w:r>
      <w:r w:rsidR="00AD3B96">
        <w:rPr>
          <w:sz w:val="22"/>
          <w:szCs w:val="22"/>
        </w:rPr>
        <w:t>s</w:t>
      </w:r>
      <w:r w:rsidR="00A23713">
        <w:rPr>
          <w:sz w:val="22"/>
          <w:szCs w:val="22"/>
        </w:rPr>
        <w:t xml:space="preserve"> from CMS’s ACO portal. </w:t>
      </w:r>
    </w:p>
    <w:p w14:paraId="7B2AF0FF" w14:textId="77777777" w:rsidR="00A23713" w:rsidRDefault="00A23713" w:rsidP="00AE01C8">
      <w:pPr>
        <w:spacing w:line="276" w:lineRule="auto"/>
        <w:rPr>
          <w:sz w:val="22"/>
          <w:szCs w:val="22"/>
        </w:rPr>
      </w:pPr>
    </w:p>
    <w:p w14:paraId="202C471E" w14:textId="5D4692AC" w:rsidR="00A23713" w:rsidRDefault="00A23713" w:rsidP="00A23713">
      <w:pPr>
        <w:spacing w:line="276" w:lineRule="auto"/>
        <w:rPr>
          <w:i/>
          <w:sz w:val="22"/>
          <w:szCs w:val="22"/>
        </w:rPr>
      </w:pPr>
      <w:r>
        <w:rPr>
          <w:i/>
          <w:sz w:val="22"/>
          <w:szCs w:val="22"/>
        </w:rPr>
        <w:t xml:space="preserve">Voluntary Submission Guidance: </w:t>
      </w:r>
      <w:r>
        <w:rPr>
          <w:sz w:val="22"/>
          <w:szCs w:val="22"/>
        </w:rPr>
        <w:t>Hospitals have the opportunity to share additional information with the HSCRC for use in the MPA Attribution Algorithm. Hospitals will be allowed to designate MD</w:t>
      </w:r>
      <w:r w:rsidR="00AD3B96">
        <w:rPr>
          <w:sz w:val="22"/>
          <w:szCs w:val="22"/>
        </w:rPr>
        <w:t>PCP</w:t>
      </w:r>
      <w:r>
        <w:rPr>
          <w:sz w:val="22"/>
          <w:szCs w:val="22"/>
        </w:rPr>
        <w:t xml:space="preserve"> practices connected to a hospital-affiliated Care Transformation Organization (CTO) to specific hospitals. Similarly, hospitals will be allowed to attribute providers participating in </w:t>
      </w:r>
      <w:r w:rsidR="00AD3B96">
        <w:rPr>
          <w:sz w:val="22"/>
          <w:szCs w:val="22"/>
        </w:rPr>
        <w:t xml:space="preserve">a </w:t>
      </w:r>
      <w:r>
        <w:rPr>
          <w:sz w:val="22"/>
          <w:szCs w:val="22"/>
        </w:rPr>
        <w:t>multi-hospital ACO to specific ACO hospital</w:t>
      </w:r>
      <w:r w:rsidR="00AD3B96">
        <w:rPr>
          <w:sz w:val="22"/>
          <w:szCs w:val="22"/>
        </w:rPr>
        <w:t>s</w:t>
      </w:r>
      <w:r>
        <w:rPr>
          <w:sz w:val="22"/>
          <w:szCs w:val="22"/>
        </w:rPr>
        <w:t xml:space="preserve">. Hospitals will also be </w:t>
      </w:r>
      <w:r w:rsidR="00AD3B96">
        <w:rPr>
          <w:sz w:val="22"/>
          <w:szCs w:val="22"/>
        </w:rPr>
        <w:t xml:space="preserve">able to </w:t>
      </w:r>
      <w:r>
        <w:rPr>
          <w:sz w:val="22"/>
          <w:szCs w:val="22"/>
        </w:rPr>
        <w:t xml:space="preserve">submit a list of </w:t>
      </w:r>
      <w:r w:rsidR="00AD3B96">
        <w:rPr>
          <w:sz w:val="22"/>
          <w:szCs w:val="22"/>
        </w:rPr>
        <w:t xml:space="preserve">full-time </w:t>
      </w:r>
      <w:r>
        <w:rPr>
          <w:sz w:val="22"/>
          <w:szCs w:val="22"/>
        </w:rPr>
        <w:t xml:space="preserve">employed providers to be attributed a specific hospital. </w:t>
      </w:r>
      <w:r w:rsidR="00C928DB">
        <w:rPr>
          <w:i/>
          <w:sz w:val="22"/>
          <w:szCs w:val="22"/>
        </w:rPr>
        <w:br/>
      </w:r>
    </w:p>
    <w:p w14:paraId="1D4A5438" w14:textId="2A961C11" w:rsidR="00A23713" w:rsidRDefault="00A23713" w:rsidP="00A23713">
      <w:pPr>
        <w:spacing w:line="276" w:lineRule="auto"/>
        <w:rPr>
          <w:sz w:val="22"/>
          <w:szCs w:val="22"/>
        </w:rPr>
      </w:pPr>
      <w:r>
        <w:rPr>
          <w:i/>
          <w:sz w:val="22"/>
          <w:szCs w:val="22"/>
        </w:rPr>
        <w:t xml:space="preserve">Defining Full-Time Provider Employment: </w:t>
      </w:r>
      <w:r>
        <w:rPr>
          <w:sz w:val="22"/>
          <w:szCs w:val="22"/>
        </w:rPr>
        <w:t xml:space="preserve">The HSCRC is adopting the Maryland Hospital Association’s definition of employment. Employed providers are those </w:t>
      </w:r>
      <w:r w:rsidRPr="00F7472C">
        <w:rPr>
          <w:sz w:val="22"/>
          <w:szCs w:val="22"/>
        </w:rPr>
        <w:t>who receive a W-2 from the</w:t>
      </w:r>
      <w:r>
        <w:rPr>
          <w:sz w:val="22"/>
          <w:szCs w:val="22"/>
        </w:rPr>
        <w:t xml:space="preserve"> </w:t>
      </w:r>
      <w:r w:rsidRPr="00F7472C">
        <w:rPr>
          <w:sz w:val="22"/>
          <w:szCs w:val="22"/>
        </w:rPr>
        <w:t>hospital or its parent or subsidiary organization for the calendar year preceding the performance</w:t>
      </w:r>
      <w:r>
        <w:rPr>
          <w:sz w:val="22"/>
          <w:szCs w:val="22"/>
        </w:rPr>
        <w:t xml:space="preserve"> </w:t>
      </w:r>
      <w:r w:rsidRPr="00F7472C">
        <w:rPr>
          <w:sz w:val="22"/>
          <w:szCs w:val="22"/>
        </w:rPr>
        <w:t xml:space="preserve">period </w:t>
      </w:r>
      <w:r>
        <w:rPr>
          <w:sz w:val="22"/>
          <w:szCs w:val="22"/>
        </w:rPr>
        <w:t xml:space="preserve">and who worked on a </w:t>
      </w:r>
      <w:r w:rsidRPr="00874A8F">
        <w:rPr>
          <w:sz w:val="22"/>
          <w:szCs w:val="22"/>
        </w:rPr>
        <w:t>full-time</w:t>
      </w:r>
      <w:r>
        <w:rPr>
          <w:sz w:val="22"/>
          <w:szCs w:val="22"/>
        </w:rPr>
        <w:t xml:space="preserve"> basis </w:t>
      </w:r>
      <w:r w:rsidRPr="00874A8F">
        <w:rPr>
          <w:sz w:val="22"/>
          <w:szCs w:val="22"/>
        </w:rPr>
        <w:t>with a single hospital/hospital system</w:t>
      </w:r>
      <w:r w:rsidRPr="00F7472C">
        <w:rPr>
          <w:sz w:val="22"/>
          <w:szCs w:val="22"/>
        </w:rPr>
        <w:t>.</w:t>
      </w:r>
    </w:p>
    <w:p w14:paraId="36788C69" w14:textId="43DA1DFD" w:rsidR="00C928DB" w:rsidRDefault="00C928DB" w:rsidP="00AE01C8">
      <w:pPr>
        <w:spacing w:line="276" w:lineRule="auto"/>
        <w:rPr>
          <w:i/>
          <w:sz w:val="22"/>
          <w:szCs w:val="22"/>
        </w:rPr>
      </w:pPr>
    </w:p>
    <w:p w14:paraId="5C8E54F0" w14:textId="08FEEA88" w:rsidR="00A23713" w:rsidRDefault="00A23713" w:rsidP="00AE01C8">
      <w:pPr>
        <w:spacing w:line="276" w:lineRule="auto"/>
        <w:rPr>
          <w:i/>
          <w:sz w:val="22"/>
          <w:szCs w:val="22"/>
        </w:rPr>
      </w:pPr>
      <w:r>
        <w:rPr>
          <w:b/>
          <w:sz w:val="22"/>
          <w:szCs w:val="22"/>
        </w:rPr>
        <w:t xml:space="preserve">Provider Information </w:t>
      </w:r>
      <w:r w:rsidR="00AE01C8" w:rsidRPr="00A23713">
        <w:rPr>
          <w:b/>
          <w:sz w:val="22"/>
          <w:szCs w:val="22"/>
        </w:rPr>
        <w:t xml:space="preserve">Submission </w:t>
      </w:r>
      <w:r w:rsidR="00435455">
        <w:rPr>
          <w:b/>
          <w:sz w:val="22"/>
          <w:szCs w:val="22"/>
        </w:rPr>
        <w:t xml:space="preserve">Instructions and </w:t>
      </w:r>
      <w:r w:rsidR="00AE01C8" w:rsidRPr="00A23713">
        <w:rPr>
          <w:b/>
          <w:sz w:val="22"/>
          <w:szCs w:val="22"/>
        </w:rPr>
        <w:t>Timing</w:t>
      </w:r>
      <w:r w:rsidR="00AE01C8">
        <w:rPr>
          <w:i/>
          <w:sz w:val="22"/>
          <w:szCs w:val="22"/>
        </w:rPr>
        <w:t xml:space="preserve"> </w:t>
      </w:r>
    </w:p>
    <w:p w14:paraId="188031B0" w14:textId="1CBECEE1" w:rsidR="00435455" w:rsidRDefault="00A23713" w:rsidP="00435455">
      <w:pPr>
        <w:spacing w:line="276" w:lineRule="auto"/>
        <w:rPr>
          <w:sz w:val="22"/>
          <w:szCs w:val="22"/>
        </w:rPr>
      </w:pPr>
      <w:r>
        <w:rPr>
          <w:sz w:val="22"/>
          <w:szCs w:val="22"/>
        </w:rPr>
        <w:t>H</w:t>
      </w:r>
      <w:r w:rsidR="00AE01C8">
        <w:rPr>
          <w:sz w:val="22"/>
          <w:szCs w:val="22"/>
        </w:rPr>
        <w:t xml:space="preserve">ospitals </w:t>
      </w:r>
      <w:r w:rsidR="001D3725">
        <w:rPr>
          <w:sz w:val="22"/>
          <w:szCs w:val="22"/>
        </w:rPr>
        <w:t xml:space="preserve">must </w:t>
      </w:r>
      <w:r w:rsidR="00AE01C8">
        <w:rPr>
          <w:sz w:val="22"/>
          <w:szCs w:val="22"/>
        </w:rPr>
        <w:t xml:space="preserve">submit </w:t>
      </w:r>
      <w:r>
        <w:rPr>
          <w:sz w:val="22"/>
          <w:szCs w:val="22"/>
        </w:rPr>
        <w:t xml:space="preserve">required and </w:t>
      </w:r>
      <w:r w:rsidR="001D3725">
        <w:rPr>
          <w:sz w:val="22"/>
          <w:szCs w:val="22"/>
        </w:rPr>
        <w:t xml:space="preserve">voluntary </w:t>
      </w:r>
      <w:r>
        <w:rPr>
          <w:sz w:val="22"/>
          <w:szCs w:val="22"/>
        </w:rPr>
        <w:t xml:space="preserve">provider </w:t>
      </w:r>
      <w:r w:rsidR="00AE01C8" w:rsidRPr="0023538A">
        <w:rPr>
          <w:sz w:val="22"/>
          <w:szCs w:val="22"/>
        </w:rPr>
        <w:t xml:space="preserve">information by </w:t>
      </w:r>
      <w:r w:rsidR="0023538A" w:rsidRPr="0023538A">
        <w:rPr>
          <w:sz w:val="22"/>
          <w:szCs w:val="22"/>
        </w:rPr>
        <w:t xml:space="preserve">January 4, 2019 </w:t>
      </w:r>
      <w:r w:rsidRPr="0023538A">
        <w:rPr>
          <w:sz w:val="22"/>
          <w:szCs w:val="22"/>
        </w:rPr>
        <w:t>for inclusion</w:t>
      </w:r>
      <w:r w:rsidRPr="00A23713">
        <w:rPr>
          <w:sz w:val="22"/>
          <w:szCs w:val="22"/>
        </w:rPr>
        <w:t xml:space="preserve"> in the Y2 MPA Attribution Algorithm</w:t>
      </w:r>
      <w:r w:rsidR="00933E11" w:rsidRPr="00A23713">
        <w:rPr>
          <w:sz w:val="22"/>
          <w:szCs w:val="22"/>
        </w:rPr>
        <w:t>.</w:t>
      </w:r>
      <w:r w:rsidR="00933E11">
        <w:rPr>
          <w:sz w:val="22"/>
          <w:szCs w:val="22"/>
        </w:rPr>
        <w:t xml:space="preserve"> </w:t>
      </w:r>
      <w:r w:rsidR="00435455">
        <w:rPr>
          <w:sz w:val="22"/>
          <w:szCs w:val="22"/>
        </w:rPr>
        <w:t>To facilitate submitting this information, the HSCRC is requesting hospitals use the a</w:t>
      </w:r>
      <w:r w:rsidR="00435455" w:rsidRPr="0023538A">
        <w:rPr>
          <w:sz w:val="22"/>
          <w:szCs w:val="22"/>
        </w:rPr>
        <w:t>ttached “MPA Year 2 -</w:t>
      </w:r>
      <w:r w:rsidR="0036378F" w:rsidRPr="0023538A">
        <w:rPr>
          <w:sz w:val="22"/>
          <w:szCs w:val="22"/>
        </w:rPr>
        <w:t xml:space="preserve"> </w:t>
      </w:r>
      <w:r w:rsidR="00435455" w:rsidRPr="0023538A">
        <w:rPr>
          <w:sz w:val="22"/>
          <w:szCs w:val="22"/>
        </w:rPr>
        <w:t>Data Submission”</w:t>
      </w:r>
      <w:r w:rsidR="00435455">
        <w:rPr>
          <w:sz w:val="22"/>
          <w:szCs w:val="22"/>
        </w:rPr>
        <w:t xml:space="preserve"> template. Instructions for the template are found in the first tab of the Excel workbook. </w:t>
      </w:r>
    </w:p>
    <w:p w14:paraId="23B850EA" w14:textId="77777777" w:rsidR="00435455" w:rsidRDefault="00435455" w:rsidP="00AE01C8">
      <w:pPr>
        <w:spacing w:line="276" w:lineRule="auto"/>
        <w:rPr>
          <w:sz w:val="22"/>
          <w:szCs w:val="22"/>
        </w:rPr>
      </w:pPr>
    </w:p>
    <w:p w14:paraId="412852B1" w14:textId="120D4FBA" w:rsidR="00AE01C8" w:rsidRPr="00AE01C8" w:rsidRDefault="00933E11" w:rsidP="00AE01C8">
      <w:pPr>
        <w:spacing w:line="276" w:lineRule="auto"/>
        <w:rPr>
          <w:sz w:val="22"/>
          <w:szCs w:val="22"/>
        </w:rPr>
      </w:pPr>
      <w:r>
        <w:rPr>
          <w:sz w:val="22"/>
          <w:szCs w:val="22"/>
        </w:rPr>
        <w:t xml:space="preserve">In January, the HSCRC will consolidate and review submitted provider-to-hospital linkage information and run a preliminary MPA attribution. This preliminary attribution information will then be distributed back to hospitals for their review. In February, the HSCRC will hold a review period during which hospitals can raise concerns with the attribution algorithm output. For more details on provider-to-hospital linkage submission timing, please review </w:t>
      </w:r>
      <w:r w:rsidR="00A23713">
        <w:rPr>
          <w:sz w:val="22"/>
          <w:szCs w:val="22"/>
        </w:rPr>
        <w:t>T</w:t>
      </w:r>
      <w:r>
        <w:rPr>
          <w:sz w:val="22"/>
          <w:szCs w:val="22"/>
        </w:rPr>
        <w:t xml:space="preserve">able </w:t>
      </w:r>
      <w:r w:rsidR="00A23713">
        <w:rPr>
          <w:sz w:val="22"/>
          <w:szCs w:val="22"/>
        </w:rPr>
        <w:t xml:space="preserve">1 </w:t>
      </w:r>
      <w:r>
        <w:rPr>
          <w:sz w:val="22"/>
          <w:szCs w:val="22"/>
        </w:rPr>
        <w:t>at the end of this memo.</w:t>
      </w:r>
    </w:p>
    <w:p w14:paraId="472A7021" w14:textId="77777777" w:rsidR="00F7472C" w:rsidRDefault="00F7472C" w:rsidP="00F7472C">
      <w:pPr>
        <w:spacing w:line="276" w:lineRule="auto"/>
        <w:rPr>
          <w:sz w:val="22"/>
          <w:szCs w:val="22"/>
        </w:rPr>
      </w:pPr>
    </w:p>
    <w:p w14:paraId="421C766F" w14:textId="0038FE68" w:rsidR="00F7472C" w:rsidRDefault="00F7472C" w:rsidP="00F7472C">
      <w:pPr>
        <w:spacing w:line="276" w:lineRule="auto"/>
        <w:rPr>
          <w:sz w:val="22"/>
          <w:szCs w:val="22"/>
        </w:rPr>
      </w:pPr>
      <w:r>
        <w:rPr>
          <w:i/>
          <w:sz w:val="22"/>
          <w:szCs w:val="22"/>
        </w:rPr>
        <w:t xml:space="preserve">Review Period: </w:t>
      </w:r>
      <w:r w:rsidRPr="00F7472C">
        <w:rPr>
          <w:sz w:val="22"/>
          <w:szCs w:val="22"/>
        </w:rPr>
        <w:t>Following the initial running of the attribution algorithm for Year 2, hospitals will</w:t>
      </w:r>
      <w:r w:rsidR="00AE01C8">
        <w:rPr>
          <w:sz w:val="22"/>
          <w:szCs w:val="22"/>
        </w:rPr>
        <w:t xml:space="preserve"> </w:t>
      </w:r>
      <w:r w:rsidRPr="00F7472C">
        <w:rPr>
          <w:sz w:val="22"/>
          <w:szCs w:val="22"/>
        </w:rPr>
        <w:t>have the opportunity to raise concerns about the attribution algorithm output. This period is</w:t>
      </w:r>
      <w:r w:rsidR="00AE01C8">
        <w:rPr>
          <w:sz w:val="22"/>
          <w:szCs w:val="22"/>
        </w:rPr>
        <w:t xml:space="preserve"> </w:t>
      </w:r>
      <w:r w:rsidRPr="00F7472C">
        <w:rPr>
          <w:sz w:val="22"/>
          <w:szCs w:val="22"/>
        </w:rPr>
        <w:t>intended to ensure the attribution algorithm is performing as expected, not as an opportunity to</w:t>
      </w:r>
      <w:r w:rsidR="00AE01C8">
        <w:rPr>
          <w:sz w:val="22"/>
          <w:szCs w:val="22"/>
        </w:rPr>
        <w:t xml:space="preserve"> </w:t>
      </w:r>
      <w:r w:rsidRPr="00F7472C">
        <w:rPr>
          <w:sz w:val="22"/>
          <w:szCs w:val="22"/>
        </w:rPr>
        <w:t>revisit the core elements of the algorithm.</w:t>
      </w:r>
      <w:r>
        <w:rPr>
          <w:sz w:val="22"/>
          <w:szCs w:val="22"/>
        </w:rPr>
        <w:t xml:space="preserve"> </w:t>
      </w:r>
      <w:r w:rsidRPr="00F7472C">
        <w:rPr>
          <w:sz w:val="22"/>
          <w:szCs w:val="22"/>
        </w:rPr>
        <w:t>The review period is intended to serve two purposes: (1) identify and correct mechanical errors</w:t>
      </w:r>
      <w:r>
        <w:rPr>
          <w:sz w:val="22"/>
          <w:szCs w:val="22"/>
        </w:rPr>
        <w:t xml:space="preserve"> </w:t>
      </w:r>
      <w:r w:rsidRPr="00F7472C">
        <w:rPr>
          <w:sz w:val="22"/>
          <w:szCs w:val="22"/>
        </w:rPr>
        <w:t>(e.g., incorrect data submissions); and (2) address specific</w:t>
      </w:r>
      <w:r w:rsidRPr="00F7472C">
        <w:rPr>
          <w:i/>
          <w:sz w:val="22"/>
          <w:szCs w:val="22"/>
        </w:rPr>
        <w:t xml:space="preserve"> </w:t>
      </w:r>
      <w:r w:rsidRPr="00F7472C">
        <w:rPr>
          <w:sz w:val="22"/>
          <w:szCs w:val="22"/>
        </w:rPr>
        <w:t>cases of unintended and misaligned linkages that do not reflect the intent of the MPA policy.</w:t>
      </w:r>
      <w:r w:rsidR="00874A8F">
        <w:rPr>
          <w:sz w:val="22"/>
          <w:szCs w:val="22"/>
        </w:rPr>
        <w:t xml:space="preserve"> </w:t>
      </w:r>
    </w:p>
    <w:p w14:paraId="367822B9" w14:textId="77777777" w:rsidR="00435455" w:rsidRDefault="00435455" w:rsidP="00F7472C">
      <w:pPr>
        <w:spacing w:line="276" w:lineRule="auto"/>
        <w:rPr>
          <w:sz w:val="22"/>
          <w:szCs w:val="22"/>
        </w:rPr>
      </w:pPr>
    </w:p>
    <w:p w14:paraId="39D8D957" w14:textId="4C760D73" w:rsidR="00435455" w:rsidRDefault="0036378F" w:rsidP="00F7472C">
      <w:pPr>
        <w:spacing w:line="276" w:lineRule="auto"/>
        <w:rPr>
          <w:b/>
          <w:sz w:val="22"/>
          <w:szCs w:val="22"/>
        </w:rPr>
      </w:pPr>
      <w:r>
        <w:rPr>
          <w:b/>
          <w:sz w:val="22"/>
          <w:szCs w:val="22"/>
        </w:rPr>
        <w:t>Care Coordination</w:t>
      </w:r>
      <w:r w:rsidR="00435455">
        <w:rPr>
          <w:b/>
          <w:sz w:val="22"/>
          <w:szCs w:val="22"/>
        </w:rPr>
        <w:t xml:space="preserve"> Relationship Attestation</w:t>
      </w:r>
    </w:p>
    <w:p w14:paraId="4F16B90B" w14:textId="50AC7CE4" w:rsidR="00435455" w:rsidRPr="00435455" w:rsidRDefault="00435455" w:rsidP="00F7472C">
      <w:pPr>
        <w:spacing w:line="276" w:lineRule="auto"/>
        <w:rPr>
          <w:sz w:val="22"/>
          <w:szCs w:val="22"/>
        </w:rPr>
      </w:pPr>
      <w:r w:rsidRPr="0023538A">
        <w:rPr>
          <w:sz w:val="22"/>
          <w:szCs w:val="22"/>
        </w:rPr>
        <w:t xml:space="preserve">All hospitals will be required to </w:t>
      </w:r>
      <w:r w:rsidR="0036378F" w:rsidRPr="0023538A">
        <w:rPr>
          <w:sz w:val="22"/>
          <w:szCs w:val="22"/>
        </w:rPr>
        <w:t xml:space="preserve">attest to </w:t>
      </w:r>
      <w:r w:rsidR="00FE2037" w:rsidRPr="0023538A">
        <w:rPr>
          <w:sz w:val="22"/>
          <w:szCs w:val="22"/>
        </w:rPr>
        <w:t xml:space="preserve">the accuracy of their submitted provider-linkage lists </w:t>
      </w:r>
      <w:r w:rsidR="0036378F" w:rsidRPr="0023538A">
        <w:rPr>
          <w:sz w:val="22"/>
          <w:szCs w:val="22"/>
        </w:rPr>
        <w:t>in their MPA Cover Letter and Attestation Form</w:t>
      </w:r>
      <w:r w:rsidRPr="0023538A">
        <w:rPr>
          <w:sz w:val="22"/>
          <w:szCs w:val="22"/>
        </w:rPr>
        <w:t xml:space="preserve">. The purpose of this </w:t>
      </w:r>
      <w:r w:rsidR="0036378F" w:rsidRPr="0023538A">
        <w:rPr>
          <w:sz w:val="22"/>
          <w:szCs w:val="22"/>
        </w:rPr>
        <w:t>Care Coordination</w:t>
      </w:r>
      <w:r w:rsidRPr="0023538A">
        <w:rPr>
          <w:sz w:val="22"/>
          <w:szCs w:val="22"/>
        </w:rPr>
        <w:t xml:space="preserve"> Relationship Attestation is to </w:t>
      </w:r>
      <w:r w:rsidR="00B34D0B" w:rsidRPr="0023538A">
        <w:rPr>
          <w:sz w:val="22"/>
          <w:szCs w:val="22"/>
        </w:rPr>
        <w:t xml:space="preserve">also </w:t>
      </w:r>
      <w:r w:rsidRPr="0023538A">
        <w:rPr>
          <w:sz w:val="22"/>
          <w:szCs w:val="22"/>
        </w:rPr>
        <w:t xml:space="preserve">allow CRISP to share patient-level data with hospitals for the purposes of care management and population health. Hospitals must submit this </w:t>
      </w:r>
      <w:r w:rsidR="0036378F" w:rsidRPr="0023538A">
        <w:rPr>
          <w:sz w:val="22"/>
          <w:szCs w:val="22"/>
        </w:rPr>
        <w:t>MPA Cover Letter and Attestation Form</w:t>
      </w:r>
      <w:r w:rsidRPr="0023538A">
        <w:rPr>
          <w:sz w:val="22"/>
          <w:szCs w:val="22"/>
        </w:rPr>
        <w:t xml:space="preserve"> by </w:t>
      </w:r>
      <w:r w:rsidR="0023538A" w:rsidRPr="0023538A">
        <w:rPr>
          <w:sz w:val="22"/>
          <w:szCs w:val="22"/>
        </w:rPr>
        <w:t>January 4, 2019,</w:t>
      </w:r>
    </w:p>
    <w:p w14:paraId="58F84EFF" w14:textId="77777777" w:rsidR="00933E11" w:rsidRDefault="00933E11" w:rsidP="00F7472C">
      <w:pPr>
        <w:spacing w:line="276" w:lineRule="auto"/>
        <w:rPr>
          <w:sz w:val="22"/>
          <w:szCs w:val="22"/>
        </w:rPr>
      </w:pPr>
    </w:p>
    <w:p w14:paraId="0E4EE4A5" w14:textId="38D872F8" w:rsidR="00A23713" w:rsidRPr="00A23713" w:rsidRDefault="00A23713" w:rsidP="00F7472C">
      <w:pPr>
        <w:spacing w:line="276" w:lineRule="auto"/>
        <w:rPr>
          <w:sz w:val="22"/>
          <w:szCs w:val="22"/>
        </w:rPr>
      </w:pPr>
      <w:r w:rsidRPr="00A23713">
        <w:rPr>
          <w:b/>
          <w:sz w:val="22"/>
          <w:szCs w:val="22"/>
        </w:rPr>
        <w:lastRenderedPageBreak/>
        <w:t>Partnerships to Address TCOC and Combining</w:t>
      </w:r>
      <w:r w:rsidR="00933E11" w:rsidRPr="00A23713">
        <w:rPr>
          <w:b/>
          <w:sz w:val="22"/>
          <w:szCs w:val="22"/>
        </w:rPr>
        <w:t xml:space="preserve"> MPA</w:t>
      </w:r>
      <w:r w:rsidRPr="00A23713">
        <w:rPr>
          <w:b/>
          <w:sz w:val="22"/>
          <w:szCs w:val="22"/>
        </w:rPr>
        <w:t>s</w:t>
      </w:r>
    </w:p>
    <w:p w14:paraId="48FB8233" w14:textId="0265D863" w:rsidR="00933E11" w:rsidRDefault="007B7762" w:rsidP="00F7472C">
      <w:pPr>
        <w:spacing w:line="276" w:lineRule="auto"/>
        <w:rPr>
          <w:sz w:val="22"/>
          <w:szCs w:val="22"/>
        </w:rPr>
      </w:pPr>
      <w:r>
        <w:rPr>
          <w:sz w:val="22"/>
          <w:szCs w:val="22"/>
        </w:rPr>
        <w:t>Like last year,</w:t>
      </w:r>
      <w:r w:rsidR="00933E11">
        <w:rPr>
          <w:sz w:val="22"/>
          <w:szCs w:val="22"/>
        </w:rPr>
        <w:t xml:space="preserve"> </w:t>
      </w:r>
      <w:r w:rsidR="00933E11" w:rsidRPr="00933E11">
        <w:rPr>
          <w:sz w:val="22"/>
          <w:szCs w:val="22"/>
        </w:rPr>
        <w:t>multiple hospitals</w:t>
      </w:r>
      <w:r>
        <w:rPr>
          <w:sz w:val="22"/>
          <w:szCs w:val="22"/>
        </w:rPr>
        <w:t xml:space="preserve"> are permitted </w:t>
      </w:r>
      <w:r w:rsidR="00A23713">
        <w:rPr>
          <w:sz w:val="22"/>
          <w:szCs w:val="22"/>
        </w:rPr>
        <w:t>to come together to address TCOC and</w:t>
      </w:r>
      <w:r>
        <w:rPr>
          <w:sz w:val="22"/>
          <w:szCs w:val="22"/>
        </w:rPr>
        <w:t xml:space="preserve"> </w:t>
      </w:r>
      <w:r w:rsidR="00A23713">
        <w:rPr>
          <w:sz w:val="22"/>
          <w:szCs w:val="22"/>
        </w:rPr>
        <w:t xml:space="preserve">combine their </w:t>
      </w:r>
      <w:r w:rsidR="00933E11" w:rsidRPr="00933E11">
        <w:rPr>
          <w:sz w:val="22"/>
          <w:szCs w:val="22"/>
        </w:rPr>
        <w:t>MPA assessment</w:t>
      </w:r>
      <w:r w:rsidR="00933E11">
        <w:rPr>
          <w:sz w:val="22"/>
          <w:szCs w:val="22"/>
        </w:rPr>
        <w:t xml:space="preserve">. </w:t>
      </w:r>
      <w:r w:rsidR="00933E11" w:rsidRPr="00933E11">
        <w:rPr>
          <w:sz w:val="22"/>
          <w:szCs w:val="22"/>
        </w:rPr>
        <w:t>The MPA attribution will still be performed for all hospitals individually. Then, for hospitals being combined for purposes of the MPA, the total cost of care and beneficiaries will be pooled. The combined total cost of care per capita will be used to assess performance. The adjustment calculated on the combined total cost of care per capita will be applied to each hospital in the combination. Hospitals outside of the combination will not be affected.</w:t>
      </w:r>
    </w:p>
    <w:p w14:paraId="182B01BE" w14:textId="77777777" w:rsidR="00A23713" w:rsidRDefault="00A23713" w:rsidP="00F7472C">
      <w:pPr>
        <w:spacing w:line="276" w:lineRule="auto"/>
        <w:rPr>
          <w:sz w:val="22"/>
          <w:szCs w:val="22"/>
        </w:rPr>
      </w:pPr>
    </w:p>
    <w:p w14:paraId="44EE9D35" w14:textId="54749A03" w:rsidR="00A23713" w:rsidRPr="00933E11" w:rsidRDefault="00A23713" w:rsidP="00F7472C">
      <w:pPr>
        <w:spacing w:line="276" w:lineRule="auto"/>
        <w:rPr>
          <w:sz w:val="22"/>
          <w:szCs w:val="22"/>
        </w:rPr>
      </w:pPr>
      <w:r>
        <w:rPr>
          <w:sz w:val="22"/>
          <w:szCs w:val="22"/>
        </w:rPr>
        <w:t xml:space="preserve">Hospitals interested in combining their MPAs will be required to submit a memo to the HSCRC signed by </w:t>
      </w:r>
      <w:r w:rsidR="00435455">
        <w:rPr>
          <w:sz w:val="22"/>
          <w:szCs w:val="22"/>
        </w:rPr>
        <w:t xml:space="preserve">all of </w:t>
      </w:r>
      <w:r>
        <w:rPr>
          <w:sz w:val="22"/>
          <w:szCs w:val="22"/>
        </w:rPr>
        <w:t xml:space="preserve">their respective </w:t>
      </w:r>
      <w:r w:rsidRPr="0023538A">
        <w:rPr>
          <w:sz w:val="22"/>
          <w:szCs w:val="22"/>
        </w:rPr>
        <w:t>CF</w:t>
      </w:r>
      <w:r w:rsidR="00435455" w:rsidRPr="0023538A">
        <w:rPr>
          <w:sz w:val="22"/>
          <w:szCs w:val="22"/>
        </w:rPr>
        <w:t xml:space="preserve">Os </w:t>
      </w:r>
      <w:r w:rsidR="00362DE3" w:rsidRPr="0023538A">
        <w:rPr>
          <w:sz w:val="22"/>
          <w:szCs w:val="22"/>
        </w:rPr>
        <w:t>by March 29</w:t>
      </w:r>
      <w:r w:rsidR="00435455" w:rsidRPr="0023538A">
        <w:rPr>
          <w:sz w:val="22"/>
          <w:szCs w:val="22"/>
        </w:rPr>
        <w:t>, 2019.</w:t>
      </w:r>
      <w:r w:rsidR="00B34D0B" w:rsidRPr="0023538A">
        <w:rPr>
          <w:sz w:val="22"/>
          <w:szCs w:val="22"/>
        </w:rPr>
        <w:t xml:space="preserve"> This submission</w:t>
      </w:r>
      <w:r w:rsidR="00B34D0B">
        <w:rPr>
          <w:sz w:val="22"/>
          <w:szCs w:val="22"/>
        </w:rPr>
        <w:t xml:space="preserve"> will count only for the Y2 (RY</w:t>
      </w:r>
      <w:r w:rsidR="00374A70">
        <w:rPr>
          <w:sz w:val="22"/>
          <w:szCs w:val="22"/>
        </w:rPr>
        <w:t xml:space="preserve"> </w:t>
      </w:r>
      <w:r w:rsidR="00B34D0B">
        <w:rPr>
          <w:sz w:val="22"/>
          <w:szCs w:val="22"/>
        </w:rPr>
        <w:t xml:space="preserve">2021) policy. A separate letter will be required for future years. </w:t>
      </w:r>
    </w:p>
    <w:p w14:paraId="73BEB824" w14:textId="77777777" w:rsidR="00F7472C" w:rsidRDefault="00F7472C" w:rsidP="00F7472C">
      <w:pPr>
        <w:pStyle w:val="Default"/>
      </w:pPr>
    </w:p>
    <w:p w14:paraId="76AB2035" w14:textId="2A9C6628" w:rsidR="00F7472C" w:rsidRDefault="00F7472C" w:rsidP="00F7472C">
      <w:pPr>
        <w:spacing w:line="276" w:lineRule="auto"/>
        <w:rPr>
          <w:sz w:val="22"/>
          <w:szCs w:val="22"/>
        </w:rPr>
      </w:pPr>
      <w:r w:rsidRPr="00435455">
        <w:rPr>
          <w:sz w:val="22"/>
          <w:szCs w:val="22"/>
        </w:rPr>
        <w:t xml:space="preserve">The hospitals should submit </w:t>
      </w:r>
      <w:r w:rsidR="00AE01C8" w:rsidRPr="00435455">
        <w:rPr>
          <w:sz w:val="22"/>
          <w:szCs w:val="22"/>
        </w:rPr>
        <w:t xml:space="preserve">the </w:t>
      </w:r>
      <w:r w:rsidR="00435455" w:rsidRPr="00435455">
        <w:rPr>
          <w:sz w:val="22"/>
          <w:szCs w:val="22"/>
        </w:rPr>
        <w:t xml:space="preserve">signed MPA </w:t>
      </w:r>
      <w:r w:rsidR="0036378F">
        <w:rPr>
          <w:sz w:val="22"/>
          <w:szCs w:val="22"/>
        </w:rPr>
        <w:t>C</w:t>
      </w:r>
      <w:r w:rsidR="00435455" w:rsidRPr="00435455">
        <w:rPr>
          <w:sz w:val="22"/>
          <w:szCs w:val="22"/>
        </w:rPr>
        <w:t xml:space="preserve">over </w:t>
      </w:r>
      <w:r w:rsidR="0036378F">
        <w:rPr>
          <w:sz w:val="22"/>
          <w:szCs w:val="22"/>
        </w:rPr>
        <w:t>L</w:t>
      </w:r>
      <w:r w:rsidR="00435455" w:rsidRPr="00435455">
        <w:rPr>
          <w:sz w:val="22"/>
          <w:szCs w:val="22"/>
        </w:rPr>
        <w:t>etter</w:t>
      </w:r>
      <w:r w:rsidR="0036378F">
        <w:rPr>
          <w:sz w:val="22"/>
          <w:szCs w:val="22"/>
        </w:rPr>
        <w:t xml:space="preserve"> and A</w:t>
      </w:r>
      <w:r w:rsidR="00435455" w:rsidRPr="00435455">
        <w:rPr>
          <w:sz w:val="22"/>
          <w:szCs w:val="22"/>
        </w:rPr>
        <w:t xml:space="preserve">ttestation </w:t>
      </w:r>
      <w:r w:rsidR="0036378F">
        <w:rPr>
          <w:sz w:val="22"/>
          <w:szCs w:val="22"/>
        </w:rPr>
        <w:t>F</w:t>
      </w:r>
      <w:r w:rsidR="00435455" w:rsidRPr="00435455">
        <w:rPr>
          <w:sz w:val="22"/>
          <w:szCs w:val="22"/>
        </w:rPr>
        <w:t xml:space="preserve">orm, </w:t>
      </w:r>
      <w:r w:rsidR="0036378F">
        <w:rPr>
          <w:sz w:val="22"/>
          <w:szCs w:val="22"/>
        </w:rPr>
        <w:t xml:space="preserve">completed </w:t>
      </w:r>
      <w:r w:rsidR="00435455" w:rsidRPr="00435455">
        <w:rPr>
          <w:sz w:val="22"/>
          <w:szCs w:val="22"/>
        </w:rPr>
        <w:t>data submission</w:t>
      </w:r>
      <w:r w:rsidR="00AE01C8" w:rsidRPr="00435455">
        <w:rPr>
          <w:sz w:val="22"/>
          <w:szCs w:val="22"/>
        </w:rPr>
        <w:t xml:space="preserve"> template</w:t>
      </w:r>
      <w:r w:rsidR="0036378F">
        <w:rPr>
          <w:sz w:val="22"/>
          <w:szCs w:val="22"/>
        </w:rPr>
        <w:t>, and any additional MPA materials</w:t>
      </w:r>
      <w:r w:rsidR="00AE01C8" w:rsidRPr="00435455">
        <w:rPr>
          <w:sz w:val="22"/>
          <w:szCs w:val="22"/>
        </w:rPr>
        <w:t xml:space="preserve"> </w:t>
      </w:r>
      <w:r w:rsidRPr="00435455">
        <w:rPr>
          <w:sz w:val="22"/>
          <w:szCs w:val="22"/>
        </w:rPr>
        <w:t>to hscrc.tcoc@maryland.gov.</w:t>
      </w:r>
    </w:p>
    <w:p w14:paraId="6C8834C5" w14:textId="77777777" w:rsidR="00F7472C" w:rsidRDefault="00F7472C" w:rsidP="00F7472C">
      <w:pPr>
        <w:spacing w:line="276" w:lineRule="auto"/>
        <w:rPr>
          <w:sz w:val="22"/>
          <w:szCs w:val="22"/>
        </w:rPr>
      </w:pPr>
    </w:p>
    <w:p w14:paraId="405D6918" w14:textId="10779F53" w:rsidR="00F7472C" w:rsidRPr="002A23DE" w:rsidRDefault="00435455" w:rsidP="00F7472C">
      <w:pPr>
        <w:pStyle w:val="Heading1"/>
      </w:pPr>
      <w:r>
        <w:t xml:space="preserve">Table 1: MPA Data Submission and Review </w:t>
      </w:r>
      <w:r w:rsidR="00F7472C" w:rsidRPr="002A23DE">
        <w:t>Timeline</w:t>
      </w:r>
      <w:r w:rsidR="00F7472C">
        <w:t xml:space="preserve"> </w:t>
      </w:r>
    </w:p>
    <w:tbl>
      <w:tblPr>
        <w:tblStyle w:val="TableGrid1"/>
        <w:tblW w:w="9715" w:type="dxa"/>
        <w:tblLook w:val="04A0" w:firstRow="1" w:lastRow="0" w:firstColumn="1" w:lastColumn="0" w:noHBand="0" w:noVBand="1"/>
      </w:tblPr>
      <w:tblGrid>
        <w:gridCol w:w="2245"/>
        <w:gridCol w:w="7470"/>
      </w:tblGrid>
      <w:tr w:rsidR="00F7472C" w:rsidRPr="00C533A0" w14:paraId="3ADF3668" w14:textId="77777777" w:rsidTr="007C7733">
        <w:tc>
          <w:tcPr>
            <w:tcW w:w="2245" w:type="dxa"/>
            <w:shd w:val="clear" w:color="auto" w:fill="D9D9D9" w:themeFill="background1" w:themeFillShade="D9"/>
          </w:tcPr>
          <w:p w14:paraId="5A959D8D" w14:textId="77777777" w:rsidR="00F7472C" w:rsidRPr="00C533A0" w:rsidRDefault="00F7472C" w:rsidP="007C7733">
            <w:pPr>
              <w:pStyle w:val="BodyText"/>
              <w:spacing w:before="0" w:after="0"/>
              <w:rPr>
                <w:b/>
              </w:rPr>
            </w:pPr>
            <w:r w:rsidRPr="00C533A0">
              <w:rPr>
                <w:b/>
              </w:rPr>
              <w:t>Estimated Timing</w:t>
            </w:r>
          </w:p>
        </w:tc>
        <w:tc>
          <w:tcPr>
            <w:tcW w:w="7470" w:type="dxa"/>
            <w:shd w:val="clear" w:color="auto" w:fill="D9D9D9" w:themeFill="background1" w:themeFillShade="D9"/>
          </w:tcPr>
          <w:p w14:paraId="38CA1047" w14:textId="77777777" w:rsidR="00F7472C" w:rsidRPr="00C533A0" w:rsidRDefault="00F7472C" w:rsidP="007C7733">
            <w:pPr>
              <w:pStyle w:val="BodyText"/>
              <w:spacing w:before="0" w:after="0"/>
              <w:rPr>
                <w:b/>
              </w:rPr>
            </w:pPr>
            <w:r w:rsidRPr="00C533A0">
              <w:rPr>
                <w:b/>
              </w:rPr>
              <w:t>Action</w:t>
            </w:r>
          </w:p>
        </w:tc>
      </w:tr>
      <w:tr w:rsidR="00F7472C" w:rsidRPr="00033281" w14:paraId="194B60F8" w14:textId="77777777" w:rsidTr="007C7733">
        <w:trPr>
          <w:trHeight w:val="503"/>
        </w:trPr>
        <w:tc>
          <w:tcPr>
            <w:tcW w:w="2245" w:type="dxa"/>
          </w:tcPr>
          <w:p w14:paraId="2036F99E" w14:textId="77777777" w:rsidR="00F7472C" w:rsidRPr="00200814" w:rsidRDefault="00F7472C" w:rsidP="007C7733">
            <w:pPr>
              <w:pStyle w:val="BodyText"/>
              <w:spacing w:before="0" w:after="0"/>
            </w:pPr>
            <w:r w:rsidRPr="00200814">
              <w:t>December 2018</w:t>
            </w:r>
          </w:p>
        </w:tc>
        <w:tc>
          <w:tcPr>
            <w:tcW w:w="7470" w:type="dxa"/>
          </w:tcPr>
          <w:p w14:paraId="7812E0F6" w14:textId="77777777" w:rsidR="00F7472C" w:rsidRPr="00200814" w:rsidRDefault="00F7472C" w:rsidP="00F7472C">
            <w:pPr>
              <w:pStyle w:val="BodyText"/>
              <w:numPr>
                <w:ilvl w:val="0"/>
                <w:numId w:val="2"/>
              </w:numPr>
              <w:spacing w:before="0" w:after="0"/>
            </w:pPr>
            <w:r w:rsidRPr="00200814">
              <w:rPr>
                <w:i/>
              </w:rPr>
              <w:t xml:space="preserve">Required for ACOs: </w:t>
            </w:r>
            <w:r w:rsidRPr="00200814">
              <w:t>Hospitals provide HSCRC with ACO Participant List for Performance Year 2019 (also used for Base Year 2018)</w:t>
            </w:r>
          </w:p>
          <w:p w14:paraId="074D30E9" w14:textId="1D68B708" w:rsidR="00F7472C" w:rsidRPr="00200814" w:rsidRDefault="00F7472C" w:rsidP="00F7472C">
            <w:pPr>
              <w:pStyle w:val="BodyText"/>
              <w:numPr>
                <w:ilvl w:val="0"/>
                <w:numId w:val="2"/>
              </w:numPr>
              <w:spacing w:before="0" w:after="0"/>
            </w:pPr>
            <w:r w:rsidRPr="00200814">
              <w:rPr>
                <w:i/>
              </w:rPr>
              <w:t>Voluntary</w:t>
            </w:r>
            <w:r w:rsidRPr="00200814">
              <w:t>: Hospitals participating in multi-hospital ACOs designate which ACO providers should be</w:t>
            </w:r>
            <w:r w:rsidR="00362DE3">
              <w:t xml:space="preserve"> linked with which ACO hospital</w:t>
            </w:r>
          </w:p>
          <w:p w14:paraId="156686BB" w14:textId="5003C935" w:rsidR="00F7472C" w:rsidRPr="00362DE3" w:rsidRDefault="00F7472C" w:rsidP="00362DE3">
            <w:pPr>
              <w:pStyle w:val="BodyText"/>
              <w:numPr>
                <w:ilvl w:val="0"/>
                <w:numId w:val="2"/>
              </w:numPr>
              <w:spacing w:before="0" w:after="0"/>
            </w:pPr>
            <w:r w:rsidRPr="00200814">
              <w:rPr>
                <w:i/>
              </w:rPr>
              <w:t xml:space="preserve">Voluntary: </w:t>
            </w:r>
            <w:r w:rsidRPr="00200814">
              <w:t>Hospitals provide HSCRC with a list of full-time, fully employed providers</w:t>
            </w:r>
          </w:p>
        </w:tc>
      </w:tr>
      <w:tr w:rsidR="00F7472C" w:rsidRPr="00033281" w14:paraId="3665BD26" w14:textId="77777777" w:rsidTr="007C7733">
        <w:trPr>
          <w:trHeight w:val="413"/>
        </w:trPr>
        <w:tc>
          <w:tcPr>
            <w:tcW w:w="2245" w:type="dxa"/>
          </w:tcPr>
          <w:p w14:paraId="7BD3C3EF" w14:textId="77777777" w:rsidR="00F7472C" w:rsidRPr="00200814" w:rsidRDefault="00F7472C" w:rsidP="007C7733">
            <w:pPr>
              <w:pStyle w:val="BodyText"/>
              <w:spacing w:before="0" w:after="0"/>
            </w:pPr>
            <w:r w:rsidRPr="00200814">
              <w:t>January 2019</w:t>
            </w:r>
          </w:p>
        </w:tc>
        <w:tc>
          <w:tcPr>
            <w:tcW w:w="7470" w:type="dxa"/>
          </w:tcPr>
          <w:p w14:paraId="0610B0B9" w14:textId="77777777" w:rsidR="00F7472C" w:rsidRPr="00200814" w:rsidRDefault="00F7472C" w:rsidP="00F7472C">
            <w:pPr>
              <w:pStyle w:val="BodyText"/>
              <w:numPr>
                <w:ilvl w:val="0"/>
                <w:numId w:val="3"/>
              </w:numPr>
              <w:spacing w:before="0" w:after="0"/>
            </w:pPr>
            <w:r w:rsidRPr="00200814">
              <w:t>Performance year begins</w:t>
            </w:r>
          </w:p>
          <w:p w14:paraId="4958574A" w14:textId="77777777" w:rsidR="00F7472C" w:rsidRPr="00200814" w:rsidRDefault="00F7472C" w:rsidP="00F7472C">
            <w:pPr>
              <w:pStyle w:val="BodyText"/>
              <w:numPr>
                <w:ilvl w:val="0"/>
                <w:numId w:val="3"/>
              </w:numPr>
              <w:spacing w:before="0" w:after="0"/>
            </w:pPr>
            <w:r w:rsidRPr="00200814">
              <w:t>HSCRC combines hospital lists and identifies potential overlaps</w:t>
            </w:r>
          </w:p>
          <w:p w14:paraId="5D19808E" w14:textId="77777777" w:rsidR="00F7472C" w:rsidRPr="00200814" w:rsidRDefault="00F7472C" w:rsidP="00F7472C">
            <w:pPr>
              <w:pStyle w:val="BodyText"/>
              <w:numPr>
                <w:ilvl w:val="0"/>
                <w:numId w:val="3"/>
              </w:numPr>
              <w:spacing w:before="0" w:after="0"/>
            </w:pPr>
            <w:r w:rsidRPr="00200814">
              <w:t>HSCRC runs attribution algorithm for Base Year 2018 and Performance Year 2019, and provides hospitals with preliminary provider-attribution lists</w:t>
            </w:r>
          </w:p>
        </w:tc>
      </w:tr>
      <w:tr w:rsidR="00F7472C" w:rsidRPr="00C533A0" w14:paraId="1DDA1A16" w14:textId="77777777" w:rsidTr="007C7733">
        <w:tc>
          <w:tcPr>
            <w:tcW w:w="2245" w:type="dxa"/>
          </w:tcPr>
          <w:p w14:paraId="7816346A" w14:textId="77777777" w:rsidR="00F7472C" w:rsidRPr="00200814" w:rsidRDefault="00F7472C" w:rsidP="007C7733">
            <w:pPr>
              <w:pStyle w:val="BodyText"/>
              <w:spacing w:before="0" w:after="0"/>
            </w:pPr>
            <w:r w:rsidRPr="00200814">
              <w:t>February 2019</w:t>
            </w:r>
          </w:p>
        </w:tc>
        <w:tc>
          <w:tcPr>
            <w:tcW w:w="7470" w:type="dxa"/>
          </w:tcPr>
          <w:p w14:paraId="06E5D001" w14:textId="77777777" w:rsidR="00F7472C" w:rsidRPr="00362DE3" w:rsidRDefault="00F7472C" w:rsidP="00F7472C">
            <w:pPr>
              <w:pStyle w:val="BodyText"/>
              <w:numPr>
                <w:ilvl w:val="0"/>
                <w:numId w:val="4"/>
              </w:numPr>
              <w:spacing w:before="0" w:after="0"/>
            </w:pPr>
            <w:r w:rsidRPr="00362DE3">
              <w:t xml:space="preserve">Official review period for hospitals of 2 weeks following preliminary provider-attribution lists. </w:t>
            </w:r>
          </w:p>
          <w:p w14:paraId="396975D4" w14:textId="77777777" w:rsidR="00F7472C" w:rsidRPr="00362DE3" w:rsidRDefault="00F7472C" w:rsidP="00F7472C">
            <w:pPr>
              <w:pStyle w:val="BodyText"/>
              <w:numPr>
                <w:ilvl w:val="0"/>
                <w:numId w:val="4"/>
              </w:numPr>
              <w:spacing w:before="0" w:after="0"/>
            </w:pPr>
            <w:r w:rsidRPr="00362DE3">
              <w:t>HSCRC reruns attribution algorithm for implementation</w:t>
            </w:r>
          </w:p>
        </w:tc>
      </w:tr>
      <w:tr w:rsidR="00362DE3" w:rsidRPr="00C533A0" w14:paraId="7F1AFCB9" w14:textId="77777777" w:rsidTr="007C7733">
        <w:tc>
          <w:tcPr>
            <w:tcW w:w="2245" w:type="dxa"/>
          </w:tcPr>
          <w:p w14:paraId="00C49FBF" w14:textId="495E47D8" w:rsidR="00362DE3" w:rsidRPr="00200814" w:rsidRDefault="00362DE3" w:rsidP="007C7733">
            <w:pPr>
              <w:pStyle w:val="BodyText"/>
              <w:spacing w:before="0" w:after="0"/>
            </w:pPr>
            <w:r>
              <w:t>March 2019</w:t>
            </w:r>
          </w:p>
        </w:tc>
        <w:tc>
          <w:tcPr>
            <w:tcW w:w="7470" w:type="dxa"/>
          </w:tcPr>
          <w:p w14:paraId="73D44D24" w14:textId="6C1E03AC" w:rsidR="00362DE3" w:rsidRDefault="00362DE3" w:rsidP="00F7472C">
            <w:pPr>
              <w:pStyle w:val="BodyText"/>
              <w:numPr>
                <w:ilvl w:val="0"/>
                <w:numId w:val="4"/>
              </w:numPr>
              <w:spacing w:before="0" w:after="0"/>
            </w:pPr>
            <w:r w:rsidRPr="00362DE3">
              <w:rPr>
                <w:i/>
              </w:rPr>
              <w:t>Voluntary:</w:t>
            </w:r>
            <w:r w:rsidRPr="00362DE3">
              <w:t xml:space="preserve"> Hospitals wanting to be treated as a combination under the MPA submit a joint request to HSCRC</w:t>
            </w:r>
            <w:r w:rsidR="0023538A">
              <w:t>.</w:t>
            </w:r>
          </w:p>
          <w:p w14:paraId="12310F0C" w14:textId="74BF03CD" w:rsidR="0023538A" w:rsidRPr="0023538A" w:rsidRDefault="0023538A" w:rsidP="0023538A">
            <w:pPr>
              <w:pStyle w:val="BodyText"/>
              <w:numPr>
                <w:ilvl w:val="0"/>
                <w:numId w:val="7"/>
              </w:numPr>
              <w:spacing w:before="0" w:after="0"/>
              <w:rPr>
                <w:sz w:val="22"/>
                <w:szCs w:val="22"/>
              </w:rPr>
            </w:pPr>
            <w:r>
              <w:rPr>
                <w:i/>
              </w:rPr>
              <w:t>Voluntary:</w:t>
            </w:r>
            <w:r>
              <w:t xml:space="preserve"> </w:t>
            </w:r>
            <w:r w:rsidRPr="0023538A">
              <w:t xml:space="preserve">Hospitals attest to care coordination agreement with referral providers. </w:t>
            </w:r>
          </w:p>
        </w:tc>
      </w:tr>
      <w:tr w:rsidR="0023538A" w:rsidRPr="00C533A0" w14:paraId="57476A62" w14:textId="77777777" w:rsidTr="007C7733">
        <w:tc>
          <w:tcPr>
            <w:tcW w:w="2245" w:type="dxa"/>
          </w:tcPr>
          <w:p w14:paraId="20E8D25E" w14:textId="69C904CF" w:rsidR="0023538A" w:rsidRDefault="0023538A" w:rsidP="007C7733">
            <w:pPr>
              <w:pStyle w:val="BodyText"/>
              <w:spacing w:before="0" w:after="0"/>
            </w:pPr>
            <w:r>
              <w:t>April 2019</w:t>
            </w:r>
          </w:p>
        </w:tc>
        <w:tc>
          <w:tcPr>
            <w:tcW w:w="7470" w:type="dxa"/>
          </w:tcPr>
          <w:p w14:paraId="1EDB1F2B" w14:textId="2E02ED2E" w:rsidR="0023538A" w:rsidRPr="00362DE3" w:rsidRDefault="0023538A" w:rsidP="0023538A">
            <w:pPr>
              <w:pStyle w:val="BodyText"/>
              <w:numPr>
                <w:ilvl w:val="0"/>
                <w:numId w:val="4"/>
              </w:numPr>
              <w:spacing w:before="0" w:after="0"/>
              <w:rPr>
                <w:i/>
              </w:rPr>
            </w:pPr>
            <w:r>
              <w:t>Tentative release of MADE with data from MPA attributed providers and beneficiaries</w:t>
            </w:r>
          </w:p>
        </w:tc>
      </w:tr>
    </w:tbl>
    <w:p w14:paraId="53279030" w14:textId="77777777" w:rsidR="00F7472C" w:rsidRDefault="00F7472C" w:rsidP="00C928DB">
      <w:pPr>
        <w:spacing w:line="276" w:lineRule="auto"/>
        <w:rPr>
          <w:sz w:val="22"/>
          <w:szCs w:val="22"/>
        </w:rPr>
      </w:pPr>
    </w:p>
    <w:sectPr w:rsidR="00F7472C" w:rsidSect="00382567">
      <w:pgSz w:w="12240" w:h="15840"/>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99D50" w14:textId="77777777" w:rsidR="009518C8" w:rsidRDefault="009518C8">
      <w:r>
        <w:separator/>
      </w:r>
    </w:p>
  </w:endnote>
  <w:endnote w:type="continuationSeparator" w:id="0">
    <w:p w14:paraId="7B7F3FD6" w14:textId="77777777" w:rsidR="009518C8" w:rsidRDefault="0095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E984" w14:textId="77777777" w:rsidR="007C7733" w:rsidRDefault="007C7733">
    <w:pPr>
      <w:pStyle w:val="Footer"/>
      <w:jc w:val="center"/>
    </w:pPr>
    <w:r>
      <w:fldChar w:fldCharType="begin"/>
    </w:r>
    <w:r>
      <w:instrText xml:space="preserve"> PAGE   \* MERGEFORMAT </w:instrText>
    </w:r>
    <w:r>
      <w:fldChar w:fldCharType="separate"/>
    </w:r>
    <w:r w:rsidR="00872753">
      <w:rPr>
        <w:noProof/>
      </w:rPr>
      <w:t>3</w:t>
    </w:r>
    <w:r>
      <w:rPr>
        <w:noProof/>
      </w:rPr>
      <w:fldChar w:fldCharType="end"/>
    </w:r>
  </w:p>
  <w:p w14:paraId="466C32F0" w14:textId="77777777" w:rsidR="007C7733" w:rsidRDefault="007C7733" w:rsidP="00B823A9">
    <w:pPr>
      <w:pStyle w:val="Footer"/>
      <w:tabs>
        <w:tab w:val="clear" w:pos="4320"/>
        <w:tab w:val="clear" w:pos="8640"/>
        <w:tab w:val="left" w:pos="62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D643C" w14:textId="77777777" w:rsidR="007C7733" w:rsidRDefault="007C7733">
    <w:pPr>
      <w:pStyle w:val="Footer"/>
      <w:jc w:val="center"/>
    </w:pPr>
  </w:p>
  <w:p w14:paraId="40EB2FD5" w14:textId="77777777" w:rsidR="007C7733" w:rsidRPr="0019420C" w:rsidRDefault="007C7733" w:rsidP="00124C87">
    <w:pPr>
      <w:pStyle w:val="Footer"/>
      <w:jc w:val="center"/>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DC61" w14:textId="77777777" w:rsidR="009518C8" w:rsidRDefault="009518C8">
      <w:r>
        <w:separator/>
      </w:r>
    </w:p>
  </w:footnote>
  <w:footnote w:type="continuationSeparator" w:id="0">
    <w:p w14:paraId="56B5CB7E" w14:textId="77777777" w:rsidR="009518C8" w:rsidRDefault="00951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3E4E"/>
    <w:multiLevelType w:val="hybridMultilevel"/>
    <w:tmpl w:val="D5A48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9B13CA"/>
    <w:multiLevelType w:val="hybridMultilevel"/>
    <w:tmpl w:val="BE72D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7C2C24"/>
    <w:multiLevelType w:val="hybridMultilevel"/>
    <w:tmpl w:val="2A06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754669"/>
    <w:multiLevelType w:val="hybridMultilevel"/>
    <w:tmpl w:val="356CD13C"/>
    <w:lvl w:ilvl="0" w:tplc="68DE9D28">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A03BF"/>
    <w:multiLevelType w:val="hybridMultilevel"/>
    <w:tmpl w:val="DCC6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02B80"/>
    <w:multiLevelType w:val="hybridMultilevel"/>
    <w:tmpl w:val="2F6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14"/>
    <w:rsid w:val="00000FD7"/>
    <w:rsid w:val="00005ADB"/>
    <w:rsid w:val="00012E7F"/>
    <w:rsid w:val="00025740"/>
    <w:rsid w:val="00030E94"/>
    <w:rsid w:val="00032238"/>
    <w:rsid w:val="00036F18"/>
    <w:rsid w:val="00063898"/>
    <w:rsid w:val="0006560B"/>
    <w:rsid w:val="0006734C"/>
    <w:rsid w:val="00077778"/>
    <w:rsid w:val="000838A3"/>
    <w:rsid w:val="00087C0A"/>
    <w:rsid w:val="000902BF"/>
    <w:rsid w:val="0009384F"/>
    <w:rsid w:val="000A774C"/>
    <w:rsid w:val="000B1DC6"/>
    <w:rsid w:val="000B56A6"/>
    <w:rsid w:val="000D68B5"/>
    <w:rsid w:val="000E6C73"/>
    <w:rsid w:val="000F694A"/>
    <w:rsid w:val="0010025A"/>
    <w:rsid w:val="001059E8"/>
    <w:rsid w:val="00105E0D"/>
    <w:rsid w:val="001216B6"/>
    <w:rsid w:val="00123467"/>
    <w:rsid w:val="00124C87"/>
    <w:rsid w:val="001253C6"/>
    <w:rsid w:val="00127604"/>
    <w:rsid w:val="00133ADC"/>
    <w:rsid w:val="001340D0"/>
    <w:rsid w:val="00135034"/>
    <w:rsid w:val="00141F8F"/>
    <w:rsid w:val="00142032"/>
    <w:rsid w:val="0014500A"/>
    <w:rsid w:val="001513AF"/>
    <w:rsid w:val="00162540"/>
    <w:rsid w:val="00172FCF"/>
    <w:rsid w:val="001845BC"/>
    <w:rsid w:val="00185140"/>
    <w:rsid w:val="00185A28"/>
    <w:rsid w:val="0019420C"/>
    <w:rsid w:val="001B1DD8"/>
    <w:rsid w:val="001C26EC"/>
    <w:rsid w:val="001C3642"/>
    <w:rsid w:val="001C6448"/>
    <w:rsid w:val="001D098B"/>
    <w:rsid w:val="001D3725"/>
    <w:rsid w:val="001D58B0"/>
    <w:rsid w:val="001D7F4F"/>
    <w:rsid w:val="001E11A7"/>
    <w:rsid w:val="001E4D41"/>
    <w:rsid w:val="001E673F"/>
    <w:rsid w:val="001F2373"/>
    <w:rsid w:val="001F69FD"/>
    <w:rsid w:val="001F7E7B"/>
    <w:rsid w:val="00204183"/>
    <w:rsid w:val="00206565"/>
    <w:rsid w:val="00213740"/>
    <w:rsid w:val="00223B01"/>
    <w:rsid w:val="00223E16"/>
    <w:rsid w:val="0023135F"/>
    <w:rsid w:val="00232E55"/>
    <w:rsid w:val="00233193"/>
    <w:rsid w:val="00233C98"/>
    <w:rsid w:val="0023538A"/>
    <w:rsid w:val="00240D68"/>
    <w:rsid w:val="002444E4"/>
    <w:rsid w:val="00247993"/>
    <w:rsid w:val="002501B8"/>
    <w:rsid w:val="0025211E"/>
    <w:rsid w:val="002673F1"/>
    <w:rsid w:val="00273073"/>
    <w:rsid w:val="00273B90"/>
    <w:rsid w:val="00280CBD"/>
    <w:rsid w:val="002824C3"/>
    <w:rsid w:val="00287345"/>
    <w:rsid w:val="0029709D"/>
    <w:rsid w:val="002B051A"/>
    <w:rsid w:val="002C6053"/>
    <w:rsid w:val="002D5F28"/>
    <w:rsid w:val="002E2E3C"/>
    <w:rsid w:val="002F28AA"/>
    <w:rsid w:val="002F3EF1"/>
    <w:rsid w:val="003048CF"/>
    <w:rsid w:val="00312776"/>
    <w:rsid w:val="00313752"/>
    <w:rsid w:val="00324CAC"/>
    <w:rsid w:val="00326530"/>
    <w:rsid w:val="00327FC0"/>
    <w:rsid w:val="003312AC"/>
    <w:rsid w:val="003361DC"/>
    <w:rsid w:val="00342F58"/>
    <w:rsid w:val="00344472"/>
    <w:rsid w:val="00346A30"/>
    <w:rsid w:val="003506BB"/>
    <w:rsid w:val="0035102E"/>
    <w:rsid w:val="00362DE3"/>
    <w:rsid w:val="0036378F"/>
    <w:rsid w:val="00374A70"/>
    <w:rsid w:val="00382567"/>
    <w:rsid w:val="00393BC4"/>
    <w:rsid w:val="00394312"/>
    <w:rsid w:val="003A6DE4"/>
    <w:rsid w:val="003B1834"/>
    <w:rsid w:val="003B4657"/>
    <w:rsid w:val="003B5246"/>
    <w:rsid w:val="003C6E04"/>
    <w:rsid w:val="003D1C81"/>
    <w:rsid w:val="003D6636"/>
    <w:rsid w:val="003F0474"/>
    <w:rsid w:val="0041168E"/>
    <w:rsid w:val="00412C47"/>
    <w:rsid w:val="00423FB3"/>
    <w:rsid w:val="004270DE"/>
    <w:rsid w:val="0043126C"/>
    <w:rsid w:val="00435455"/>
    <w:rsid w:val="00435CB0"/>
    <w:rsid w:val="00440C57"/>
    <w:rsid w:val="00441750"/>
    <w:rsid w:val="00444FBE"/>
    <w:rsid w:val="00447A2D"/>
    <w:rsid w:val="004568E1"/>
    <w:rsid w:val="00467059"/>
    <w:rsid w:val="00470F01"/>
    <w:rsid w:val="004828AE"/>
    <w:rsid w:val="004A4408"/>
    <w:rsid w:val="004A58F1"/>
    <w:rsid w:val="004B4C4E"/>
    <w:rsid w:val="004B5462"/>
    <w:rsid w:val="004C1EDD"/>
    <w:rsid w:val="004C2500"/>
    <w:rsid w:val="004C4EA5"/>
    <w:rsid w:val="004D1C3D"/>
    <w:rsid w:val="004E3010"/>
    <w:rsid w:val="004F46A7"/>
    <w:rsid w:val="004F5EED"/>
    <w:rsid w:val="004F6146"/>
    <w:rsid w:val="004F6D67"/>
    <w:rsid w:val="00503F50"/>
    <w:rsid w:val="005104D4"/>
    <w:rsid w:val="005134D7"/>
    <w:rsid w:val="005150D5"/>
    <w:rsid w:val="0051764F"/>
    <w:rsid w:val="00521671"/>
    <w:rsid w:val="00532120"/>
    <w:rsid w:val="00534203"/>
    <w:rsid w:val="00535EA2"/>
    <w:rsid w:val="00547224"/>
    <w:rsid w:val="005500EF"/>
    <w:rsid w:val="00556796"/>
    <w:rsid w:val="00565119"/>
    <w:rsid w:val="005654FD"/>
    <w:rsid w:val="00565ECB"/>
    <w:rsid w:val="00572C6E"/>
    <w:rsid w:val="00587E40"/>
    <w:rsid w:val="00594658"/>
    <w:rsid w:val="005A45A8"/>
    <w:rsid w:val="005C15F9"/>
    <w:rsid w:val="005C4DEF"/>
    <w:rsid w:val="005D4C88"/>
    <w:rsid w:val="005D546A"/>
    <w:rsid w:val="005E017D"/>
    <w:rsid w:val="005E4EF6"/>
    <w:rsid w:val="005F1DEE"/>
    <w:rsid w:val="005F24CB"/>
    <w:rsid w:val="005F3A69"/>
    <w:rsid w:val="005F7B6A"/>
    <w:rsid w:val="006177F3"/>
    <w:rsid w:val="0061780D"/>
    <w:rsid w:val="00624437"/>
    <w:rsid w:val="0064199F"/>
    <w:rsid w:val="00653A6F"/>
    <w:rsid w:val="00662CE4"/>
    <w:rsid w:val="00664F77"/>
    <w:rsid w:val="00665ABD"/>
    <w:rsid w:val="006669B9"/>
    <w:rsid w:val="006A0BC6"/>
    <w:rsid w:val="006A2175"/>
    <w:rsid w:val="006A6BF2"/>
    <w:rsid w:val="006B3DF6"/>
    <w:rsid w:val="006B4AC0"/>
    <w:rsid w:val="006D0226"/>
    <w:rsid w:val="006E79C5"/>
    <w:rsid w:val="006F65A8"/>
    <w:rsid w:val="006F6757"/>
    <w:rsid w:val="007065CD"/>
    <w:rsid w:val="00713A23"/>
    <w:rsid w:val="00720553"/>
    <w:rsid w:val="00722A47"/>
    <w:rsid w:val="00736D89"/>
    <w:rsid w:val="0075424B"/>
    <w:rsid w:val="00754DE6"/>
    <w:rsid w:val="00760C86"/>
    <w:rsid w:val="0076312E"/>
    <w:rsid w:val="0076776C"/>
    <w:rsid w:val="0078101D"/>
    <w:rsid w:val="007A17E3"/>
    <w:rsid w:val="007A3BD4"/>
    <w:rsid w:val="007B10E7"/>
    <w:rsid w:val="007B2E6D"/>
    <w:rsid w:val="007B7762"/>
    <w:rsid w:val="007C7733"/>
    <w:rsid w:val="007F0DFD"/>
    <w:rsid w:val="007F43A9"/>
    <w:rsid w:val="007F718D"/>
    <w:rsid w:val="00800BF6"/>
    <w:rsid w:val="00807D7A"/>
    <w:rsid w:val="008132A9"/>
    <w:rsid w:val="00816364"/>
    <w:rsid w:val="008369BA"/>
    <w:rsid w:val="00846165"/>
    <w:rsid w:val="00847BA4"/>
    <w:rsid w:val="00853345"/>
    <w:rsid w:val="00856651"/>
    <w:rsid w:val="00860CA7"/>
    <w:rsid w:val="008636E6"/>
    <w:rsid w:val="00865C10"/>
    <w:rsid w:val="00872753"/>
    <w:rsid w:val="00874A8F"/>
    <w:rsid w:val="0088332C"/>
    <w:rsid w:val="0088432C"/>
    <w:rsid w:val="00884862"/>
    <w:rsid w:val="0089623B"/>
    <w:rsid w:val="008A1D3F"/>
    <w:rsid w:val="008A6E40"/>
    <w:rsid w:val="008B4238"/>
    <w:rsid w:val="008B5923"/>
    <w:rsid w:val="008C38F6"/>
    <w:rsid w:val="008C6E0D"/>
    <w:rsid w:val="008C6E7D"/>
    <w:rsid w:val="008D4099"/>
    <w:rsid w:val="008D59BE"/>
    <w:rsid w:val="008E1283"/>
    <w:rsid w:val="008F21CD"/>
    <w:rsid w:val="008F49C9"/>
    <w:rsid w:val="008F4D12"/>
    <w:rsid w:val="008F66BF"/>
    <w:rsid w:val="00900978"/>
    <w:rsid w:val="00901B72"/>
    <w:rsid w:val="00907636"/>
    <w:rsid w:val="009176D2"/>
    <w:rsid w:val="00921379"/>
    <w:rsid w:val="00921534"/>
    <w:rsid w:val="00925AF8"/>
    <w:rsid w:val="00930237"/>
    <w:rsid w:val="009317FD"/>
    <w:rsid w:val="00933E11"/>
    <w:rsid w:val="00936B2C"/>
    <w:rsid w:val="009511A6"/>
    <w:rsid w:val="009518C8"/>
    <w:rsid w:val="00951C76"/>
    <w:rsid w:val="00953832"/>
    <w:rsid w:val="00954972"/>
    <w:rsid w:val="009614C7"/>
    <w:rsid w:val="00961636"/>
    <w:rsid w:val="009665EF"/>
    <w:rsid w:val="00967648"/>
    <w:rsid w:val="00986FB8"/>
    <w:rsid w:val="00991A0A"/>
    <w:rsid w:val="009920BA"/>
    <w:rsid w:val="009922B9"/>
    <w:rsid w:val="00994964"/>
    <w:rsid w:val="00995D84"/>
    <w:rsid w:val="009A5BCB"/>
    <w:rsid w:val="009C05EA"/>
    <w:rsid w:val="009C31C2"/>
    <w:rsid w:val="009C5EBC"/>
    <w:rsid w:val="009C6E8B"/>
    <w:rsid w:val="009D0501"/>
    <w:rsid w:val="009D0EB5"/>
    <w:rsid w:val="009D7B71"/>
    <w:rsid w:val="009E63D5"/>
    <w:rsid w:val="009E7E34"/>
    <w:rsid w:val="009F05F4"/>
    <w:rsid w:val="009F0F79"/>
    <w:rsid w:val="00A0255C"/>
    <w:rsid w:val="00A0531C"/>
    <w:rsid w:val="00A068D0"/>
    <w:rsid w:val="00A07B5F"/>
    <w:rsid w:val="00A12637"/>
    <w:rsid w:val="00A216EE"/>
    <w:rsid w:val="00A23713"/>
    <w:rsid w:val="00A36E4D"/>
    <w:rsid w:val="00A448CB"/>
    <w:rsid w:val="00A500B6"/>
    <w:rsid w:val="00A608FD"/>
    <w:rsid w:val="00A67C95"/>
    <w:rsid w:val="00A7168E"/>
    <w:rsid w:val="00A717B0"/>
    <w:rsid w:val="00A778EA"/>
    <w:rsid w:val="00A87281"/>
    <w:rsid w:val="00A925EE"/>
    <w:rsid w:val="00AA238C"/>
    <w:rsid w:val="00AA4F54"/>
    <w:rsid w:val="00AA6645"/>
    <w:rsid w:val="00AB2E2C"/>
    <w:rsid w:val="00AC250F"/>
    <w:rsid w:val="00AC38F2"/>
    <w:rsid w:val="00AD3B96"/>
    <w:rsid w:val="00AD55E8"/>
    <w:rsid w:val="00AD7675"/>
    <w:rsid w:val="00AE01C8"/>
    <w:rsid w:val="00AE0944"/>
    <w:rsid w:val="00AE5591"/>
    <w:rsid w:val="00AF00FA"/>
    <w:rsid w:val="00AF19A0"/>
    <w:rsid w:val="00B0200E"/>
    <w:rsid w:val="00B0789F"/>
    <w:rsid w:val="00B13E8A"/>
    <w:rsid w:val="00B26662"/>
    <w:rsid w:val="00B34D0B"/>
    <w:rsid w:val="00B37A93"/>
    <w:rsid w:val="00B408E7"/>
    <w:rsid w:val="00B42D51"/>
    <w:rsid w:val="00B43465"/>
    <w:rsid w:val="00B530A8"/>
    <w:rsid w:val="00B737BE"/>
    <w:rsid w:val="00B75C4B"/>
    <w:rsid w:val="00B823A9"/>
    <w:rsid w:val="00B82F9C"/>
    <w:rsid w:val="00B90648"/>
    <w:rsid w:val="00B969DC"/>
    <w:rsid w:val="00BA3FBE"/>
    <w:rsid w:val="00BB097A"/>
    <w:rsid w:val="00BB1E8C"/>
    <w:rsid w:val="00BB2EE8"/>
    <w:rsid w:val="00BB6065"/>
    <w:rsid w:val="00BC1565"/>
    <w:rsid w:val="00BC175B"/>
    <w:rsid w:val="00BC2D4A"/>
    <w:rsid w:val="00BD2C5F"/>
    <w:rsid w:val="00BE0419"/>
    <w:rsid w:val="00BE1F42"/>
    <w:rsid w:val="00BE6BA9"/>
    <w:rsid w:val="00BE6D9A"/>
    <w:rsid w:val="00BF73D8"/>
    <w:rsid w:val="00C06800"/>
    <w:rsid w:val="00C124B6"/>
    <w:rsid w:val="00C516C5"/>
    <w:rsid w:val="00C530F3"/>
    <w:rsid w:val="00C555E8"/>
    <w:rsid w:val="00C56687"/>
    <w:rsid w:val="00C566C2"/>
    <w:rsid w:val="00C629EC"/>
    <w:rsid w:val="00C66584"/>
    <w:rsid w:val="00C71916"/>
    <w:rsid w:val="00C73904"/>
    <w:rsid w:val="00C82C3A"/>
    <w:rsid w:val="00C871DC"/>
    <w:rsid w:val="00C928DB"/>
    <w:rsid w:val="00C9600A"/>
    <w:rsid w:val="00C97BF7"/>
    <w:rsid w:val="00CA7996"/>
    <w:rsid w:val="00CB542A"/>
    <w:rsid w:val="00CC65DB"/>
    <w:rsid w:val="00CD6F78"/>
    <w:rsid w:val="00CE16B4"/>
    <w:rsid w:val="00CE37AC"/>
    <w:rsid w:val="00CE7204"/>
    <w:rsid w:val="00CE755D"/>
    <w:rsid w:val="00CF366B"/>
    <w:rsid w:val="00CF5A90"/>
    <w:rsid w:val="00D046B2"/>
    <w:rsid w:val="00D11EA0"/>
    <w:rsid w:val="00D16BC3"/>
    <w:rsid w:val="00D21F83"/>
    <w:rsid w:val="00D23D68"/>
    <w:rsid w:val="00D41530"/>
    <w:rsid w:val="00D645EA"/>
    <w:rsid w:val="00D97BE5"/>
    <w:rsid w:val="00DA53EE"/>
    <w:rsid w:val="00DC42FC"/>
    <w:rsid w:val="00DD3765"/>
    <w:rsid w:val="00DD68EC"/>
    <w:rsid w:val="00DD6F89"/>
    <w:rsid w:val="00E03992"/>
    <w:rsid w:val="00E0438F"/>
    <w:rsid w:val="00E15342"/>
    <w:rsid w:val="00E15AD3"/>
    <w:rsid w:val="00E230B0"/>
    <w:rsid w:val="00E25E5D"/>
    <w:rsid w:val="00E2769E"/>
    <w:rsid w:val="00E34284"/>
    <w:rsid w:val="00E45309"/>
    <w:rsid w:val="00E475CE"/>
    <w:rsid w:val="00E61DEC"/>
    <w:rsid w:val="00E669CB"/>
    <w:rsid w:val="00E67B14"/>
    <w:rsid w:val="00E70490"/>
    <w:rsid w:val="00E70A30"/>
    <w:rsid w:val="00E82C18"/>
    <w:rsid w:val="00E90A16"/>
    <w:rsid w:val="00E925B0"/>
    <w:rsid w:val="00EA52B0"/>
    <w:rsid w:val="00EE3CDB"/>
    <w:rsid w:val="00EE4A5D"/>
    <w:rsid w:val="00EF4764"/>
    <w:rsid w:val="00EF7D95"/>
    <w:rsid w:val="00F026D6"/>
    <w:rsid w:val="00F02F2F"/>
    <w:rsid w:val="00F05583"/>
    <w:rsid w:val="00F071C2"/>
    <w:rsid w:val="00F10213"/>
    <w:rsid w:val="00F106D0"/>
    <w:rsid w:val="00F16CD8"/>
    <w:rsid w:val="00F25EAB"/>
    <w:rsid w:val="00F34A19"/>
    <w:rsid w:val="00F47DE8"/>
    <w:rsid w:val="00F51FC0"/>
    <w:rsid w:val="00F6228B"/>
    <w:rsid w:val="00F7472C"/>
    <w:rsid w:val="00F839EC"/>
    <w:rsid w:val="00F86165"/>
    <w:rsid w:val="00F95278"/>
    <w:rsid w:val="00FB3900"/>
    <w:rsid w:val="00FC0599"/>
    <w:rsid w:val="00FC137B"/>
    <w:rsid w:val="00FC3D52"/>
    <w:rsid w:val="00FD055F"/>
    <w:rsid w:val="00FE2037"/>
    <w:rsid w:val="00FE4667"/>
    <w:rsid w:val="00FE5C30"/>
    <w:rsid w:val="00FF43D8"/>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A8AE08"/>
  <w15:docId w15:val="{484D5816-AC57-45A3-BBF5-BDB7B8F2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A9"/>
    <w:pPr>
      <w:widowControl w:val="0"/>
      <w:autoSpaceDE w:val="0"/>
      <w:autoSpaceDN w:val="0"/>
      <w:adjustRightInd w:val="0"/>
    </w:pPr>
    <w:rPr>
      <w:sz w:val="24"/>
      <w:szCs w:val="24"/>
    </w:rPr>
  </w:style>
  <w:style w:type="paragraph" w:styleId="Heading1">
    <w:name w:val="heading 1"/>
    <w:basedOn w:val="Normal"/>
    <w:next w:val="BodyText"/>
    <w:link w:val="Heading1Char"/>
    <w:qFormat/>
    <w:rsid w:val="00F7472C"/>
    <w:pPr>
      <w:keepNext/>
      <w:widowControl/>
      <w:autoSpaceDE/>
      <w:autoSpaceDN/>
      <w:adjustRightInd/>
      <w:spacing w:before="240" w:after="240"/>
      <w:outlineLvl w:val="0"/>
    </w:pPr>
    <w:rPr>
      <w:rFonts w:asciiTheme="minorHAnsi" w:hAnsiTheme="minorHAnsi" w:cs="Arial"/>
      <w:b/>
      <w:bCs/>
      <w:caps/>
      <w:color w:val="44546A" w:themeColor="text2"/>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6BA9"/>
  </w:style>
  <w:style w:type="paragraph" w:customStyle="1" w:styleId="WP9Heading">
    <w:name w:val="WP9_Heading"/>
    <w:basedOn w:val="Normal"/>
    <w:rsid w:val="00BE6BA9"/>
    <w:pPr>
      <w:jc w:val="center"/>
    </w:pPr>
    <w:rPr>
      <w:rFonts w:ascii="Arial" w:hAnsi="Arial" w:cs="Arial"/>
      <w:b/>
      <w:bCs/>
      <w:color w:val="000080"/>
      <w:sz w:val="18"/>
      <w:szCs w:val="18"/>
    </w:rPr>
  </w:style>
  <w:style w:type="paragraph" w:styleId="Header">
    <w:name w:val="header"/>
    <w:basedOn w:val="Normal"/>
    <w:rsid w:val="00C71916"/>
    <w:pPr>
      <w:tabs>
        <w:tab w:val="center" w:pos="4320"/>
        <w:tab w:val="right" w:pos="8640"/>
      </w:tabs>
    </w:pPr>
  </w:style>
  <w:style w:type="paragraph" w:styleId="Footer">
    <w:name w:val="footer"/>
    <w:basedOn w:val="Normal"/>
    <w:link w:val="FooterChar"/>
    <w:uiPriority w:val="99"/>
    <w:rsid w:val="00C71916"/>
    <w:pPr>
      <w:tabs>
        <w:tab w:val="center" w:pos="4320"/>
        <w:tab w:val="right" w:pos="8640"/>
      </w:tabs>
    </w:pPr>
  </w:style>
  <w:style w:type="character" w:customStyle="1" w:styleId="FooterChar">
    <w:name w:val="Footer Char"/>
    <w:link w:val="Footer"/>
    <w:uiPriority w:val="99"/>
    <w:rsid w:val="00B13E8A"/>
    <w:rPr>
      <w:sz w:val="24"/>
      <w:szCs w:val="24"/>
    </w:rPr>
  </w:style>
  <w:style w:type="paragraph" w:styleId="BalloonText">
    <w:name w:val="Balloon Text"/>
    <w:basedOn w:val="Normal"/>
    <w:link w:val="BalloonTextChar"/>
    <w:rsid w:val="00BF73D8"/>
    <w:rPr>
      <w:rFonts w:ascii="Tahoma" w:hAnsi="Tahoma" w:cs="Tahoma"/>
      <w:sz w:val="16"/>
      <w:szCs w:val="16"/>
    </w:rPr>
  </w:style>
  <w:style w:type="character" w:customStyle="1" w:styleId="BalloonTextChar">
    <w:name w:val="Balloon Text Char"/>
    <w:link w:val="BalloonText"/>
    <w:rsid w:val="00BF73D8"/>
    <w:rPr>
      <w:rFonts w:ascii="Tahoma" w:hAnsi="Tahoma" w:cs="Tahoma"/>
      <w:sz w:val="16"/>
      <w:szCs w:val="16"/>
    </w:rPr>
  </w:style>
  <w:style w:type="character" w:styleId="PlaceholderText">
    <w:name w:val="Placeholder Text"/>
    <w:uiPriority w:val="99"/>
    <w:semiHidden/>
    <w:rsid w:val="00C97BF7"/>
    <w:rPr>
      <w:color w:val="808080"/>
    </w:rPr>
  </w:style>
  <w:style w:type="paragraph" w:styleId="ListParagraph">
    <w:name w:val="List Paragraph"/>
    <w:basedOn w:val="Normal"/>
    <w:uiPriority w:val="34"/>
    <w:qFormat/>
    <w:rsid w:val="00F47DE8"/>
    <w:pPr>
      <w:ind w:left="720"/>
    </w:pPr>
  </w:style>
  <w:style w:type="character" w:styleId="Hyperlink">
    <w:name w:val="Hyperlink"/>
    <w:rsid w:val="001C6448"/>
    <w:rPr>
      <w:color w:val="0000FF"/>
      <w:u w:val="single"/>
    </w:rPr>
  </w:style>
  <w:style w:type="paragraph" w:customStyle="1" w:styleId="Default">
    <w:name w:val="Default"/>
    <w:rsid w:val="00F7472C"/>
    <w:pPr>
      <w:autoSpaceDE w:val="0"/>
      <w:autoSpaceDN w:val="0"/>
      <w:adjustRightInd w:val="0"/>
    </w:pPr>
    <w:rPr>
      <w:color w:val="000000"/>
      <w:sz w:val="24"/>
      <w:szCs w:val="24"/>
    </w:rPr>
  </w:style>
  <w:style w:type="character" w:customStyle="1" w:styleId="Heading1Char">
    <w:name w:val="Heading 1 Char"/>
    <w:basedOn w:val="DefaultParagraphFont"/>
    <w:link w:val="Heading1"/>
    <w:rsid w:val="00F7472C"/>
    <w:rPr>
      <w:rFonts w:asciiTheme="minorHAnsi" w:hAnsiTheme="minorHAnsi" w:cs="Arial"/>
      <w:b/>
      <w:bCs/>
      <w:caps/>
      <w:color w:val="44546A" w:themeColor="text2"/>
      <w:kern w:val="32"/>
      <w:sz w:val="28"/>
      <w:szCs w:val="32"/>
    </w:rPr>
  </w:style>
  <w:style w:type="paragraph" w:styleId="BodyText">
    <w:name w:val="Body Text"/>
    <w:basedOn w:val="Normal"/>
    <w:link w:val="BodyTextChar"/>
    <w:qFormat/>
    <w:rsid w:val="00F7472C"/>
    <w:pPr>
      <w:widowControl/>
      <w:autoSpaceDE/>
      <w:autoSpaceDN/>
      <w:adjustRightInd/>
      <w:spacing w:before="240" w:after="240"/>
    </w:pPr>
  </w:style>
  <w:style w:type="character" w:customStyle="1" w:styleId="BodyTextChar">
    <w:name w:val="Body Text Char"/>
    <w:basedOn w:val="DefaultParagraphFont"/>
    <w:link w:val="BodyText"/>
    <w:rsid w:val="00F7472C"/>
    <w:rPr>
      <w:sz w:val="24"/>
      <w:szCs w:val="24"/>
    </w:rPr>
  </w:style>
  <w:style w:type="table" w:customStyle="1" w:styleId="TableGrid1">
    <w:name w:val="Table Grid1"/>
    <w:basedOn w:val="TableNormal"/>
    <w:next w:val="TableGrid"/>
    <w:uiPriority w:val="39"/>
    <w:rsid w:val="00F747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74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E01C8"/>
    <w:rPr>
      <w:sz w:val="16"/>
      <w:szCs w:val="16"/>
    </w:rPr>
  </w:style>
  <w:style w:type="paragraph" w:styleId="CommentText">
    <w:name w:val="annotation text"/>
    <w:basedOn w:val="Normal"/>
    <w:link w:val="CommentTextChar"/>
    <w:semiHidden/>
    <w:unhideWhenUsed/>
    <w:rsid w:val="00AE01C8"/>
    <w:rPr>
      <w:sz w:val="20"/>
      <w:szCs w:val="20"/>
    </w:rPr>
  </w:style>
  <w:style w:type="character" w:customStyle="1" w:styleId="CommentTextChar">
    <w:name w:val="Comment Text Char"/>
    <w:basedOn w:val="DefaultParagraphFont"/>
    <w:link w:val="CommentText"/>
    <w:semiHidden/>
    <w:rsid w:val="00AE01C8"/>
  </w:style>
  <w:style w:type="paragraph" w:styleId="CommentSubject">
    <w:name w:val="annotation subject"/>
    <w:basedOn w:val="CommentText"/>
    <w:next w:val="CommentText"/>
    <w:link w:val="CommentSubjectChar"/>
    <w:semiHidden/>
    <w:unhideWhenUsed/>
    <w:rsid w:val="00AE01C8"/>
    <w:rPr>
      <w:b/>
      <w:bCs/>
    </w:rPr>
  </w:style>
  <w:style w:type="character" w:customStyle="1" w:styleId="CommentSubjectChar">
    <w:name w:val="Comment Subject Char"/>
    <w:basedOn w:val="CommentTextChar"/>
    <w:link w:val="CommentSubject"/>
    <w:semiHidden/>
    <w:rsid w:val="00AE0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455401">
      <w:bodyDiv w:val="1"/>
      <w:marLeft w:val="0"/>
      <w:marRight w:val="0"/>
      <w:marTop w:val="0"/>
      <w:marBottom w:val="0"/>
      <w:divBdr>
        <w:top w:val="none" w:sz="0" w:space="0" w:color="auto"/>
        <w:left w:val="none" w:sz="0" w:space="0" w:color="auto"/>
        <w:bottom w:val="none" w:sz="0" w:space="0" w:color="auto"/>
        <w:right w:val="none" w:sz="0" w:space="0" w:color="auto"/>
      </w:divBdr>
    </w:div>
    <w:div w:id="1781139840">
      <w:bodyDiv w:val="1"/>
      <w:marLeft w:val="0"/>
      <w:marRight w:val="0"/>
      <w:marTop w:val="0"/>
      <w:marBottom w:val="0"/>
      <w:divBdr>
        <w:top w:val="none" w:sz="0" w:space="0" w:color="auto"/>
        <w:left w:val="none" w:sz="0" w:space="0" w:color="auto"/>
        <w:bottom w:val="none" w:sz="0" w:space="0" w:color="auto"/>
        <w:right w:val="none" w:sz="0" w:space="0" w:color="auto"/>
      </w:divBdr>
      <w:divsChild>
        <w:div w:id="1206483816">
          <w:marLeft w:val="864"/>
          <w:marRight w:val="0"/>
          <w:marTop w:val="100"/>
          <w:marBottom w:val="0"/>
          <w:divBdr>
            <w:top w:val="none" w:sz="0" w:space="0" w:color="auto"/>
            <w:left w:val="none" w:sz="0" w:space="0" w:color="auto"/>
            <w:bottom w:val="none" w:sz="0" w:space="0" w:color="auto"/>
            <w:right w:val="none" w:sz="0" w:space="0" w:color="auto"/>
          </w:divBdr>
        </w:div>
      </w:divsChild>
    </w:div>
    <w:div w:id="19272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hscrc.maryland.gov" TargetMode="External"/><Relationship Id="rId4" Type="http://schemas.openxmlformats.org/officeDocument/2006/relationships/webSettings" Target="webSettings.xml"/><Relationship Id="rId9" Type="http://schemas.openxmlformats.org/officeDocument/2006/relationships/hyperlink" Target="http://www.hscrc.marylan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126E86-49BB-4CAD-A9C3-919151A16301}"/>
</file>

<file path=customXml/itemProps2.xml><?xml version="1.0" encoding="utf-8"?>
<ds:datastoreItem xmlns:ds="http://schemas.openxmlformats.org/officeDocument/2006/customXml" ds:itemID="{505F05EB-5587-4B9D-99EF-E92DBC950600}"/>
</file>

<file path=customXml/itemProps3.xml><?xml version="1.0" encoding="utf-8"?>
<ds:datastoreItem xmlns:ds="http://schemas.openxmlformats.org/officeDocument/2006/customXml" ds:itemID="{71D44A1B-4CAF-48B5-991E-B38A0E958EFF}"/>
</file>

<file path=docProps/app.xml><?xml version="1.0" encoding="utf-8"?>
<Properties xmlns="http://schemas.openxmlformats.org/officeDocument/2006/extended-properties" xmlns:vt="http://schemas.openxmlformats.org/officeDocument/2006/docPropsVTypes">
  <Template>Normal</Template>
  <TotalTime>7</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Links>
    <vt:vector size="6" baseType="variant">
      <vt:variant>
        <vt:i4>3145843</vt:i4>
      </vt:variant>
      <vt:variant>
        <vt:i4>0</vt:i4>
      </vt:variant>
      <vt:variant>
        <vt:i4>0</vt:i4>
      </vt:variant>
      <vt:variant>
        <vt:i4>5</vt:i4>
      </vt:variant>
      <vt:variant>
        <vt:lpwstr>http://www.hscrc.maryland.gov/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Kameron Knab</dc:creator>
  <cp:keywords/>
  <dc:description/>
  <cp:lastModifiedBy>Kameron Knab</cp:lastModifiedBy>
  <cp:revision>4</cp:revision>
  <cp:lastPrinted>2017-10-30T21:51:00Z</cp:lastPrinted>
  <dcterms:created xsi:type="dcterms:W3CDTF">2018-11-27T16:55:00Z</dcterms:created>
  <dcterms:modified xsi:type="dcterms:W3CDTF">2018-12-12T15:40:00Z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