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CAB5" w14:textId="77777777" w:rsidR="00832139" w:rsidRDefault="00832139">
      <w:pPr>
        <w:widowControl w:val="0"/>
        <w:pBdr>
          <w:top w:val="nil"/>
          <w:left w:val="nil"/>
          <w:bottom w:val="nil"/>
          <w:right w:val="nil"/>
          <w:between w:val="nil"/>
        </w:pBdr>
        <w:spacing w:line="276" w:lineRule="auto"/>
      </w:pPr>
    </w:p>
    <w:p w14:paraId="449E2D83" w14:textId="77777777" w:rsidR="00832139" w:rsidRDefault="00000000">
      <w:pPr>
        <w:tabs>
          <w:tab w:val="left" w:pos="1800"/>
        </w:tabs>
        <w:spacing w:before="200"/>
        <w:ind w:left="720" w:right="-9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To:</w:t>
      </w:r>
      <w:r>
        <w:rPr>
          <w:rFonts w:ascii="Times New Roman" w:eastAsia="Times New Roman" w:hAnsi="Times New Roman" w:cs="Times New Roman"/>
          <w:b/>
          <w:sz w:val="22"/>
          <w:szCs w:val="22"/>
        </w:rPr>
        <w:tab/>
        <w:t>Maryland Hospital’s Chief Financial Officers</w:t>
      </w:r>
    </w:p>
    <w:p w14:paraId="0344D76F" w14:textId="77777777" w:rsidR="00832139" w:rsidRDefault="00000000">
      <w:pPr>
        <w:tabs>
          <w:tab w:val="left" w:pos="1800"/>
        </w:tabs>
        <w:spacing w:before="200"/>
        <w:ind w:left="720" w:right="-9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From:</w:t>
      </w:r>
      <w:r>
        <w:rPr>
          <w:rFonts w:ascii="Times New Roman" w:eastAsia="Times New Roman" w:hAnsi="Times New Roman" w:cs="Times New Roman"/>
          <w:b/>
          <w:sz w:val="22"/>
          <w:szCs w:val="22"/>
        </w:rPr>
        <w:tab/>
        <w:t>Dennis Phelps, Deputy Director, Audit &amp; Integrity</w:t>
      </w:r>
    </w:p>
    <w:p w14:paraId="03096377" w14:textId="77777777" w:rsidR="00832139" w:rsidRDefault="00000000">
      <w:pPr>
        <w:tabs>
          <w:tab w:val="left" w:pos="1800"/>
        </w:tabs>
        <w:spacing w:before="200"/>
        <w:ind w:left="720" w:right="-9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Date:</w:t>
      </w:r>
      <w:r>
        <w:rPr>
          <w:rFonts w:ascii="Times New Roman" w:eastAsia="Times New Roman" w:hAnsi="Times New Roman" w:cs="Times New Roman"/>
          <w:b/>
          <w:sz w:val="22"/>
          <w:szCs w:val="22"/>
        </w:rPr>
        <w:tab/>
      </w:r>
      <w:r w:rsidRPr="00147971">
        <w:rPr>
          <w:rFonts w:ascii="Times New Roman" w:eastAsia="Times New Roman" w:hAnsi="Times New Roman" w:cs="Times New Roman"/>
          <w:b/>
          <w:sz w:val="22"/>
          <w:szCs w:val="22"/>
        </w:rPr>
        <w:t>September 19, 2023</w:t>
      </w:r>
    </w:p>
    <w:p w14:paraId="1A39912B" w14:textId="77777777" w:rsidR="00832139" w:rsidRDefault="00000000">
      <w:pPr>
        <w:tabs>
          <w:tab w:val="left" w:pos="1800"/>
        </w:tabs>
        <w:spacing w:before="200"/>
        <w:ind w:left="720" w:right="-90" w:hanging="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 </w:t>
      </w:r>
      <w:r>
        <w:rPr>
          <w:rFonts w:ascii="Times New Roman" w:eastAsia="Times New Roman" w:hAnsi="Times New Roman" w:cs="Times New Roman"/>
          <w:b/>
          <w:sz w:val="22"/>
          <w:szCs w:val="22"/>
        </w:rPr>
        <w:tab/>
        <w:t>FY 2023 Supplemental Debit Collection and Financial Assistance Filing Guidance</w:t>
      </w:r>
    </w:p>
    <w:p w14:paraId="2D82ED4B" w14:textId="77777777" w:rsidR="00832139" w:rsidRDefault="00832139">
      <w:pPr>
        <w:pBdr>
          <w:bottom w:val="single" w:sz="12" w:space="1" w:color="000000"/>
        </w:pBdr>
        <w:tabs>
          <w:tab w:val="left" w:pos="1800"/>
        </w:tabs>
        <w:ind w:right="-90"/>
        <w:rPr>
          <w:rFonts w:ascii="Times New Roman" w:eastAsia="Times New Roman" w:hAnsi="Times New Roman" w:cs="Times New Roman"/>
          <w:sz w:val="22"/>
          <w:szCs w:val="22"/>
        </w:rPr>
      </w:pPr>
    </w:p>
    <w:p w14:paraId="12D61DD3" w14:textId="77777777" w:rsidR="00832139" w:rsidRDefault="00000000">
      <w:pPr>
        <w:tabs>
          <w:tab w:val="left" w:pos="1800"/>
        </w:tabs>
        <w:spacing w:before="120"/>
        <w:ind w:right="-90"/>
        <w:rPr>
          <w:rFonts w:ascii="Times New Roman" w:eastAsia="Times New Roman" w:hAnsi="Times New Roman" w:cs="Times New Roman"/>
          <w:sz w:val="22"/>
          <w:szCs w:val="22"/>
        </w:rPr>
      </w:pPr>
      <w:r>
        <w:rPr>
          <w:rFonts w:ascii="Times New Roman" w:eastAsia="Times New Roman" w:hAnsi="Times New Roman" w:cs="Times New Roman"/>
          <w:sz w:val="22"/>
          <w:szCs w:val="22"/>
        </w:rPr>
        <w:t>In response to inquiries from hospitals and other interested parties, the HSCRC is providing the following additional guidance for completing the 2023 Debit Collection and Financial Assistance (DCFA) Filing. This memorandum supersedes the previously issued instructions contained in the FY23 Special Audit Procedures distributed to hospitals on July 26, 2023.</w:t>
      </w:r>
    </w:p>
    <w:p w14:paraId="3B42E52B" w14:textId="77777777" w:rsidR="00832139" w:rsidRDefault="00000000">
      <w:pPr>
        <w:spacing w:before="120"/>
        <w:rPr>
          <w:rFonts w:ascii="Times New Roman" w:eastAsia="Times New Roman" w:hAnsi="Times New Roman" w:cs="Times New Roman"/>
          <w:b/>
          <w:color w:val="0B5394"/>
          <w:sz w:val="22"/>
          <w:szCs w:val="22"/>
        </w:rPr>
      </w:pPr>
      <w:r>
        <w:rPr>
          <w:rFonts w:ascii="Times New Roman" w:eastAsia="Times New Roman" w:hAnsi="Times New Roman" w:cs="Times New Roman"/>
          <w:b/>
          <w:color w:val="0B5394"/>
          <w:sz w:val="22"/>
          <w:szCs w:val="22"/>
        </w:rPr>
        <w:t>Tab 4 – Debt Collection</w:t>
      </w:r>
    </w:p>
    <w:p w14:paraId="105E8155" w14:textId="77777777" w:rsidR="00832139" w:rsidRDefault="00000000">
      <w:pPr>
        <w:spacing w:before="120"/>
        <w:rPr>
          <w:rFonts w:ascii="Times New Roman" w:eastAsia="Times New Roman" w:hAnsi="Times New Roman" w:cs="Times New Roman"/>
          <w:i/>
          <w:sz w:val="22"/>
          <w:szCs w:val="22"/>
          <w:u w:val="single"/>
        </w:rPr>
      </w:pPr>
      <w:r>
        <w:rPr>
          <w:rFonts w:ascii="Times New Roman" w:eastAsia="Times New Roman" w:hAnsi="Times New Roman" w:cs="Times New Roman"/>
          <w:i/>
          <w:sz w:val="22"/>
          <w:szCs w:val="22"/>
          <w:u w:val="single"/>
        </w:rPr>
        <w:t>Line 18, Column 1</w:t>
      </w:r>
    </w:p>
    <w:p w14:paraId="14946423" w14:textId="77777777" w:rsidR="00832139"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total number of unique patients (per MRN) with respect to whom the hospital has not reported or classified a bad debt.</w:t>
      </w:r>
    </w:p>
    <w:p w14:paraId="1BD2466B" w14:textId="77777777" w:rsidR="00832139" w:rsidRDefault="00000000">
      <w:pPr>
        <w:spacing w:before="120"/>
        <w:rPr>
          <w:rFonts w:ascii="Times New Roman" w:eastAsia="Times New Roman" w:hAnsi="Times New Roman" w:cs="Times New Roman"/>
          <w:i/>
          <w:sz w:val="22"/>
          <w:szCs w:val="22"/>
        </w:rPr>
      </w:pPr>
      <w:r>
        <w:rPr>
          <w:rFonts w:ascii="Times New Roman" w:eastAsia="Times New Roman" w:hAnsi="Times New Roman" w:cs="Times New Roman"/>
          <w:i/>
          <w:sz w:val="22"/>
          <w:szCs w:val="22"/>
        </w:rPr>
        <w:t>Additional Guidance:</w:t>
      </w:r>
    </w:p>
    <w:p w14:paraId="6CE43715" w14:textId="77777777" w:rsidR="00832139" w:rsidRDefault="00000000">
      <w:pPr>
        <w:numPr>
          <w:ilvl w:val="0"/>
          <w:numId w:val="2"/>
        </w:numPr>
        <w:spacing w:before="120"/>
        <w:rPr>
          <w:rFonts w:ascii="Times New Roman" w:eastAsia="Times New Roman" w:hAnsi="Times New Roman" w:cs="Times New Roman"/>
        </w:rPr>
      </w:pPr>
      <w:r>
        <w:rPr>
          <w:rFonts w:ascii="Times New Roman" w:eastAsia="Times New Roman" w:hAnsi="Times New Roman" w:cs="Times New Roman"/>
          <w:sz w:val="22"/>
          <w:szCs w:val="22"/>
        </w:rPr>
        <w:t xml:space="preserve">This is the total number of patients </w:t>
      </w:r>
      <w:r>
        <w:rPr>
          <w:rFonts w:ascii="Times New Roman" w:eastAsia="Times New Roman" w:hAnsi="Times New Roman" w:cs="Times New Roman"/>
          <w:b/>
          <w:sz w:val="22"/>
          <w:szCs w:val="22"/>
          <w:u w:val="single"/>
        </w:rPr>
        <w:t>less</w:t>
      </w:r>
      <w:r>
        <w:rPr>
          <w:rFonts w:ascii="Times New Roman" w:eastAsia="Times New Roman" w:hAnsi="Times New Roman" w:cs="Times New Roman"/>
          <w:sz w:val="22"/>
          <w:szCs w:val="22"/>
        </w:rPr>
        <w:t xml:space="preserve"> the amount determined for Line 17, Column 1. </w:t>
      </w:r>
    </w:p>
    <w:p w14:paraId="0A221406" w14:textId="77777777" w:rsidR="00832139" w:rsidRDefault="00000000">
      <w:pPr>
        <w:numPr>
          <w:ilvl w:val="0"/>
          <w:numId w:val="2"/>
        </w:numPr>
        <w:spacing w:before="120"/>
        <w:rPr>
          <w:rFonts w:ascii="Times New Roman" w:eastAsia="Times New Roman" w:hAnsi="Times New Roman" w:cs="Times New Roman"/>
        </w:rPr>
      </w:pPr>
      <w:r>
        <w:rPr>
          <w:rFonts w:ascii="Times New Roman" w:eastAsia="Times New Roman" w:hAnsi="Times New Roman" w:cs="Times New Roman"/>
          <w:sz w:val="22"/>
          <w:szCs w:val="22"/>
        </w:rPr>
        <w:t>This number should include all patients, not just those added in FY 202</w:t>
      </w:r>
      <w:r>
        <w:rPr>
          <w:rFonts w:ascii="Times New Roman" w:eastAsia="Times New Roman" w:hAnsi="Times New Roman" w:cs="Times New Roman"/>
          <w:i/>
          <w:sz w:val="22"/>
          <w:szCs w:val="22"/>
        </w:rPr>
        <w:t>3.</w:t>
      </w:r>
    </w:p>
    <w:p w14:paraId="5866D32A" w14:textId="77777777" w:rsidR="00832139" w:rsidRDefault="00000000">
      <w:pPr>
        <w:spacing w:before="120"/>
        <w:rPr>
          <w:rFonts w:ascii="Times New Roman" w:eastAsia="Times New Roman" w:hAnsi="Times New Roman" w:cs="Times New Roman"/>
          <w:i/>
          <w:sz w:val="22"/>
          <w:szCs w:val="22"/>
          <w:u w:val="single"/>
        </w:rPr>
      </w:pPr>
      <w:r>
        <w:rPr>
          <w:rFonts w:ascii="Times New Roman" w:eastAsia="Times New Roman" w:hAnsi="Times New Roman" w:cs="Times New Roman"/>
          <w:i/>
          <w:sz w:val="22"/>
          <w:szCs w:val="22"/>
          <w:u w:val="single"/>
        </w:rPr>
        <w:t>Line 19, Column 1:</w:t>
      </w:r>
    </w:p>
    <w:p w14:paraId="7BBFD9CE" w14:textId="77777777" w:rsidR="00832139"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total amount ($) of charges for hospital services for insured patients not collected by the hospital.</w:t>
      </w:r>
    </w:p>
    <w:p w14:paraId="0A13B517" w14:textId="77777777" w:rsidR="00832139" w:rsidRDefault="00000000">
      <w:pPr>
        <w:spacing w:before="120"/>
        <w:rPr>
          <w:rFonts w:ascii="Times New Roman" w:eastAsia="Times New Roman" w:hAnsi="Times New Roman" w:cs="Times New Roman"/>
          <w:i/>
          <w:sz w:val="22"/>
          <w:szCs w:val="22"/>
        </w:rPr>
      </w:pPr>
      <w:r>
        <w:rPr>
          <w:rFonts w:ascii="Times New Roman" w:eastAsia="Times New Roman" w:hAnsi="Times New Roman" w:cs="Times New Roman"/>
          <w:i/>
          <w:sz w:val="22"/>
          <w:szCs w:val="22"/>
        </w:rPr>
        <w:t>Additional Guidance:</w:t>
      </w:r>
    </w:p>
    <w:p w14:paraId="3116F392" w14:textId="77777777" w:rsidR="00832139" w:rsidRDefault="00000000">
      <w:pPr>
        <w:numPr>
          <w:ilvl w:val="0"/>
          <w:numId w:val="5"/>
        </w:numPr>
        <w:spacing w:before="120"/>
        <w:rPr>
          <w:rFonts w:ascii="Times New Roman" w:eastAsia="Times New Roman" w:hAnsi="Times New Roman" w:cs="Times New Roman"/>
        </w:rPr>
      </w:pPr>
      <w:r>
        <w:rPr>
          <w:rFonts w:ascii="Times New Roman" w:eastAsia="Times New Roman" w:hAnsi="Times New Roman" w:cs="Times New Roman"/>
          <w:sz w:val="22"/>
          <w:szCs w:val="22"/>
        </w:rPr>
        <w:t xml:space="preserve">This </w:t>
      </w:r>
      <w:r>
        <w:rPr>
          <w:rFonts w:ascii="Times New Roman" w:eastAsia="Times New Roman" w:hAnsi="Times New Roman" w:cs="Times New Roman"/>
          <w:b/>
          <w:sz w:val="22"/>
          <w:szCs w:val="22"/>
          <w:u w:val="single"/>
        </w:rPr>
        <w:t>should not</w:t>
      </w:r>
      <w:r>
        <w:rPr>
          <w:rFonts w:ascii="Times New Roman" w:eastAsia="Times New Roman" w:hAnsi="Times New Roman" w:cs="Times New Roman"/>
          <w:sz w:val="22"/>
          <w:szCs w:val="22"/>
        </w:rPr>
        <w:t xml:space="preserve"> include contractual write-offs and denials.</w:t>
      </w:r>
    </w:p>
    <w:p w14:paraId="588AF510" w14:textId="77777777" w:rsidR="00832139" w:rsidRDefault="00000000">
      <w:pPr>
        <w:numPr>
          <w:ilvl w:val="0"/>
          <w:numId w:val="5"/>
        </w:numPr>
        <w:spacing w:before="120"/>
        <w:rPr>
          <w:rFonts w:ascii="Times New Roman" w:eastAsia="Times New Roman" w:hAnsi="Times New Roman" w:cs="Times New Roman"/>
        </w:rPr>
      </w:pPr>
      <w:r>
        <w:rPr>
          <w:rFonts w:ascii="Times New Roman" w:eastAsia="Times New Roman" w:hAnsi="Times New Roman" w:cs="Times New Roman"/>
          <w:sz w:val="22"/>
          <w:szCs w:val="22"/>
        </w:rPr>
        <w:t xml:space="preserve">This total should include all patients, not just those added in FY 2023. </w:t>
      </w:r>
    </w:p>
    <w:p w14:paraId="65E85C86" w14:textId="77777777" w:rsidR="00832139" w:rsidRDefault="00000000">
      <w:pPr>
        <w:spacing w:before="120"/>
        <w:rPr>
          <w:rFonts w:ascii="Times New Roman" w:eastAsia="Times New Roman" w:hAnsi="Times New Roman" w:cs="Times New Roman"/>
          <w:i/>
          <w:sz w:val="22"/>
          <w:szCs w:val="22"/>
          <w:u w:val="single"/>
        </w:rPr>
      </w:pPr>
      <w:r>
        <w:rPr>
          <w:rFonts w:ascii="Times New Roman" w:eastAsia="Times New Roman" w:hAnsi="Times New Roman" w:cs="Times New Roman"/>
          <w:i/>
          <w:sz w:val="22"/>
          <w:szCs w:val="22"/>
          <w:u w:val="single"/>
        </w:rPr>
        <w:t>Line 20, Column 1:</w:t>
      </w:r>
    </w:p>
    <w:p w14:paraId="1E32683C" w14:textId="77777777" w:rsidR="00832139"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total out-of-pocket amount ($) of charges for hospital services for insured patients not collected by the hospital.</w:t>
      </w:r>
    </w:p>
    <w:p w14:paraId="0ED57A53" w14:textId="77777777" w:rsidR="00832139" w:rsidRDefault="00000000">
      <w:pPr>
        <w:spacing w:before="120"/>
        <w:rPr>
          <w:rFonts w:ascii="Times New Roman" w:eastAsia="Times New Roman" w:hAnsi="Times New Roman" w:cs="Times New Roman"/>
          <w:i/>
          <w:sz w:val="22"/>
          <w:szCs w:val="22"/>
        </w:rPr>
      </w:pPr>
      <w:r>
        <w:rPr>
          <w:rFonts w:ascii="Times New Roman" w:eastAsia="Times New Roman" w:hAnsi="Times New Roman" w:cs="Times New Roman"/>
          <w:i/>
          <w:sz w:val="22"/>
          <w:szCs w:val="22"/>
        </w:rPr>
        <w:t>Additional Guidance:</w:t>
      </w:r>
    </w:p>
    <w:p w14:paraId="2EC2824B" w14:textId="77777777" w:rsidR="00832139" w:rsidRDefault="00000000">
      <w:pPr>
        <w:numPr>
          <w:ilvl w:val="0"/>
          <w:numId w:val="3"/>
        </w:numPr>
        <w:spacing w:before="120"/>
        <w:rPr>
          <w:rFonts w:ascii="Times New Roman" w:eastAsia="Times New Roman" w:hAnsi="Times New Roman" w:cs="Times New Roman"/>
        </w:rPr>
      </w:pPr>
      <w:r>
        <w:rPr>
          <w:rFonts w:ascii="Times New Roman" w:eastAsia="Times New Roman" w:hAnsi="Times New Roman" w:cs="Times New Roman"/>
          <w:sz w:val="22"/>
          <w:szCs w:val="22"/>
        </w:rPr>
        <w:t>This total should include all patients, not just those added in FY 2023.</w:t>
      </w:r>
    </w:p>
    <w:p w14:paraId="770D3D4D" w14:textId="77777777" w:rsidR="00832139" w:rsidRDefault="00000000">
      <w:pPr>
        <w:spacing w:before="120"/>
        <w:rPr>
          <w:rFonts w:ascii="Times New Roman" w:eastAsia="Times New Roman" w:hAnsi="Times New Roman" w:cs="Times New Roman"/>
          <w:i/>
          <w:sz w:val="22"/>
          <w:szCs w:val="22"/>
          <w:u w:val="single"/>
        </w:rPr>
      </w:pPr>
      <w:r>
        <w:br w:type="page"/>
      </w:r>
      <w:r>
        <w:rPr>
          <w:rFonts w:ascii="Times New Roman" w:eastAsia="Times New Roman" w:hAnsi="Times New Roman" w:cs="Times New Roman"/>
          <w:i/>
          <w:sz w:val="22"/>
          <w:szCs w:val="22"/>
          <w:u w:val="single"/>
        </w:rPr>
        <w:lastRenderedPageBreak/>
        <w:t>Line 22, Column 1:</w:t>
      </w:r>
    </w:p>
    <w:p w14:paraId="51F5ACCE" w14:textId="77777777" w:rsidR="00832139" w:rsidRDefault="00000000">
      <w:pPr>
        <w:spacing w:before="120"/>
        <w:rPr>
          <w:rFonts w:ascii="Times New Roman" w:eastAsia="Times New Roman" w:hAnsi="Times New Roman" w:cs="Times New Roman"/>
          <w:i/>
          <w:sz w:val="22"/>
          <w:szCs w:val="22"/>
          <w:u w:val="single"/>
        </w:rPr>
      </w:pPr>
      <w:r>
        <w:rPr>
          <w:rFonts w:ascii="Times New Roman" w:eastAsia="Times New Roman" w:hAnsi="Times New Roman" w:cs="Times New Roman"/>
          <w:sz w:val="22"/>
          <w:szCs w:val="22"/>
        </w:rPr>
        <w:t>Enter the total out-of-pocket amount ($) of charges for hospital services for uninsured patients not collected by the hospital.</w:t>
      </w:r>
    </w:p>
    <w:p w14:paraId="58F34229" w14:textId="77777777" w:rsidR="00832139" w:rsidRDefault="00000000">
      <w:pPr>
        <w:spacing w:before="120"/>
        <w:rPr>
          <w:rFonts w:ascii="Times New Roman" w:eastAsia="Times New Roman" w:hAnsi="Times New Roman" w:cs="Times New Roman"/>
          <w:i/>
          <w:sz w:val="22"/>
          <w:szCs w:val="22"/>
        </w:rPr>
      </w:pPr>
      <w:r>
        <w:rPr>
          <w:rFonts w:ascii="Times New Roman" w:eastAsia="Times New Roman" w:hAnsi="Times New Roman" w:cs="Times New Roman"/>
          <w:i/>
          <w:sz w:val="22"/>
          <w:szCs w:val="22"/>
        </w:rPr>
        <w:t>Additional Guidance:</w:t>
      </w:r>
    </w:p>
    <w:p w14:paraId="073E0B3F" w14:textId="77777777" w:rsidR="00832139" w:rsidRDefault="00000000">
      <w:pPr>
        <w:numPr>
          <w:ilvl w:val="0"/>
          <w:numId w:val="4"/>
        </w:numPr>
        <w:spacing w:before="120"/>
        <w:rPr>
          <w:rFonts w:ascii="Times New Roman" w:eastAsia="Times New Roman" w:hAnsi="Times New Roman" w:cs="Times New Roman"/>
        </w:rPr>
      </w:pPr>
      <w:r>
        <w:rPr>
          <w:rFonts w:ascii="Times New Roman" w:eastAsia="Times New Roman" w:hAnsi="Times New Roman" w:cs="Times New Roman"/>
          <w:sz w:val="22"/>
          <w:szCs w:val="22"/>
        </w:rPr>
        <w:t xml:space="preserve">This question is </w:t>
      </w:r>
      <w:r>
        <w:rPr>
          <w:rFonts w:ascii="Times New Roman" w:eastAsia="Times New Roman" w:hAnsi="Times New Roman" w:cs="Times New Roman"/>
          <w:b/>
          <w:sz w:val="22"/>
          <w:szCs w:val="22"/>
        </w:rPr>
        <w:t>required</w:t>
      </w:r>
      <w:r>
        <w:rPr>
          <w:rFonts w:ascii="Times New Roman" w:eastAsia="Times New Roman" w:hAnsi="Times New Roman" w:cs="Times New Roman"/>
          <w:sz w:val="22"/>
          <w:szCs w:val="22"/>
        </w:rPr>
        <w:t xml:space="preserve"> to be reported. The total should equal Line 21, Column 1.</w:t>
      </w:r>
    </w:p>
    <w:p w14:paraId="72421606" w14:textId="77777777" w:rsidR="00832139" w:rsidRDefault="00000000">
      <w:pPr>
        <w:spacing w:before="120"/>
        <w:rPr>
          <w:rFonts w:ascii="Times New Roman" w:eastAsia="Times New Roman" w:hAnsi="Times New Roman" w:cs="Times New Roman"/>
          <w:b/>
          <w:sz w:val="22"/>
          <w:szCs w:val="22"/>
        </w:rPr>
      </w:pPr>
      <w:r>
        <w:rPr>
          <w:rFonts w:ascii="Times New Roman" w:eastAsia="Times New Roman" w:hAnsi="Times New Roman" w:cs="Times New Roman"/>
          <w:b/>
          <w:color w:val="0B5394"/>
          <w:sz w:val="22"/>
          <w:szCs w:val="22"/>
        </w:rPr>
        <w:t>Tab 6 – Debt Collection (Zip Code)</w:t>
      </w:r>
    </w:p>
    <w:p w14:paraId="6C53CF7A" w14:textId="77777777" w:rsidR="00832139" w:rsidRDefault="00000000">
      <w:pPr>
        <w:spacing w:before="120"/>
        <w:rPr>
          <w:rFonts w:ascii="Times New Roman" w:eastAsia="Times New Roman" w:hAnsi="Times New Roman" w:cs="Times New Roman"/>
          <w:i/>
          <w:sz w:val="22"/>
          <w:szCs w:val="22"/>
          <w:u w:val="single"/>
        </w:rPr>
      </w:pPr>
      <w:r>
        <w:rPr>
          <w:rFonts w:ascii="Times New Roman" w:eastAsia="Times New Roman" w:hAnsi="Times New Roman" w:cs="Times New Roman"/>
          <w:i/>
          <w:sz w:val="22"/>
          <w:szCs w:val="22"/>
          <w:u w:val="single"/>
        </w:rPr>
        <w:t>Line 26, Column 4</w:t>
      </w:r>
    </w:p>
    <w:p w14:paraId="664B595A" w14:textId="77777777" w:rsidR="00832139"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total number of unique patients (per MRN) with respect to whom the hospital has not reported or classified a bad debt for each PSA zip code listed in Column 1.</w:t>
      </w:r>
    </w:p>
    <w:p w14:paraId="73AFD065" w14:textId="77777777" w:rsidR="00832139" w:rsidRDefault="00000000">
      <w:pPr>
        <w:spacing w:before="120"/>
        <w:rPr>
          <w:rFonts w:ascii="Times New Roman" w:eastAsia="Times New Roman" w:hAnsi="Times New Roman" w:cs="Times New Roman"/>
          <w:i/>
          <w:sz w:val="22"/>
          <w:szCs w:val="22"/>
        </w:rPr>
      </w:pPr>
      <w:r>
        <w:rPr>
          <w:rFonts w:ascii="Times New Roman" w:eastAsia="Times New Roman" w:hAnsi="Times New Roman" w:cs="Times New Roman"/>
          <w:i/>
          <w:sz w:val="22"/>
          <w:szCs w:val="22"/>
        </w:rPr>
        <w:t>Additional Guidance:</w:t>
      </w:r>
    </w:p>
    <w:p w14:paraId="3ADAB8D0" w14:textId="77777777" w:rsidR="00832139" w:rsidRDefault="00000000">
      <w:pPr>
        <w:numPr>
          <w:ilvl w:val="0"/>
          <w:numId w:val="1"/>
        </w:numPr>
        <w:spacing w:before="120"/>
        <w:rPr>
          <w:rFonts w:ascii="Times New Roman" w:eastAsia="Times New Roman" w:hAnsi="Times New Roman" w:cs="Times New Roman"/>
          <w:i/>
        </w:rPr>
      </w:pPr>
      <w:r>
        <w:rPr>
          <w:rFonts w:ascii="Times New Roman" w:eastAsia="Times New Roman" w:hAnsi="Times New Roman" w:cs="Times New Roman"/>
          <w:sz w:val="22"/>
          <w:szCs w:val="22"/>
        </w:rPr>
        <w:t xml:space="preserve">For Specialty Hospitals, the definition for Primary Service Area (PSA) is the zip codes that account for </w:t>
      </w:r>
      <w:r>
        <w:rPr>
          <w:rFonts w:ascii="Times New Roman" w:eastAsia="Times New Roman" w:hAnsi="Times New Roman" w:cs="Times New Roman"/>
          <w:b/>
          <w:sz w:val="22"/>
          <w:szCs w:val="22"/>
        </w:rPr>
        <w:t>60 percent of your Inpatient stays</w:t>
      </w:r>
      <w:r>
        <w:rPr>
          <w:rFonts w:ascii="Times New Roman" w:eastAsia="Times New Roman" w:hAnsi="Times New Roman" w:cs="Times New Roman"/>
          <w:sz w:val="22"/>
          <w:szCs w:val="22"/>
        </w:rPr>
        <w:t xml:space="preserve"> when sorted in descending order by volume. </w:t>
      </w:r>
    </w:p>
    <w:p w14:paraId="73F0E2CB" w14:textId="77777777" w:rsidR="00832139" w:rsidRDefault="00000000">
      <w:pPr>
        <w:numPr>
          <w:ilvl w:val="0"/>
          <w:numId w:val="1"/>
        </w:numPr>
        <w:spacing w:before="120"/>
        <w:rPr>
          <w:rFonts w:ascii="Times New Roman" w:eastAsia="Times New Roman" w:hAnsi="Times New Roman" w:cs="Times New Roman"/>
          <w:i/>
        </w:rPr>
      </w:pPr>
      <w:r>
        <w:rPr>
          <w:rFonts w:ascii="Times New Roman" w:eastAsia="Times New Roman" w:hAnsi="Times New Roman" w:cs="Times New Roman"/>
          <w:sz w:val="22"/>
          <w:szCs w:val="22"/>
        </w:rPr>
        <w:t xml:space="preserve">This is the total number of patients </w:t>
      </w:r>
      <w:r>
        <w:rPr>
          <w:rFonts w:ascii="Times New Roman" w:eastAsia="Times New Roman" w:hAnsi="Times New Roman" w:cs="Times New Roman"/>
          <w:b/>
          <w:sz w:val="22"/>
          <w:szCs w:val="22"/>
        </w:rPr>
        <w:t xml:space="preserve">less </w:t>
      </w:r>
      <w:r>
        <w:rPr>
          <w:rFonts w:ascii="Times New Roman" w:eastAsia="Times New Roman" w:hAnsi="Times New Roman" w:cs="Times New Roman"/>
          <w:sz w:val="22"/>
          <w:szCs w:val="22"/>
        </w:rPr>
        <w:t>Line 26, Column 3.</w:t>
      </w:r>
    </w:p>
    <w:p w14:paraId="7B3980C6" w14:textId="77777777" w:rsidR="00832139" w:rsidRDefault="00000000">
      <w:pPr>
        <w:tabs>
          <w:tab w:val="left" w:pos="1800"/>
        </w:tabs>
        <w:spacing w:before="120"/>
        <w:ind w:right="-90"/>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any questions, please contact Wayne Nelms at wayne.nelms2@maryland.gov.</w:t>
      </w:r>
    </w:p>
    <w:sectPr w:rsidR="00832139">
      <w:headerReference w:type="even" r:id="rId8"/>
      <w:headerReference w:type="default" r:id="rId9"/>
      <w:footerReference w:type="even" r:id="rId10"/>
      <w:footerReference w:type="default" r:id="rId11"/>
      <w:headerReference w:type="first" r:id="rId12"/>
      <w:footerReference w:type="first" r:id="rId13"/>
      <w:pgSz w:w="12240" w:h="15840"/>
      <w:pgMar w:top="2322" w:right="1440" w:bottom="22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1390" w14:textId="77777777" w:rsidR="001F36EB" w:rsidRDefault="001F36EB">
      <w:r>
        <w:separator/>
      </w:r>
    </w:p>
  </w:endnote>
  <w:endnote w:type="continuationSeparator" w:id="0">
    <w:p w14:paraId="49C44145" w14:textId="77777777" w:rsidR="001F36EB" w:rsidRDefault="001F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roman"/>
    <w:notTrueType/>
    <w:pitch w:val="default"/>
  </w:font>
  <w:font w:name="Raleway Medium">
    <w:charset w:val="00"/>
    <w:family w:val="auto"/>
    <w:pitch w:val="variable"/>
    <w:sig w:usb0="A00002FF" w:usb1="5000205B" w:usb2="00000000" w:usb3="00000000" w:csb0="00000197"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9101" w14:textId="77777777" w:rsidR="0083213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C7797C5" w14:textId="77777777" w:rsidR="00832139" w:rsidRDefault="0083213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A1F9" w14:textId="77777777" w:rsidR="00832139" w:rsidRDefault="00000000">
    <w:pPr>
      <w:pBdr>
        <w:top w:val="nil"/>
        <w:left w:val="nil"/>
        <w:bottom w:val="nil"/>
        <w:right w:val="nil"/>
        <w:between w:val="nil"/>
      </w:pBdr>
      <w:tabs>
        <w:tab w:val="center" w:pos="4680"/>
        <w:tab w:val="right" w:pos="9360"/>
      </w:tabs>
      <w:rPr>
        <w:rFonts w:ascii="Raleway Medium" w:eastAsia="Raleway Medium" w:hAnsi="Raleway Medium" w:cs="Raleway Medium"/>
        <w:color w:val="003889"/>
        <w:sz w:val="16"/>
        <w:szCs w:val="16"/>
      </w:rPr>
    </w:pPr>
    <w:r>
      <w:rPr>
        <w:rFonts w:ascii="Raleway Medium" w:eastAsia="Raleway Medium" w:hAnsi="Raleway Medium" w:cs="Raleway Medium"/>
        <w:color w:val="003889"/>
        <w:sz w:val="16"/>
        <w:szCs w:val="16"/>
      </w:rPr>
      <w:fldChar w:fldCharType="begin"/>
    </w:r>
    <w:r>
      <w:rPr>
        <w:rFonts w:ascii="Raleway Medium" w:eastAsia="Raleway Medium" w:hAnsi="Raleway Medium" w:cs="Raleway Medium"/>
        <w:color w:val="003889"/>
        <w:sz w:val="16"/>
        <w:szCs w:val="16"/>
      </w:rPr>
      <w:instrText>PAGE</w:instrText>
    </w:r>
    <w:r>
      <w:rPr>
        <w:rFonts w:ascii="Raleway Medium" w:eastAsia="Raleway Medium" w:hAnsi="Raleway Medium" w:cs="Raleway Medium"/>
        <w:color w:val="003889"/>
        <w:sz w:val="16"/>
        <w:szCs w:val="16"/>
      </w:rPr>
      <w:fldChar w:fldCharType="separate"/>
    </w:r>
    <w:r w:rsidR="000539E5">
      <w:rPr>
        <w:rFonts w:ascii="Raleway Medium" w:eastAsia="Raleway Medium" w:hAnsi="Raleway Medium" w:cs="Raleway Medium"/>
        <w:noProof/>
        <w:color w:val="003889"/>
        <w:sz w:val="16"/>
        <w:szCs w:val="16"/>
      </w:rPr>
      <w:t>2</w:t>
    </w:r>
    <w:r>
      <w:rPr>
        <w:rFonts w:ascii="Raleway Medium" w:eastAsia="Raleway Medium" w:hAnsi="Raleway Medium" w:cs="Raleway Medium"/>
        <w:color w:val="003889"/>
        <w:sz w:val="16"/>
        <w:szCs w:val="16"/>
      </w:rPr>
      <w:fldChar w:fldCharType="end"/>
    </w:r>
  </w:p>
  <w:p w14:paraId="266EA3B4" w14:textId="77777777" w:rsidR="00832139" w:rsidRDefault="00000000">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55168" behindDoc="0" locked="0" layoutInCell="1" hidden="0" allowOverlap="1" wp14:anchorId="4A05C0F3" wp14:editId="59C818A5">
          <wp:simplePos x="0" y="0"/>
          <wp:positionH relativeFrom="column">
            <wp:posOffset>6038950</wp:posOffset>
          </wp:positionH>
          <wp:positionV relativeFrom="paragraph">
            <wp:posOffset>-105407</wp:posOffset>
          </wp:positionV>
          <wp:extent cx="279400" cy="114300"/>
          <wp:effectExtent l="0" t="0" r="0" b="0"/>
          <wp:wrapSquare wrapText="bothSides" distT="0" distB="0" distL="114300" distR="11430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p w14:paraId="7D8AE67C" w14:textId="77777777" w:rsidR="00832139" w:rsidRDefault="008321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84C0" w14:textId="77777777" w:rsidR="00832139" w:rsidRDefault="00000000">
    <w:pPr>
      <w:pBdr>
        <w:top w:val="nil"/>
        <w:left w:val="nil"/>
        <w:bottom w:val="nil"/>
        <w:right w:val="nil"/>
        <w:between w:val="nil"/>
      </w:pBdr>
      <w:tabs>
        <w:tab w:val="center" w:pos="4680"/>
        <w:tab w:val="right" w:pos="9360"/>
        <w:tab w:val="right" w:pos="2819"/>
      </w:tabs>
      <w:rPr>
        <w:color w:val="000000"/>
      </w:rPr>
    </w:pPr>
    <w:r>
      <w:rPr>
        <w:noProof/>
      </w:rPr>
      <mc:AlternateContent>
        <mc:Choice Requires="wps">
          <w:drawing>
            <wp:anchor distT="0" distB="0" distL="0" distR="0" simplePos="0" relativeHeight="251656192" behindDoc="1" locked="0" layoutInCell="1" hidden="0" allowOverlap="1" wp14:anchorId="3ECBC9B3" wp14:editId="2B05B22B">
              <wp:simplePos x="0" y="0"/>
              <wp:positionH relativeFrom="column">
                <wp:posOffset>-901699</wp:posOffset>
              </wp:positionH>
              <wp:positionV relativeFrom="paragraph">
                <wp:posOffset>-279399</wp:posOffset>
              </wp:positionV>
              <wp:extent cx="7787005" cy="518795"/>
              <wp:effectExtent l="0" t="0" r="0" b="0"/>
              <wp:wrapNone/>
              <wp:docPr id="52" name="Rectangle 52"/>
              <wp:cNvGraphicFramePr/>
              <a:graphic xmlns:a="http://schemas.openxmlformats.org/drawingml/2006/main">
                <a:graphicData uri="http://schemas.microsoft.com/office/word/2010/wordprocessingShape">
                  <wps:wsp>
                    <wps:cNvSpPr/>
                    <wps:spPr>
                      <a:xfrm>
                        <a:off x="1466785" y="3534890"/>
                        <a:ext cx="7758430" cy="490220"/>
                      </a:xfrm>
                      <a:prstGeom prst="rect">
                        <a:avLst/>
                      </a:prstGeom>
                      <a:noFill/>
                      <a:ln>
                        <a:noFill/>
                      </a:ln>
                    </wps:spPr>
                    <wps:txbx>
                      <w:txbxContent>
                        <w:p w14:paraId="7A2BB5FC" w14:textId="77777777" w:rsidR="00832139" w:rsidRDefault="00000000">
                          <w:pPr>
                            <w:spacing w:after="60"/>
                            <w:jc w:val="center"/>
                            <w:textDirection w:val="btLr"/>
                          </w:pPr>
                          <w:r>
                            <w:rPr>
                              <w:b/>
                              <w:color w:val="003889"/>
                              <w:sz w:val="17"/>
                            </w:rPr>
                            <w:t>The Health Services Cost Review Commission is an independent agency of the State of Maryland</w:t>
                          </w:r>
                        </w:p>
                        <w:p w14:paraId="79F184E5" w14:textId="77777777" w:rsidR="00832139" w:rsidRDefault="00000000">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w:t>
                          </w:r>
                          <w:proofErr w:type="gramStart"/>
                          <w:r>
                            <w:rPr>
                              <w:color w:val="003889"/>
                              <w:sz w:val="17"/>
                            </w:rPr>
                            <w:t>Avenue  |</w:t>
                          </w:r>
                          <w:proofErr w:type="gramEnd"/>
                          <w:r>
                            <w:rPr>
                              <w:color w:val="003889"/>
                              <w:sz w:val="17"/>
                            </w:rPr>
                            <w:t xml:space="preserve">  Baltimore, MD 21215          hscrc.maryland.gov</w:t>
                          </w:r>
                        </w:p>
                        <w:p w14:paraId="41844B3D" w14:textId="77777777" w:rsidR="00832139" w:rsidRDefault="00832139">
                          <w:pPr>
                            <w:textDirection w:val="btLr"/>
                          </w:pPr>
                        </w:p>
                      </w:txbxContent>
                    </wps:txbx>
                    <wps:bodyPr spcFirstLastPara="1" wrap="square" lIns="1097275" tIns="91425" rIns="1097275" bIns="45700" anchor="t" anchorCtr="0">
                      <a:noAutofit/>
                    </wps:bodyPr>
                  </wps:wsp>
                </a:graphicData>
              </a:graphic>
            </wp:anchor>
          </w:drawing>
        </mc:Choice>
        <mc:Fallback>
          <w:pict>
            <v:rect w14:anchorId="3ECBC9B3" id="Rectangle 52" o:spid="_x0000_s1027" style="position:absolute;margin-left:-71pt;margin-top:-22pt;width:613.15pt;height:40.8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" filled="f" stroked="f">
              <v:textbox inset="30.47986mm,2.53958mm,30.47986mm,1.2694mm">
                <w:txbxContent>
                  <w:p w14:paraId="7A2BB5FC" w14:textId="77777777" w:rsidR="00832139" w:rsidRDefault="00000000">
                    <w:pPr>
                      <w:spacing w:after="60"/>
                      <w:jc w:val="center"/>
                      <w:textDirection w:val="btLr"/>
                    </w:pPr>
                    <w:r>
                      <w:rPr>
                        <w:b/>
                        <w:color w:val="003889"/>
                        <w:sz w:val="17"/>
                      </w:rPr>
                      <w:t>The Health Services Cost Review Commission is an independent agency of the State of Maryland</w:t>
                    </w:r>
                  </w:p>
                  <w:p w14:paraId="79F184E5" w14:textId="77777777" w:rsidR="00832139" w:rsidRDefault="00000000">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w:t>
                    </w:r>
                    <w:proofErr w:type="gramStart"/>
                    <w:r>
                      <w:rPr>
                        <w:color w:val="003889"/>
                        <w:sz w:val="17"/>
                      </w:rPr>
                      <w:t>Avenue  |</w:t>
                    </w:r>
                    <w:proofErr w:type="gramEnd"/>
                    <w:r>
                      <w:rPr>
                        <w:color w:val="003889"/>
                        <w:sz w:val="17"/>
                      </w:rPr>
                      <w:t xml:space="preserve">  Baltimore, MD 21215          hscrc.maryland.gov</w:t>
                    </w:r>
                  </w:p>
                  <w:p w14:paraId="41844B3D" w14:textId="77777777" w:rsidR="00832139" w:rsidRDefault="00832139">
                    <w:pPr>
                      <w:textDirection w:val="btLr"/>
                    </w:pPr>
                  </w:p>
                </w:txbxContent>
              </v:textbox>
            </v:rect>
          </w:pict>
        </mc:Fallback>
      </mc:AlternateContent>
    </w:r>
    <w:r>
      <w:rPr>
        <w:noProof/>
      </w:rPr>
      <w:drawing>
        <wp:anchor distT="0" distB="0" distL="114300" distR="114300" simplePos="0" relativeHeight="251657216" behindDoc="0" locked="0" layoutInCell="1" hidden="0" allowOverlap="1" wp14:anchorId="1490E2CE" wp14:editId="1559C1BE">
          <wp:simplePos x="0" y="0"/>
          <wp:positionH relativeFrom="column">
            <wp:posOffset>1936361</wp:posOffset>
          </wp:positionH>
          <wp:positionV relativeFrom="paragraph">
            <wp:posOffset>-15870</wp:posOffset>
          </wp:positionV>
          <wp:extent cx="279400" cy="114300"/>
          <wp:effectExtent l="0" t="0" r="0" b="0"/>
          <wp:wrapSquare wrapText="bothSides" distT="0" distB="0" distL="114300" distR="11430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2F6A65C0" wp14:editId="1FCE346B">
          <wp:simplePos x="0" y="0"/>
          <wp:positionH relativeFrom="column">
            <wp:posOffset>4516755</wp:posOffset>
          </wp:positionH>
          <wp:positionV relativeFrom="paragraph">
            <wp:posOffset>-15237</wp:posOffset>
          </wp:positionV>
          <wp:extent cx="279400" cy="114300"/>
          <wp:effectExtent l="0" t="0" r="0" b="0"/>
          <wp:wrapSquare wrapText="bothSides" distT="0" distB="0" distL="114300" distR="11430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C8E0" w14:textId="77777777" w:rsidR="001F36EB" w:rsidRDefault="001F36EB">
      <w:r>
        <w:separator/>
      </w:r>
    </w:p>
  </w:footnote>
  <w:footnote w:type="continuationSeparator" w:id="0">
    <w:p w14:paraId="26CB73F4" w14:textId="77777777" w:rsidR="001F36EB" w:rsidRDefault="001F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376A" w14:textId="77777777" w:rsidR="00832139" w:rsidRDefault="00000000">
    <w:pPr>
      <w:pBdr>
        <w:top w:val="nil"/>
        <w:left w:val="nil"/>
        <w:bottom w:val="nil"/>
        <w:right w:val="nil"/>
        <w:between w:val="nil"/>
      </w:pBdr>
      <w:tabs>
        <w:tab w:val="center" w:pos="4680"/>
        <w:tab w:val="right" w:pos="9360"/>
      </w:tabs>
      <w:rPr>
        <w:color w:val="000000"/>
      </w:rPr>
    </w:pPr>
    <w:r>
      <w:rPr>
        <w:color w:val="000000"/>
      </w:rPr>
      <w:pict w14:anchorId="7977B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95pt;height:792.95pt;z-index:-25165516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FC18" w14:textId="77777777" w:rsidR="00832139" w:rsidRDefault="00000000">
    <w:pPr>
      <w:pBdr>
        <w:top w:val="nil"/>
        <w:left w:val="nil"/>
        <w:bottom w:val="nil"/>
        <w:right w:val="nil"/>
        <w:between w:val="nil"/>
      </w:pBdr>
      <w:tabs>
        <w:tab w:val="center" w:pos="4680"/>
        <w:tab w:val="right" w:pos="9360"/>
      </w:tabs>
      <w:ind w:hanging="720"/>
      <w:rPr>
        <w:color w:val="000000"/>
      </w:rPr>
    </w:pPr>
    <w:r>
      <w:rPr>
        <w:color w:val="000000"/>
      </w:rPr>
      <w:pict w14:anchorId="7FE9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95pt;height:792.95pt;z-index:-251657216;mso-position-horizontal:center;mso-position-horizontal-relative:margin;mso-position-vertical:center;mso-position-vertical-relative:margin">
          <v:imagedata r:id="rId1" o:title="imag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D66D" w14:textId="77777777" w:rsidR="00832139" w:rsidRDefault="00000000">
    <w:pPr>
      <w:pBdr>
        <w:top w:val="nil"/>
        <w:left w:val="nil"/>
        <w:bottom w:val="nil"/>
        <w:right w:val="nil"/>
        <w:between w:val="nil"/>
      </w:pBdr>
      <w:tabs>
        <w:tab w:val="center" w:pos="4680"/>
        <w:tab w:val="right" w:pos="9360"/>
        <w:tab w:val="left" w:pos="8115"/>
      </w:tabs>
      <w:ind w:hanging="720"/>
      <w:rPr>
        <w:color w:val="000000"/>
      </w:rPr>
    </w:pPr>
    <w:r>
      <w:rPr>
        <w:color w:val="000000"/>
      </w:rPr>
      <w:pict w14:anchorId="6C666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2.95pt;height:792.95pt;z-index:-251656192;mso-position-horizontal:center;mso-position-horizontal-relative:margin;mso-position-vertical:center;mso-position-vertical-relative:margin">
          <v:imagedata r:id="rId1" o:title="image3"/>
          <w10:wrap anchorx="margin" anchory="margin"/>
        </v:shape>
      </w:pict>
    </w:r>
    <w:r>
      <w:rPr>
        <w:noProof/>
        <w:color w:val="000000"/>
      </w:rPr>
      <w:drawing>
        <wp:inline distT="0" distB="0" distL="0" distR="0" wp14:anchorId="2EA94479" wp14:editId="2EB497D2">
          <wp:extent cx="2425700" cy="53340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25700" cy="533400"/>
                  </a:xfrm>
                  <a:prstGeom prst="rect">
                    <a:avLst/>
                  </a:prstGeom>
                  <a:ln/>
                </pic:spPr>
              </pic:pic>
            </a:graphicData>
          </a:graphic>
        </wp:inline>
      </w:drawing>
    </w:r>
    <w:r>
      <w:rPr>
        <w:color w:val="000000"/>
      </w:rPr>
      <w:tab/>
    </w:r>
    <w:r>
      <w:rPr>
        <w:noProof/>
      </w:rPr>
      <mc:AlternateContent>
        <mc:Choice Requires="wps">
          <w:drawing>
            <wp:anchor distT="0" distB="0" distL="114300" distR="114300" simplePos="0" relativeHeight="251654144" behindDoc="0" locked="0" layoutInCell="1" hidden="0" allowOverlap="1" wp14:anchorId="6131202A" wp14:editId="34ABD309">
              <wp:simplePos x="0" y="0"/>
              <wp:positionH relativeFrom="column">
                <wp:posOffset>4648200</wp:posOffset>
              </wp:positionH>
              <wp:positionV relativeFrom="paragraph">
                <wp:posOffset>939800</wp:posOffset>
              </wp:positionV>
              <wp:extent cx="1895475" cy="7146925"/>
              <wp:effectExtent l="0" t="0" r="0" b="0"/>
              <wp:wrapSquare wrapText="bothSides" distT="0" distB="0" distL="114300" distR="114300"/>
              <wp:docPr id="51" name="Rectangle 51"/>
              <wp:cNvGraphicFramePr/>
              <a:graphic xmlns:a="http://schemas.openxmlformats.org/drawingml/2006/main">
                <a:graphicData uri="http://schemas.microsoft.com/office/word/2010/wordprocessingShape">
                  <wps:wsp>
                    <wps:cNvSpPr/>
                    <wps:spPr>
                      <a:xfrm>
                        <a:off x="4412550" y="220825"/>
                        <a:ext cx="1866900" cy="7118350"/>
                      </a:xfrm>
                      <a:prstGeom prst="rect">
                        <a:avLst/>
                      </a:prstGeom>
                      <a:noFill/>
                      <a:ln>
                        <a:noFill/>
                      </a:ln>
                    </wps:spPr>
                    <wps:txbx>
                      <w:txbxContent>
                        <w:p w14:paraId="44BDB327" w14:textId="77777777" w:rsidR="00832139" w:rsidRDefault="00000000">
                          <w:pPr>
                            <w:textDirection w:val="btLr"/>
                          </w:pPr>
                          <w:r>
                            <w:rPr>
                              <w:b/>
                              <w:color w:val="003889"/>
                              <w:sz w:val="14"/>
                            </w:rPr>
                            <w:t>Adam Kane, Esq</w:t>
                          </w:r>
                        </w:p>
                        <w:p w14:paraId="3C8EC78B" w14:textId="77777777" w:rsidR="00832139" w:rsidRDefault="00000000">
                          <w:pPr>
                            <w:textDirection w:val="btLr"/>
                          </w:pPr>
                          <w:r>
                            <w:rPr>
                              <w:color w:val="003889"/>
                              <w:sz w:val="14"/>
                            </w:rPr>
                            <w:t>Chairman</w:t>
                          </w:r>
                        </w:p>
                        <w:p w14:paraId="4C89FA4F" w14:textId="77777777" w:rsidR="00832139" w:rsidRDefault="00832139">
                          <w:pPr>
                            <w:textDirection w:val="btLr"/>
                          </w:pPr>
                        </w:p>
                        <w:p w14:paraId="6454883B" w14:textId="77777777" w:rsidR="00832139" w:rsidRDefault="00000000">
                          <w:pPr>
                            <w:textDirection w:val="btLr"/>
                          </w:pPr>
                          <w:r>
                            <w:rPr>
                              <w:b/>
                              <w:color w:val="003889"/>
                              <w:sz w:val="14"/>
                            </w:rPr>
                            <w:t>Joseph Antos, PhD</w:t>
                          </w:r>
                        </w:p>
                        <w:p w14:paraId="19FB2FFB" w14:textId="77777777" w:rsidR="00832139" w:rsidRDefault="00000000">
                          <w:pPr>
                            <w:textDirection w:val="btLr"/>
                          </w:pPr>
                          <w:r>
                            <w:rPr>
                              <w:color w:val="003889"/>
                              <w:sz w:val="14"/>
                            </w:rPr>
                            <w:t>Vice-Chairman</w:t>
                          </w:r>
                        </w:p>
                        <w:p w14:paraId="546C5CEA" w14:textId="77777777" w:rsidR="00832139" w:rsidRDefault="00832139">
                          <w:pPr>
                            <w:textDirection w:val="btLr"/>
                          </w:pPr>
                        </w:p>
                        <w:p w14:paraId="5C3567B4" w14:textId="77777777" w:rsidR="00832139" w:rsidRDefault="00000000">
                          <w:pPr>
                            <w:textDirection w:val="btLr"/>
                          </w:pPr>
                          <w:r>
                            <w:rPr>
                              <w:b/>
                              <w:color w:val="003889"/>
                              <w:sz w:val="14"/>
                            </w:rPr>
                            <w:t>James N. Elliott, MD</w:t>
                          </w:r>
                        </w:p>
                        <w:p w14:paraId="07D85769" w14:textId="77777777" w:rsidR="00832139" w:rsidRDefault="00832139">
                          <w:pPr>
                            <w:textDirection w:val="btLr"/>
                          </w:pPr>
                        </w:p>
                        <w:p w14:paraId="119E03A8" w14:textId="77777777" w:rsidR="00832139" w:rsidRDefault="00000000">
                          <w:pPr>
                            <w:textDirection w:val="btLr"/>
                          </w:pPr>
                          <w:r>
                            <w:rPr>
                              <w:b/>
                              <w:color w:val="003889"/>
                              <w:sz w:val="14"/>
                            </w:rPr>
                            <w:t>Ricardo R. Johnson</w:t>
                          </w:r>
                        </w:p>
                        <w:p w14:paraId="75FEF375" w14:textId="77777777" w:rsidR="00832139" w:rsidRDefault="00832139">
                          <w:pPr>
                            <w:textDirection w:val="btLr"/>
                          </w:pPr>
                        </w:p>
                        <w:p w14:paraId="50CECEE2" w14:textId="77777777" w:rsidR="00832139" w:rsidRDefault="00000000">
                          <w:pPr>
                            <w:textDirection w:val="btLr"/>
                          </w:pPr>
                          <w:r>
                            <w:rPr>
                              <w:b/>
                              <w:color w:val="003889"/>
                              <w:sz w:val="14"/>
                            </w:rPr>
                            <w:t>Maulik Joshi, DrPH</w:t>
                          </w:r>
                        </w:p>
                        <w:p w14:paraId="28E385DA" w14:textId="77777777" w:rsidR="00832139" w:rsidRDefault="00832139">
                          <w:pPr>
                            <w:textDirection w:val="btLr"/>
                          </w:pPr>
                        </w:p>
                        <w:p w14:paraId="3B92B631" w14:textId="77777777" w:rsidR="00832139" w:rsidRDefault="00000000">
                          <w:pPr>
                            <w:textDirection w:val="btLr"/>
                          </w:pPr>
                          <w:r>
                            <w:rPr>
                              <w:b/>
                              <w:color w:val="003889"/>
                              <w:sz w:val="14"/>
                            </w:rPr>
                            <w:t>Nicki McCann, JD</w:t>
                          </w:r>
                        </w:p>
                        <w:p w14:paraId="06643FE9" w14:textId="77777777" w:rsidR="00832139" w:rsidRDefault="00832139">
                          <w:pPr>
                            <w:textDirection w:val="btLr"/>
                          </w:pPr>
                        </w:p>
                        <w:p w14:paraId="4EF47368" w14:textId="77777777" w:rsidR="00832139" w:rsidRDefault="00000000">
                          <w:pPr>
                            <w:textDirection w:val="btLr"/>
                          </w:pPr>
                          <w:r>
                            <w:rPr>
                              <w:b/>
                              <w:color w:val="003889"/>
                              <w:sz w:val="14"/>
                            </w:rPr>
                            <w:t>Joshua Sharfstein, MD</w:t>
                          </w:r>
                        </w:p>
                        <w:p w14:paraId="12FC4B9A" w14:textId="77777777" w:rsidR="00832139" w:rsidRDefault="00832139">
                          <w:pPr>
                            <w:textDirection w:val="btLr"/>
                          </w:pPr>
                        </w:p>
                        <w:p w14:paraId="73ED1F38" w14:textId="77777777" w:rsidR="00832139" w:rsidRDefault="00832139">
                          <w:pPr>
                            <w:textDirection w:val="btLr"/>
                          </w:pPr>
                        </w:p>
                        <w:p w14:paraId="6AD3A419" w14:textId="77777777" w:rsidR="00832139" w:rsidRDefault="00832139">
                          <w:pPr>
                            <w:textDirection w:val="btLr"/>
                          </w:pPr>
                        </w:p>
                        <w:p w14:paraId="544B3D8E" w14:textId="77777777" w:rsidR="00832139" w:rsidRDefault="00000000">
                          <w:pPr>
                            <w:textDirection w:val="btLr"/>
                          </w:pPr>
                          <w:r>
                            <w:rPr>
                              <w:b/>
                              <w:color w:val="003889"/>
                              <w:sz w:val="14"/>
                            </w:rPr>
                            <w:t>Jonathan Kromm, PhD</w:t>
                          </w:r>
                        </w:p>
                        <w:p w14:paraId="65854EC5" w14:textId="77777777" w:rsidR="00832139" w:rsidRDefault="00000000">
                          <w:pPr>
                            <w:textDirection w:val="btLr"/>
                          </w:pPr>
                          <w:r>
                            <w:rPr>
                              <w:color w:val="003889"/>
                              <w:sz w:val="14"/>
                            </w:rPr>
                            <w:t>Executive Director</w:t>
                          </w:r>
                        </w:p>
                        <w:p w14:paraId="462BC1C5" w14:textId="77777777" w:rsidR="00832139" w:rsidRDefault="00832139">
                          <w:pPr>
                            <w:textDirection w:val="btLr"/>
                          </w:pPr>
                        </w:p>
                        <w:p w14:paraId="17B5731E" w14:textId="77777777" w:rsidR="00832139" w:rsidRDefault="00000000">
                          <w:pPr>
                            <w:textDirection w:val="btLr"/>
                          </w:pPr>
                          <w:r>
                            <w:rPr>
                              <w:b/>
                              <w:color w:val="003889"/>
                              <w:sz w:val="14"/>
                            </w:rPr>
                            <w:t>William Henderson</w:t>
                          </w:r>
                        </w:p>
                        <w:p w14:paraId="270E037E" w14:textId="77777777" w:rsidR="00832139" w:rsidRDefault="00000000">
                          <w:pPr>
                            <w:textDirection w:val="btLr"/>
                          </w:pPr>
                          <w:r>
                            <w:rPr>
                              <w:color w:val="003889"/>
                              <w:sz w:val="14"/>
                            </w:rPr>
                            <w:t>Director</w:t>
                          </w:r>
                        </w:p>
                        <w:p w14:paraId="5FA8B816" w14:textId="77777777" w:rsidR="00832139" w:rsidRDefault="00000000">
                          <w:pPr>
                            <w:textDirection w:val="btLr"/>
                          </w:pPr>
                          <w:r>
                            <w:rPr>
                              <w:color w:val="003889"/>
                              <w:sz w:val="14"/>
                            </w:rPr>
                            <w:t>Medical Economics &amp; Data Analytics</w:t>
                          </w:r>
                        </w:p>
                        <w:p w14:paraId="66AB107C" w14:textId="77777777" w:rsidR="00832139" w:rsidRDefault="00832139">
                          <w:pPr>
                            <w:textDirection w:val="btLr"/>
                          </w:pPr>
                        </w:p>
                        <w:p w14:paraId="4BA465D9" w14:textId="77777777" w:rsidR="00832139" w:rsidRDefault="00000000">
                          <w:pPr>
                            <w:textDirection w:val="btLr"/>
                          </w:pPr>
                          <w:r>
                            <w:rPr>
                              <w:b/>
                              <w:color w:val="003889"/>
                              <w:sz w:val="14"/>
                            </w:rPr>
                            <w:t>Allan Pack</w:t>
                          </w:r>
                        </w:p>
                        <w:p w14:paraId="7CE418E2" w14:textId="77777777" w:rsidR="00832139" w:rsidRDefault="00000000">
                          <w:pPr>
                            <w:textDirection w:val="btLr"/>
                          </w:pPr>
                          <w:r>
                            <w:rPr>
                              <w:color w:val="003889"/>
                              <w:sz w:val="14"/>
                            </w:rPr>
                            <w:t>Director</w:t>
                          </w:r>
                        </w:p>
                        <w:p w14:paraId="559B9B40" w14:textId="77777777" w:rsidR="00832139" w:rsidRDefault="00000000">
                          <w:pPr>
                            <w:textDirection w:val="btLr"/>
                          </w:pPr>
                          <w:r>
                            <w:rPr>
                              <w:color w:val="003889"/>
                              <w:sz w:val="14"/>
                            </w:rPr>
                            <w:t>Population-Based Methodologies</w:t>
                          </w:r>
                        </w:p>
                        <w:p w14:paraId="4D9FB78C" w14:textId="77777777" w:rsidR="00832139" w:rsidRDefault="00832139">
                          <w:pPr>
                            <w:textDirection w:val="btLr"/>
                          </w:pPr>
                        </w:p>
                        <w:p w14:paraId="035152C6" w14:textId="77777777" w:rsidR="00832139" w:rsidRDefault="00000000">
                          <w:pPr>
                            <w:textDirection w:val="btLr"/>
                          </w:pPr>
                          <w:r>
                            <w:rPr>
                              <w:b/>
                              <w:color w:val="003889"/>
                              <w:sz w:val="14"/>
                            </w:rPr>
                            <w:t>Gerard J. Schmith</w:t>
                          </w:r>
                        </w:p>
                        <w:p w14:paraId="61E13265" w14:textId="77777777" w:rsidR="00832139" w:rsidRDefault="00000000">
                          <w:pPr>
                            <w:textDirection w:val="btLr"/>
                          </w:pPr>
                          <w:r>
                            <w:rPr>
                              <w:color w:val="003889"/>
                              <w:sz w:val="14"/>
                            </w:rPr>
                            <w:t>Director</w:t>
                          </w:r>
                        </w:p>
                        <w:p w14:paraId="17573CF0" w14:textId="77777777" w:rsidR="00832139" w:rsidRDefault="00000000">
                          <w:pPr>
                            <w:textDirection w:val="btLr"/>
                          </w:pPr>
                          <w:r>
                            <w:rPr>
                              <w:color w:val="003889"/>
                              <w:sz w:val="14"/>
                            </w:rPr>
                            <w:t>Revenue &amp; Regulation Compliance</w:t>
                          </w:r>
                        </w:p>
                        <w:p w14:paraId="08C9916B" w14:textId="77777777" w:rsidR="00832139" w:rsidRDefault="00832139">
                          <w:pPr>
                            <w:textDirection w:val="btLr"/>
                          </w:pPr>
                        </w:p>
                        <w:p w14:paraId="37DC5B43" w14:textId="77777777" w:rsidR="00832139" w:rsidRDefault="00000000">
                          <w:pPr>
                            <w:textDirection w:val="btLr"/>
                          </w:pPr>
                          <w:r>
                            <w:rPr>
                              <w:b/>
                              <w:color w:val="003889"/>
                              <w:sz w:val="14"/>
                            </w:rPr>
                            <w:t>Claudine Williams</w:t>
                          </w:r>
                        </w:p>
                        <w:p w14:paraId="1BA5E552" w14:textId="77777777" w:rsidR="00832139" w:rsidRDefault="00000000">
                          <w:pPr>
                            <w:textDirection w:val="btLr"/>
                          </w:pPr>
                          <w:r>
                            <w:rPr>
                              <w:color w:val="003889"/>
                              <w:sz w:val="14"/>
                            </w:rPr>
                            <w:t>Director</w:t>
                          </w:r>
                        </w:p>
                        <w:p w14:paraId="465B354F" w14:textId="77777777" w:rsidR="00832139" w:rsidRDefault="00000000">
                          <w:pPr>
                            <w:textDirection w:val="btLr"/>
                          </w:pPr>
                          <w:r>
                            <w:rPr>
                              <w:color w:val="003889"/>
                              <w:sz w:val="14"/>
                            </w:rPr>
                            <w:t>Healthcare Data Management &amp; Integrity</w:t>
                          </w:r>
                        </w:p>
                        <w:p w14:paraId="3418EC38" w14:textId="77777777" w:rsidR="00832139" w:rsidRDefault="00832139">
                          <w:pPr>
                            <w:textDirection w:val="btLr"/>
                          </w:pPr>
                        </w:p>
                      </w:txbxContent>
                    </wps:txbx>
                    <wps:bodyPr spcFirstLastPara="1" wrap="square" lIns="91425" tIns="45700" rIns="91425" bIns="45700" anchor="t" anchorCtr="0">
                      <a:noAutofit/>
                    </wps:bodyPr>
                  </wps:wsp>
                </a:graphicData>
              </a:graphic>
            </wp:anchor>
          </w:drawing>
        </mc:Choice>
        <mc:Fallback>
          <w:pict>
            <v:rect w14:anchorId="6131202A" id="Rectangle 51" o:spid="_x0000_s1026" style="position:absolute;margin-left:366pt;margin-top:74pt;width:149.25pt;height:562.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" filled="f" stroked="f">
              <v:textbox inset="2.53958mm,1.2694mm,2.53958mm,1.2694mm">
                <w:txbxContent>
                  <w:p w14:paraId="44BDB327" w14:textId="77777777" w:rsidR="00832139" w:rsidRDefault="00000000">
                    <w:pPr>
                      <w:textDirection w:val="btLr"/>
                    </w:pPr>
                    <w:r>
                      <w:rPr>
                        <w:b/>
                        <w:color w:val="003889"/>
                        <w:sz w:val="14"/>
                      </w:rPr>
                      <w:t>Adam Kane, Esq</w:t>
                    </w:r>
                  </w:p>
                  <w:p w14:paraId="3C8EC78B" w14:textId="77777777" w:rsidR="00832139" w:rsidRDefault="00000000">
                    <w:pPr>
                      <w:textDirection w:val="btLr"/>
                    </w:pPr>
                    <w:r>
                      <w:rPr>
                        <w:color w:val="003889"/>
                        <w:sz w:val="14"/>
                      </w:rPr>
                      <w:t>Chairman</w:t>
                    </w:r>
                  </w:p>
                  <w:p w14:paraId="4C89FA4F" w14:textId="77777777" w:rsidR="00832139" w:rsidRDefault="00832139">
                    <w:pPr>
                      <w:textDirection w:val="btLr"/>
                    </w:pPr>
                  </w:p>
                  <w:p w14:paraId="6454883B" w14:textId="77777777" w:rsidR="00832139" w:rsidRDefault="00000000">
                    <w:pPr>
                      <w:textDirection w:val="btLr"/>
                    </w:pPr>
                    <w:r>
                      <w:rPr>
                        <w:b/>
                        <w:color w:val="003889"/>
                        <w:sz w:val="14"/>
                      </w:rPr>
                      <w:t>Joseph Antos, PhD</w:t>
                    </w:r>
                  </w:p>
                  <w:p w14:paraId="19FB2FFB" w14:textId="77777777" w:rsidR="00832139" w:rsidRDefault="00000000">
                    <w:pPr>
                      <w:textDirection w:val="btLr"/>
                    </w:pPr>
                    <w:r>
                      <w:rPr>
                        <w:color w:val="003889"/>
                        <w:sz w:val="14"/>
                      </w:rPr>
                      <w:t>Vice-Chairman</w:t>
                    </w:r>
                  </w:p>
                  <w:p w14:paraId="546C5CEA" w14:textId="77777777" w:rsidR="00832139" w:rsidRDefault="00832139">
                    <w:pPr>
                      <w:textDirection w:val="btLr"/>
                    </w:pPr>
                  </w:p>
                  <w:p w14:paraId="5C3567B4" w14:textId="77777777" w:rsidR="00832139" w:rsidRDefault="00000000">
                    <w:pPr>
                      <w:textDirection w:val="btLr"/>
                    </w:pPr>
                    <w:r>
                      <w:rPr>
                        <w:b/>
                        <w:color w:val="003889"/>
                        <w:sz w:val="14"/>
                      </w:rPr>
                      <w:t>James N. Elliott, MD</w:t>
                    </w:r>
                  </w:p>
                  <w:p w14:paraId="07D85769" w14:textId="77777777" w:rsidR="00832139" w:rsidRDefault="00832139">
                    <w:pPr>
                      <w:textDirection w:val="btLr"/>
                    </w:pPr>
                  </w:p>
                  <w:p w14:paraId="119E03A8" w14:textId="77777777" w:rsidR="00832139" w:rsidRDefault="00000000">
                    <w:pPr>
                      <w:textDirection w:val="btLr"/>
                    </w:pPr>
                    <w:r>
                      <w:rPr>
                        <w:b/>
                        <w:color w:val="003889"/>
                        <w:sz w:val="14"/>
                      </w:rPr>
                      <w:t>Ricardo R. Johnson</w:t>
                    </w:r>
                  </w:p>
                  <w:p w14:paraId="75FEF375" w14:textId="77777777" w:rsidR="00832139" w:rsidRDefault="00832139">
                    <w:pPr>
                      <w:textDirection w:val="btLr"/>
                    </w:pPr>
                  </w:p>
                  <w:p w14:paraId="50CECEE2" w14:textId="77777777" w:rsidR="00832139" w:rsidRDefault="00000000">
                    <w:pPr>
                      <w:textDirection w:val="btLr"/>
                    </w:pPr>
                    <w:r>
                      <w:rPr>
                        <w:b/>
                        <w:color w:val="003889"/>
                        <w:sz w:val="14"/>
                      </w:rPr>
                      <w:t>Maulik Joshi, DrPH</w:t>
                    </w:r>
                  </w:p>
                  <w:p w14:paraId="28E385DA" w14:textId="77777777" w:rsidR="00832139" w:rsidRDefault="00832139">
                    <w:pPr>
                      <w:textDirection w:val="btLr"/>
                    </w:pPr>
                  </w:p>
                  <w:p w14:paraId="3B92B631" w14:textId="77777777" w:rsidR="00832139" w:rsidRDefault="00000000">
                    <w:pPr>
                      <w:textDirection w:val="btLr"/>
                    </w:pPr>
                    <w:r>
                      <w:rPr>
                        <w:b/>
                        <w:color w:val="003889"/>
                        <w:sz w:val="14"/>
                      </w:rPr>
                      <w:t>Nicki McCann, JD</w:t>
                    </w:r>
                  </w:p>
                  <w:p w14:paraId="06643FE9" w14:textId="77777777" w:rsidR="00832139" w:rsidRDefault="00832139">
                    <w:pPr>
                      <w:textDirection w:val="btLr"/>
                    </w:pPr>
                  </w:p>
                  <w:p w14:paraId="4EF47368" w14:textId="77777777" w:rsidR="00832139" w:rsidRDefault="00000000">
                    <w:pPr>
                      <w:textDirection w:val="btLr"/>
                    </w:pPr>
                    <w:r>
                      <w:rPr>
                        <w:b/>
                        <w:color w:val="003889"/>
                        <w:sz w:val="14"/>
                      </w:rPr>
                      <w:t>Joshua Sharfstein, MD</w:t>
                    </w:r>
                  </w:p>
                  <w:p w14:paraId="12FC4B9A" w14:textId="77777777" w:rsidR="00832139" w:rsidRDefault="00832139">
                    <w:pPr>
                      <w:textDirection w:val="btLr"/>
                    </w:pPr>
                  </w:p>
                  <w:p w14:paraId="73ED1F38" w14:textId="77777777" w:rsidR="00832139" w:rsidRDefault="00832139">
                    <w:pPr>
                      <w:textDirection w:val="btLr"/>
                    </w:pPr>
                  </w:p>
                  <w:p w14:paraId="6AD3A419" w14:textId="77777777" w:rsidR="00832139" w:rsidRDefault="00832139">
                    <w:pPr>
                      <w:textDirection w:val="btLr"/>
                    </w:pPr>
                  </w:p>
                  <w:p w14:paraId="544B3D8E" w14:textId="77777777" w:rsidR="00832139" w:rsidRDefault="00000000">
                    <w:pPr>
                      <w:textDirection w:val="btLr"/>
                    </w:pPr>
                    <w:r>
                      <w:rPr>
                        <w:b/>
                        <w:color w:val="003889"/>
                        <w:sz w:val="14"/>
                      </w:rPr>
                      <w:t>Jonathan Kromm, PhD</w:t>
                    </w:r>
                  </w:p>
                  <w:p w14:paraId="65854EC5" w14:textId="77777777" w:rsidR="00832139" w:rsidRDefault="00000000">
                    <w:pPr>
                      <w:textDirection w:val="btLr"/>
                    </w:pPr>
                    <w:r>
                      <w:rPr>
                        <w:color w:val="003889"/>
                        <w:sz w:val="14"/>
                      </w:rPr>
                      <w:t>Executive Director</w:t>
                    </w:r>
                  </w:p>
                  <w:p w14:paraId="462BC1C5" w14:textId="77777777" w:rsidR="00832139" w:rsidRDefault="00832139">
                    <w:pPr>
                      <w:textDirection w:val="btLr"/>
                    </w:pPr>
                  </w:p>
                  <w:p w14:paraId="17B5731E" w14:textId="77777777" w:rsidR="00832139" w:rsidRDefault="00000000">
                    <w:pPr>
                      <w:textDirection w:val="btLr"/>
                    </w:pPr>
                    <w:r>
                      <w:rPr>
                        <w:b/>
                        <w:color w:val="003889"/>
                        <w:sz w:val="14"/>
                      </w:rPr>
                      <w:t>William Henderson</w:t>
                    </w:r>
                  </w:p>
                  <w:p w14:paraId="270E037E" w14:textId="77777777" w:rsidR="00832139" w:rsidRDefault="00000000">
                    <w:pPr>
                      <w:textDirection w:val="btLr"/>
                    </w:pPr>
                    <w:r>
                      <w:rPr>
                        <w:color w:val="003889"/>
                        <w:sz w:val="14"/>
                      </w:rPr>
                      <w:t>Director</w:t>
                    </w:r>
                  </w:p>
                  <w:p w14:paraId="5FA8B816" w14:textId="77777777" w:rsidR="00832139" w:rsidRDefault="00000000">
                    <w:pPr>
                      <w:textDirection w:val="btLr"/>
                    </w:pPr>
                    <w:r>
                      <w:rPr>
                        <w:color w:val="003889"/>
                        <w:sz w:val="14"/>
                      </w:rPr>
                      <w:t>Medical Economics &amp; Data Analytics</w:t>
                    </w:r>
                  </w:p>
                  <w:p w14:paraId="66AB107C" w14:textId="77777777" w:rsidR="00832139" w:rsidRDefault="00832139">
                    <w:pPr>
                      <w:textDirection w:val="btLr"/>
                    </w:pPr>
                  </w:p>
                  <w:p w14:paraId="4BA465D9" w14:textId="77777777" w:rsidR="00832139" w:rsidRDefault="00000000">
                    <w:pPr>
                      <w:textDirection w:val="btLr"/>
                    </w:pPr>
                    <w:r>
                      <w:rPr>
                        <w:b/>
                        <w:color w:val="003889"/>
                        <w:sz w:val="14"/>
                      </w:rPr>
                      <w:t>Allan Pack</w:t>
                    </w:r>
                  </w:p>
                  <w:p w14:paraId="7CE418E2" w14:textId="77777777" w:rsidR="00832139" w:rsidRDefault="00000000">
                    <w:pPr>
                      <w:textDirection w:val="btLr"/>
                    </w:pPr>
                    <w:r>
                      <w:rPr>
                        <w:color w:val="003889"/>
                        <w:sz w:val="14"/>
                      </w:rPr>
                      <w:t>Director</w:t>
                    </w:r>
                  </w:p>
                  <w:p w14:paraId="559B9B40" w14:textId="77777777" w:rsidR="00832139" w:rsidRDefault="00000000">
                    <w:pPr>
                      <w:textDirection w:val="btLr"/>
                    </w:pPr>
                    <w:r>
                      <w:rPr>
                        <w:color w:val="003889"/>
                        <w:sz w:val="14"/>
                      </w:rPr>
                      <w:t>Population-Based Methodologies</w:t>
                    </w:r>
                  </w:p>
                  <w:p w14:paraId="4D9FB78C" w14:textId="77777777" w:rsidR="00832139" w:rsidRDefault="00832139">
                    <w:pPr>
                      <w:textDirection w:val="btLr"/>
                    </w:pPr>
                  </w:p>
                  <w:p w14:paraId="035152C6" w14:textId="77777777" w:rsidR="00832139" w:rsidRDefault="00000000">
                    <w:pPr>
                      <w:textDirection w:val="btLr"/>
                    </w:pPr>
                    <w:r>
                      <w:rPr>
                        <w:b/>
                        <w:color w:val="003889"/>
                        <w:sz w:val="14"/>
                      </w:rPr>
                      <w:t>Gerard J. Schmith</w:t>
                    </w:r>
                  </w:p>
                  <w:p w14:paraId="61E13265" w14:textId="77777777" w:rsidR="00832139" w:rsidRDefault="00000000">
                    <w:pPr>
                      <w:textDirection w:val="btLr"/>
                    </w:pPr>
                    <w:r>
                      <w:rPr>
                        <w:color w:val="003889"/>
                        <w:sz w:val="14"/>
                      </w:rPr>
                      <w:t>Director</w:t>
                    </w:r>
                  </w:p>
                  <w:p w14:paraId="17573CF0" w14:textId="77777777" w:rsidR="00832139" w:rsidRDefault="00000000">
                    <w:pPr>
                      <w:textDirection w:val="btLr"/>
                    </w:pPr>
                    <w:r>
                      <w:rPr>
                        <w:color w:val="003889"/>
                        <w:sz w:val="14"/>
                      </w:rPr>
                      <w:t>Revenue &amp; Regulation Compliance</w:t>
                    </w:r>
                  </w:p>
                  <w:p w14:paraId="08C9916B" w14:textId="77777777" w:rsidR="00832139" w:rsidRDefault="00832139">
                    <w:pPr>
                      <w:textDirection w:val="btLr"/>
                    </w:pPr>
                  </w:p>
                  <w:p w14:paraId="37DC5B43" w14:textId="77777777" w:rsidR="00832139" w:rsidRDefault="00000000">
                    <w:pPr>
                      <w:textDirection w:val="btLr"/>
                    </w:pPr>
                    <w:r>
                      <w:rPr>
                        <w:b/>
                        <w:color w:val="003889"/>
                        <w:sz w:val="14"/>
                      </w:rPr>
                      <w:t>Claudine Williams</w:t>
                    </w:r>
                  </w:p>
                  <w:p w14:paraId="1BA5E552" w14:textId="77777777" w:rsidR="00832139" w:rsidRDefault="00000000">
                    <w:pPr>
                      <w:textDirection w:val="btLr"/>
                    </w:pPr>
                    <w:r>
                      <w:rPr>
                        <w:color w:val="003889"/>
                        <w:sz w:val="14"/>
                      </w:rPr>
                      <w:t>Director</w:t>
                    </w:r>
                  </w:p>
                  <w:p w14:paraId="465B354F" w14:textId="77777777" w:rsidR="00832139" w:rsidRDefault="00000000">
                    <w:pPr>
                      <w:textDirection w:val="btLr"/>
                    </w:pPr>
                    <w:r>
                      <w:rPr>
                        <w:color w:val="003889"/>
                        <w:sz w:val="14"/>
                      </w:rPr>
                      <w:t>Healthcare Data Management &amp; Integrity</w:t>
                    </w:r>
                  </w:p>
                  <w:p w14:paraId="3418EC38" w14:textId="77777777" w:rsidR="00832139" w:rsidRDefault="00832139">
                    <w:pP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F0C87"/>
    <w:multiLevelType w:val="multilevel"/>
    <w:tmpl w:val="962227D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175C00"/>
    <w:multiLevelType w:val="multilevel"/>
    <w:tmpl w:val="81DC516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460282"/>
    <w:multiLevelType w:val="multilevel"/>
    <w:tmpl w:val="E4C851C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3F4884"/>
    <w:multiLevelType w:val="multilevel"/>
    <w:tmpl w:val="6770B81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662BDA"/>
    <w:multiLevelType w:val="multilevel"/>
    <w:tmpl w:val="F04AD29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0994025">
    <w:abstractNumId w:val="1"/>
  </w:num>
  <w:num w:numId="2" w16cid:durableId="939412787">
    <w:abstractNumId w:val="0"/>
  </w:num>
  <w:num w:numId="3" w16cid:durableId="701901216">
    <w:abstractNumId w:val="2"/>
  </w:num>
  <w:num w:numId="4" w16cid:durableId="155927053">
    <w:abstractNumId w:val="3"/>
  </w:num>
  <w:num w:numId="5" w16cid:durableId="1322390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39"/>
    <w:rsid w:val="000539E5"/>
    <w:rsid w:val="00133380"/>
    <w:rsid w:val="00147971"/>
    <w:rsid w:val="001F36EB"/>
    <w:rsid w:val="00832139"/>
    <w:rsid w:val="00C63260"/>
    <w:rsid w:val="00D7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8824"/>
  <w15:docId w15:val="{8B576F68-A1A8-4090-94F3-178535F3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noProof/>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style>
  <w:style w:type="paragraph" w:styleId="BalloonText">
    <w:name w:val="Balloon Text"/>
    <w:basedOn w:val="Normal"/>
    <w:link w:val="BalloonTextChar"/>
    <w:uiPriority w:val="99"/>
    <w:semiHidden/>
    <w:unhideWhenUsed/>
    <w:rsid w:val="0051663C"/>
    <w:rPr>
      <w:rFonts w:ascii="Times New Roman" w:hAnsi="Times New Roman" w:cs="Times New Roman"/>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F6398"/>
    <w:rPr>
      <w:color w:val="0563C1" w:themeColor="hyperlink"/>
      <w:u w:val="single"/>
    </w:rPr>
  </w:style>
  <w:style w:type="paragraph" w:styleId="ListParagraph">
    <w:name w:val="List Paragraph"/>
    <w:basedOn w:val="Normal"/>
    <w:uiPriority w:val="34"/>
    <w:qFormat/>
    <w:rsid w:val="001F6398"/>
    <w:pPr>
      <w:ind w:left="720"/>
      <w:contextualSpacing/>
    </w:pPr>
    <w:rPr>
      <w:rFonts w:eastAsiaTheme="minorHAnsi" w:cstheme="minorBidi"/>
      <w:szCs w:val="24"/>
    </w:rPr>
  </w:style>
  <w:style w:type="paragraph" w:styleId="Revision">
    <w:name w:val="Revision"/>
    <w:hidden/>
    <w:uiPriority w:val="99"/>
    <w:semiHidden/>
    <w:rsid w:val="00064C1F"/>
  </w:style>
  <w:style w:type="character" w:styleId="UnresolvedMention">
    <w:name w:val="Unresolved Mention"/>
    <w:basedOn w:val="DefaultParagraphFont"/>
    <w:uiPriority w:val="99"/>
    <w:semiHidden/>
    <w:unhideWhenUsed/>
    <w:rsid w:val="00521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5T3Gh9qQP32LeLobN76smg8Cg==">CgMxLjA4AHIhMUk0YkFjdHloSTRFN09mQm8wNVBvZ2hmanNJalB1X0lN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36639B-1E9E-49E3-91E2-682085002D76}"/>
</file>

<file path=customXml/itemProps2.xml><?xml version="1.0" encoding="utf-8"?>
<ds:datastoreItem xmlns:ds="http://schemas.openxmlformats.org/officeDocument/2006/customXml" ds:itemID="{E7DCB78C-F582-451E-AEA0-CFFB15BD62C7}"/>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C9F1DB60-1CB9-477D-901C-E4B824EFE146}"/>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cp:lastModifiedBy>Wayne Nelms</cp:lastModifiedBy>
  <cp:revision>2</cp:revision>
  <dcterms:created xsi:type="dcterms:W3CDTF">2023-09-19T18:17:00Z</dcterms:created>
  <dcterms:modified xsi:type="dcterms:W3CDTF">2023-09-19T18:17:00Z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