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C88A" w14:textId="77777777" w:rsidR="00EF6FE8" w:rsidRPr="00EF6FE8" w:rsidRDefault="00EF6FE8" w:rsidP="008F14DE">
      <w:pPr>
        <w:spacing w:before="150" w:after="150" w:line="276" w:lineRule="auto"/>
        <w:outlineLvl w:val="2"/>
        <w:rPr>
          <w:rFonts w:ascii="inherit" w:eastAsia="Times New Roman" w:hAnsi="inherit" w:cs="Arial"/>
          <w:b/>
          <w:bCs/>
          <w:color w:val="333333"/>
          <w:sz w:val="45"/>
          <w:szCs w:val="45"/>
        </w:rPr>
      </w:pPr>
      <w:r w:rsidRPr="00EF6FE8">
        <w:rPr>
          <w:rFonts w:ascii="inherit" w:eastAsia="Times New Roman" w:hAnsi="inherit" w:cs="Arial"/>
          <w:b/>
          <w:bCs/>
          <w:color w:val="333333"/>
          <w:sz w:val="45"/>
          <w:szCs w:val="45"/>
        </w:rPr>
        <w:t>POLICY STATEMENT</w:t>
      </w:r>
    </w:p>
    <w:p w14:paraId="4BB82B1A" w14:textId="46F34CBE" w:rsidR="00EF6FE8" w:rsidRPr="00EF6FE8" w:rsidRDefault="00A94D3B" w:rsidP="008F14DE">
      <w:p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 xml:space="preserve">This policy applies to </w:t>
      </w:r>
      <w:r w:rsidR="00B04C20">
        <w:rPr>
          <w:rFonts w:ascii="Arial" w:eastAsia="Times New Roman" w:hAnsi="Arial" w:cs="Arial"/>
          <w:color w:val="333333"/>
          <w:sz w:val="21"/>
          <w:szCs w:val="21"/>
        </w:rPr>
        <w:t>Greater Baltimore Medical Center</w:t>
      </w:r>
      <w:r>
        <w:rPr>
          <w:rFonts w:ascii="Arial" w:eastAsia="Times New Roman" w:hAnsi="Arial" w:cs="Arial"/>
          <w:color w:val="333333"/>
          <w:sz w:val="21"/>
          <w:szCs w:val="21"/>
        </w:rPr>
        <w:t>, Inc., its division, GBMC Health Partners</w:t>
      </w:r>
      <w:r w:rsidR="00201459">
        <w:rPr>
          <w:rFonts w:ascii="Arial" w:eastAsia="Times New Roman" w:hAnsi="Arial" w:cs="Arial"/>
          <w:color w:val="333333"/>
          <w:sz w:val="21"/>
          <w:szCs w:val="21"/>
        </w:rPr>
        <w:t>, and certain affiliates</w:t>
      </w:r>
      <w:r>
        <w:rPr>
          <w:rFonts w:ascii="Arial" w:eastAsia="Times New Roman" w:hAnsi="Arial" w:cs="Arial"/>
          <w:color w:val="333333"/>
          <w:sz w:val="21"/>
          <w:szCs w:val="21"/>
        </w:rPr>
        <w:t xml:space="preserve"> (collectively “GBMC”). </w:t>
      </w:r>
      <w:r w:rsidR="00EF6FE8" w:rsidRPr="00EF6FE8">
        <w:rPr>
          <w:rFonts w:ascii="Arial" w:eastAsia="Times New Roman" w:hAnsi="Arial" w:cs="Arial"/>
          <w:color w:val="333333"/>
          <w:sz w:val="21"/>
          <w:szCs w:val="21"/>
        </w:rPr>
        <w:t>GBMC is committed to providing financial assistance to persons who have health care needs and are uninsured, underinsured, ineligible for a government program, or otherwise unable to pay, for emergent and medically necessary care based on their individual financial situation.</w:t>
      </w:r>
    </w:p>
    <w:p w14:paraId="735A5D88" w14:textId="77777777" w:rsidR="00EF6FE8" w:rsidRPr="00EF6FE8" w:rsidRDefault="00EF6FE8" w:rsidP="008F14DE">
      <w:pPr>
        <w:spacing w:before="150" w:after="150" w:line="276" w:lineRule="auto"/>
        <w:rPr>
          <w:rFonts w:ascii="Arial" w:eastAsia="Times New Roman" w:hAnsi="Arial" w:cs="Arial"/>
          <w:color w:val="333333"/>
          <w:sz w:val="21"/>
          <w:szCs w:val="21"/>
        </w:rPr>
      </w:pPr>
      <w:r w:rsidRPr="00EF6FE8">
        <w:rPr>
          <w:rFonts w:ascii="Arial" w:eastAsia="Times New Roman" w:hAnsi="Arial" w:cs="Arial"/>
          <w:color w:val="333333"/>
          <w:sz w:val="21"/>
          <w:szCs w:val="21"/>
        </w:rPr>
        <w:t>All patients presenting for emergency services will be treated regardless of their ability to pay. For emergent/urgent services, applications for financial assistance will be completed and evaluated retrospectively and will not delay a patient from receiving care.</w:t>
      </w:r>
    </w:p>
    <w:p w14:paraId="6CC3297B" w14:textId="77777777" w:rsidR="00EF6FE8" w:rsidRPr="00EF6FE8" w:rsidRDefault="00EF6FE8" w:rsidP="008F14DE">
      <w:pPr>
        <w:spacing w:before="150" w:after="150" w:line="276" w:lineRule="auto"/>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GBMC patients, depending on their financial condition and subject to the criteria in this policy, may be eligible to receive medical assistance (Medicaid), </w:t>
      </w:r>
      <w:r w:rsidR="002E1D2F">
        <w:rPr>
          <w:rFonts w:ascii="Arial" w:eastAsia="Times New Roman" w:hAnsi="Arial" w:cs="Arial"/>
          <w:color w:val="333333"/>
          <w:sz w:val="21"/>
          <w:szCs w:val="21"/>
        </w:rPr>
        <w:t xml:space="preserve">full or partial </w:t>
      </w:r>
      <w:r w:rsidRPr="00EF6FE8">
        <w:rPr>
          <w:rFonts w:ascii="Arial" w:eastAsia="Times New Roman" w:hAnsi="Arial" w:cs="Arial"/>
          <w:color w:val="333333"/>
          <w:sz w:val="21"/>
          <w:szCs w:val="21"/>
        </w:rPr>
        <w:t>financial assistance</w:t>
      </w:r>
      <w:r w:rsidR="002E1D2F">
        <w:rPr>
          <w:rFonts w:ascii="Arial" w:eastAsia="Times New Roman" w:hAnsi="Arial" w:cs="Arial"/>
          <w:color w:val="333333"/>
          <w:sz w:val="21"/>
          <w:szCs w:val="21"/>
        </w:rPr>
        <w:t>,</w:t>
      </w:r>
      <w:r w:rsidRPr="00EF6FE8">
        <w:rPr>
          <w:rFonts w:ascii="Arial" w:eastAsia="Times New Roman" w:hAnsi="Arial" w:cs="Arial"/>
          <w:color w:val="333333"/>
          <w:sz w:val="21"/>
          <w:szCs w:val="21"/>
        </w:rPr>
        <w:t xml:space="preserve"> or extended payment plans. To be consistent in the provision of financial assistance with all members of the community, GBMC applies definitive criteria, outlined herein, when making </w:t>
      </w:r>
      <w:r w:rsidR="002E1D2F">
        <w:rPr>
          <w:rFonts w:ascii="Arial" w:eastAsia="Times New Roman" w:hAnsi="Arial" w:cs="Arial"/>
          <w:color w:val="333333"/>
          <w:sz w:val="21"/>
          <w:szCs w:val="21"/>
        </w:rPr>
        <w:t xml:space="preserve">determinations of full or partial </w:t>
      </w:r>
      <w:r w:rsidRPr="00EF6FE8">
        <w:rPr>
          <w:rFonts w:ascii="Arial" w:eastAsia="Times New Roman" w:hAnsi="Arial" w:cs="Arial"/>
          <w:color w:val="333333"/>
          <w:sz w:val="21"/>
          <w:szCs w:val="21"/>
        </w:rPr>
        <w:t>financial assistance.</w:t>
      </w:r>
    </w:p>
    <w:p w14:paraId="161B5649" w14:textId="15A58A26" w:rsidR="00EF6FE8" w:rsidRPr="00EF6FE8" w:rsidRDefault="00EF6FE8" w:rsidP="008F14DE">
      <w:pPr>
        <w:spacing w:before="150" w:after="150" w:line="276" w:lineRule="auto"/>
        <w:rPr>
          <w:rFonts w:ascii="Arial" w:eastAsia="Times New Roman" w:hAnsi="Arial" w:cs="Arial"/>
          <w:color w:val="333333"/>
          <w:sz w:val="21"/>
          <w:szCs w:val="21"/>
        </w:rPr>
      </w:pPr>
      <w:r w:rsidRPr="6D29C078">
        <w:rPr>
          <w:rFonts w:ascii="Arial" w:eastAsia="Times New Roman" w:hAnsi="Arial" w:cs="Arial"/>
          <w:color w:val="333333"/>
          <w:sz w:val="21"/>
          <w:szCs w:val="21"/>
        </w:rPr>
        <w:t xml:space="preserve">This policy covers all hospital facility services and services provided by GBMC physician practices/practice groups delivering emergent or medically necessary care. This policy does not </w:t>
      </w:r>
      <w:r w:rsidR="008F2AAF">
        <w:rPr>
          <w:rFonts w:ascii="Arial" w:eastAsia="Times New Roman" w:hAnsi="Arial" w:cs="Arial"/>
          <w:color w:val="333333"/>
          <w:sz w:val="21"/>
          <w:szCs w:val="21"/>
        </w:rPr>
        <w:t xml:space="preserve">apply to charges </w:t>
      </w:r>
      <w:r w:rsidR="00932F87">
        <w:rPr>
          <w:rFonts w:ascii="Arial" w:eastAsia="Times New Roman" w:hAnsi="Arial" w:cs="Arial"/>
          <w:color w:val="333333"/>
          <w:sz w:val="21"/>
          <w:szCs w:val="21"/>
        </w:rPr>
        <w:t xml:space="preserve">billed </w:t>
      </w:r>
      <w:r w:rsidR="00932F87" w:rsidRPr="6D29C078">
        <w:rPr>
          <w:rFonts w:ascii="Arial" w:eastAsia="Times New Roman" w:hAnsi="Arial" w:cs="Arial"/>
          <w:color w:val="333333"/>
          <w:sz w:val="21"/>
          <w:szCs w:val="21"/>
        </w:rPr>
        <w:t>by</w:t>
      </w:r>
      <w:r w:rsidRPr="6D29C078">
        <w:rPr>
          <w:rFonts w:ascii="Arial" w:eastAsia="Times New Roman" w:hAnsi="Arial" w:cs="Arial"/>
          <w:color w:val="333333"/>
          <w:sz w:val="21"/>
          <w:szCs w:val="21"/>
        </w:rPr>
        <w:t xml:space="preserve"> non-employed providers with privileges at GBMC</w:t>
      </w:r>
      <w:r w:rsidR="004976E0" w:rsidRPr="6D29C078">
        <w:rPr>
          <w:rFonts w:ascii="Arial" w:eastAsia="Times New Roman" w:hAnsi="Arial" w:cs="Arial"/>
          <w:color w:val="333333"/>
          <w:sz w:val="21"/>
          <w:szCs w:val="21"/>
        </w:rPr>
        <w:t xml:space="preserve">. </w:t>
      </w:r>
      <w:r w:rsidRPr="6D29C078">
        <w:rPr>
          <w:rFonts w:ascii="Arial" w:eastAsia="Times New Roman" w:hAnsi="Arial" w:cs="Arial"/>
          <w:b/>
          <w:bCs/>
          <w:color w:val="333333"/>
          <w:sz w:val="21"/>
          <w:szCs w:val="21"/>
        </w:rPr>
        <w:t>Exhibit A</w:t>
      </w:r>
      <w:r w:rsidRPr="6D29C078">
        <w:rPr>
          <w:rFonts w:ascii="Arial" w:eastAsia="Times New Roman" w:hAnsi="Arial" w:cs="Arial"/>
          <w:color w:val="333333"/>
          <w:sz w:val="21"/>
          <w:szCs w:val="21"/>
        </w:rPr>
        <w:t xml:space="preserve"> lists all providers who may provide care to a patient at GBMC and indicates whether such provider is employed by GBMC. Non-employed providers bill separately for their services and should be directly contact</w:t>
      </w:r>
      <w:r w:rsidR="000A6178">
        <w:rPr>
          <w:rFonts w:ascii="Arial" w:eastAsia="Times New Roman" w:hAnsi="Arial" w:cs="Arial"/>
          <w:color w:val="333333"/>
          <w:sz w:val="21"/>
          <w:szCs w:val="21"/>
        </w:rPr>
        <w:t>ed</w:t>
      </w:r>
      <w:r w:rsidRPr="6D29C078">
        <w:rPr>
          <w:rFonts w:ascii="Arial" w:eastAsia="Times New Roman" w:hAnsi="Arial" w:cs="Arial"/>
          <w:color w:val="333333"/>
          <w:sz w:val="21"/>
          <w:szCs w:val="21"/>
        </w:rPr>
        <w:t xml:space="preserve"> regarding any financial assistance options. </w:t>
      </w:r>
    </w:p>
    <w:p w14:paraId="31C9F913" w14:textId="171094EE" w:rsidR="00EF6FE8" w:rsidRPr="00EF6FE8" w:rsidRDefault="00EF6FE8" w:rsidP="008F14DE">
      <w:pPr>
        <w:spacing w:before="150" w:after="150" w:line="276" w:lineRule="auto"/>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An individual who is eligible for </w:t>
      </w:r>
      <w:r w:rsidR="002E1D2F">
        <w:rPr>
          <w:rFonts w:ascii="Arial" w:eastAsia="Times New Roman" w:hAnsi="Arial" w:cs="Arial"/>
          <w:color w:val="333333"/>
          <w:sz w:val="21"/>
          <w:szCs w:val="21"/>
        </w:rPr>
        <w:t xml:space="preserve">full or partial </w:t>
      </w:r>
      <w:r w:rsidRPr="00EF6FE8">
        <w:rPr>
          <w:rFonts w:ascii="Arial" w:eastAsia="Times New Roman" w:hAnsi="Arial" w:cs="Arial"/>
          <w:color w:val="333333"/>
          <w:sz w:val="21"/>
          <w:szCs w:val="21"/>
        </w:rPr>
        <w:t xml:space="preserve">assistance under this policy for emergency or other medically necessary care will never be charged more than the </w:t>
      </w:r>
      <w:r w:rsidR="004976E0">
        <w:rPr>
          <w:rFonts w:ascii="Arial" w:eastAsia="Times New Roman" w:hAnsi="Arial" w:cs="Arial"/>
          <w:color w:val="333333"/>
          <w:sz w:val="21"/>
          <w:szCs w:val="21"/>
        </w:rPr>
        <w:t>A</w:t>
      </w:r>
      <w:r w:rsidRPr="00EF6FE8">
        <w:rPr>
          <w:rFonts w:ascii="Arial" w:eastAsia="Times New Roman" w:hAnsi="Arial" w:cs="Arial"/>
          <w:color w:val="333333"/>
          <w:sz w:val="21"/>
          <w:szCs w:val="21"/>
        </w:rPr>
        <w:t xml:space="preserve">mounts </w:t>
      </w:r>
      <w:r w:rsidR="004976E0">
        <w:rPr>
          <w:rFonts w:ascii="Arial" w:eastAsia="Times New Roman" w:hAnsi="Arial" w:cs="Arial"/>
          <w:color w:val="333333"/>
          <w:sz w:val="21"/>
          <w:szCs w:val="21"/>
        </w:rPr>
        <w:t>G</w:t>
      </w:r>
      <w:r w:rsidRPr="00EF6FE8">
        <w:rPr>
          <w:rFonts w:ascii="Arial" w:eastAsia="Times New Roman" w:hAnsi="Arial" w:cs="Arial"/>
          <w:color w:val="333333"/>
          <w:sz w:val="21"/>
          <w:szCs w:val="21"/>
        </w:rPr>
        <w:t xml:space="preserve">enerally </w:t>
      </w:r>
      <w:r w:rsidR="004976E0">
        <w:rPr>
          <w:rFonts w:ascii="Arial" w:eastAsia="Times New Roman" w:hAnsi="Arial" w:cs="Arial"/>
          <w:color w:val="333333"/>
          <w:sz w:val="21"/>
          <w:szCs w:val="21"/>
        </w:rPr>
        <w:t>B</w:t>
      </w:r>
      <w:r w:rsidRPr="00EF6FE8">
        <w:rPr>
          <w:rFonts w:ascii="Arial" w:eastAsia="Times New Roman" w:hAnsi="Arial" w:cs="Arial"/>
          <w:color w:val="333333"/>
          <w:sz w:val="21"/>
          <w:szCs w:val="21"/>
        </w:rPr>
        <w:t>illed (AGB) to an individual who is not eligible for assistance.</w:t>
      </w:r>
    </w:p>
    <w:p w14:paraId="2C651D7A" w14:textId="7FC10371" w:rsidR="00EF6FE8" w:rsidRDefault="00EF6FE8" w:rsidP="008F14DE">
      <w:pPr>
        <w:spacing w:before="150" w:after="150" w:line="276" w:lineRule="auto"/>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GBMC will give notice of its Financial Assistance Policy by providing access on its website and </w:t>
      </w:r>
      <w:r w:rsidR="004976E0">
        <w:rPr>
          <w:rFonts w:ascii="Arial" w:eastAsia="Times New Roman" w:hAnsi="Arial" w:cs="Arial"/>
          <w:color w:val="333333"/>
          <w:sz w:val="21"/>
          <w:szCs w:val="21"/>
        </w:rPr>
        <w:t xml:space="preserve">MyChart </w:t>
      </w:r>
      <w:r w:rsidRPr="00EF6FE8">
        <w:rPr>
          <w:rFonts w:ascii="Arial" w:eastAsia="Times New Roman" w:hAnsi="Arial" w:cs="Arial"/>
          <w:color w:val="333333"/>
          <w:sz w:val="21"/>
          <w:szCs w:val="21"/>
        </w:rPr>
        <w:t>patient portal; providing notice of the policy in a newspaper with circulation in GBMC's service area on an annual basis; providing hard copies upon request and by mail free of charge; by providing notice and information about the policy as part of the pre-admission, registration</w:t>
      </w:r>
      <w:r w:rsidR="002E1D2F">
        <w:rPr>
          <w:rFonts w:ascii="Arial" w:eastAsia="Times New Roman" w:hAnsi="Arial" w:cs="Arial"/>
          <w:color w:val="333333"/>
          <w:sz w:val="21"/>
          <w:szCs w:val="21"/>
        </w:rPr>
        <w:t>,</w:t>
      </w:r>
      <w:r w:rsidRPr="00EF6FE8">
        <w:rPr>
          <w:rFonts w:ascii="Arial" w:eastAsia="Times New Roman" w:hAnsi="Arial" w:cs="Arial"/>
          <w:color w:val="333333"/>
          <w:sz w:val="21"/>
          <w:szCs w:val="21"/>
        </w:rPr>
        <w:t xml:space="preserve"> and discharge process</w:t>
      </w:r>
      <w:r w:rsidR="002E1D2F">
        <w:rPr>
          <w:rFonts w:ascii="Arial" w:eastAsia="Times New Roman" w:hAnsi="Arial" w:cs="Arial"/>
          <w:color w:val="333333"/>
          <w:sz w:val="21"/>
          <w:szCs w:val="21"/>
        </w:rPr>
        <w:t>es; providing notice and information</w:t>
      </w:r>
      <w:r w:rsidR="002E1D2F" w:rsidRPr="002E1D2F">
        <w:rPr>
          <w:rFonts w:ascii="Arial" w:eastAsia="Times New Roman" w:hAnsi="Arial" w:cs="Arial"/>
          <w:color w:val="333333"/>
          <w:sz w:val="21"/>
          <w:szCs w:val="21"/>
        </w:rPr>
        <w:t xml:space="preserve"> </w:t>
      </w:r>
      <w:r w:rsidR="002E1D2F" w:rsidRPr="00EF6FE8">
        <w:rPr>
          <w:rFonts w:ascii="Arial" w:eastAsia="Times New Roman" w:hAnsi="Arial" w:cs="Arial"/>
          <w:color w:val="333333"/>
          <w:sz w:val="21"/>
          <w:szCs w:val="21"/>
        </w:rPr>
        <w:t>on billing statements</w:t>
      </w:r>
      <w:r w:rsidRPr="00EF6FE8">
        <w:rPr>
          <w:rFonts w:ascii="Arial" w:eastAsia="Times New Roman" w:hAnsi="Arial" w:cs="Arial"/>
          <w:color w:val="333333"/>
          <w:sz w:val="21"/>
          <w:szCs w:val="21"/>
        </w:rPr>
        <w:t xml:space="preserve">; and, by displaying information about the policy at the Billing Office and all hospital registration points, which includes the Emergency Department. </w:t>
      </w:r>
      <w:r w:rsidR="002E1D2F">
        <w:rPr>
          <w:rFonts w:ascii="Arial" w:eastAsia="Times New Roman" w:hAnsi="Arial" w:cs="Arial"/>
          <w:color w:val="333333"/>
          <w:sz w:val="21"/>
          <w:szCs w:val="21"/>
        </w:rPr>
        <w:t>English and Spanish versions of the Financial Assistance Policy and related documents will be made available in all locations and on the hospital website. Also, u</w:t>
      </w:r>
      <w:r w:rsidRPr="00EF6FE8">
        <w:rPr>
          <w:rFonts w:ascii="Arial" w:eastAsia="Times New Roman" w:hAnsi="Arial" w:cs="Arial"/>
          <w:color w:val="333333"/>
          <w:sz w:val="21"/>
          <w:szCs w:val="21"/>
        </w:rPr>
        <w:t xml:space="preserve">pon request, GBMC will translate the policy into all </w:t>
      </w:r>
      <w:r w:rsidR="002E1D2F">
        <w:rPr>
          <w:rFonts w:ascii="Arial" w:eastAsia="Times New Roman" w:hAnsi="Arial" w:cs="Arial"/>
          <w:color w:val="333333"/>
          <w:sz w:val="21"/>
          <w:szCs w:val="21"/>
        </w:rPr>
        <w:t xml:space="preserve">other </w:t>
      </w:r>
      <w:r w:rsidRPr="00EF6FE8">
        <w:rPr>
          <w:rFonts w:ascii="Arial" w:eastAsia="Times New Roman" w:hAnsi="Arial" w:cs="Arial"/>
          <w:color w:val="333333"/>
          <w:sz w:val="21"/>
          <w:szCs w:val="21"/>
        </w:rPr>
        <w:t>primary languages of all significant patient populations in the community with limited English proficiency.</w:t>
      </w:r>
    </w:p>
    <w:p w14:paraId="3E28A76A" w14:textId="77777777" w:rsidR="00EF6FE8" w:rsidRPr="00EF6FE8" w:rsidRDefault="00EF6FE8" w:rsidP="008F14DE">
      <w:pPr>
        <w:spacing w:before="150" w:after="150" w:line="276" w:lineRule="auto"/>
        <w:outlineLvl w:val="2"/>
        <w:rPr>
          <w:rFonts w:ascii="inherit" w:eastAsia="Times New Roman" w:hAnsi="inherit" w:cs="Arial"/>
          <w:b/>
          <w:bCs/>
          <w:color w:val="333333"/>
          <w:sz w:val="45"/>
          <w:szCs w:val="45"/>
        </w:rPr>
      </w:pPr>
      <w:r w:rsidRPr="00EF6FE8">
        <w:rPr>
          <w:rFonts w:ascii="inherit" w:eastAsia="Times New Roman" w:hAnsi="inherit" w:cs="Arial"/>
          <w:b/>
          <w:bCs/>
          <w:color w:val="333333"/>
          <w:sz w:val="45"/>
          <w:szCs w:val="45"/>
        </w:rPr>
        <w:t>DEFINITIONS</w:t>
      </w:r>
    </w:p>
    <w:p w14:paraId="38AB5C09" w14:textId="4F51A60E" w:rsidR="00EF6FE8" w:rsidRPr="00EF6FE8" w:rsidRDefault="00EF6FE8" w:rsidP="008F14DE">
      <w:pPr>
        <w:numPr>
          <w:ilvl w:val="0"/>
          <w:numId w:val="1"/>
        </w:numPr>
        <w:spacing w:before="150" w:after="150" w:line="276" w:lineRule="auto"/>
        <w:ind w:left="690"/>
        <w:rPr>
          <w:rFonts w:ascii="Arial" w:eastAsia="Times New Roman" w:hAnsi="Arial" w:cs="Arial"/>
          <w:color w:val="333333"/>
          <w:sz w:val="21"/>
          <w:szCs w:val="21"/>
        </w:rPr>
      </w:pPr>
      <w:r w:rsidRPr="6D29C078">
        <w:rPr>
          <w:rFonts w:ascii="Arial" w:eastAsia="Times New Roman" w:hAnsi="Arial" w:cs="Arial"/>
          <w:color w:val="333333"/>
          <w:sz w:val="21"/>
          <w:szCs w:val="21"/>
          <w:u w:val="single"/>
        </w:rPr>
        <w:t>Eligible Services:</w:t>
      </w:r>
      <w:r w:rsidRPr="6D29C078">
        <w:rPr>
          <w:rFonts w:ascii="Arial" w:eastAsia="Times New Roman" w:hAnsi="Arial" w:cs="Arial"/>
          <w:color w:val="333333"/>
          <w:sz w:val="21"/>
          <w:szCs w:val="21"/>
        </w:rPr>
        <w:t xml:space="preserve"> </w:t>
      </w:r>
      <w:r w:rsidR="008E64A2" w:rsidRPr="6D29C078">
        <w:rPr>
          <w:rFonts w:ascii="Arial" w:eastAsia="Times New Roman" w:hAnsi="Arial" w:cs="Arial"/>
          <w:color w:val="333333"/>
          <w:sz w:val="21"/>
          <w:szCs w:val="21"/>
        </w:rPr>
        <w:t>Medically necessary s</w:t>
      </w:r>
      <w:r w:rsidRPr="6D29C078">
        <w:rPr>
          <w:rFonts w:ascii="Arial" w:eastAsia="Times New Roman" w:hAnsi="Arial" w:cs="Arial"/>
          <w:color w:val="333333"/>
          <w:sz w:val="21"/>
          <w:szCs w:val="21"/>
        </w:rPr>
        <w:t>ervices</w:t>
      </w:r>
      <w:r w:rsidR="008E64A2" w:rsidRPr="6D29C078">
        <w:rPr>
          <w:rFonts w:ascii="Arial" w:eastAsia="Times New Roman" w:hAnsi="Arial" w:cs="Arial"/>
          <w:color w:val="333333"/>
          <w:sz w:val="21"/>
          <w:szCs w:val="21"/>
        </w:rPr>
        <w:t>, as defined below,</w:t>
      </w:r>
      <w:r w:rsidRPr="6D29C078">
        <w:rPr>
          <w:rFonts w:ascii="Arial" w:eastAsia="Times New Roman" w:hAnsi="Arial" w:cs="Arial"/>
          <w:color w:val="333333"/>
          <w:sz w:val="21"/>
          <w:szCs w:val="21"/>
        </w:rPr>
        <w:t xml:space="preserve"> may be eligible for financial assistance. Services </w:t>
      </w:r>
      <w:r w:rsidR="008E64A2" w:rsidRPr="6D29C078">
        <w:rPr>
          <w:rFonts w:ascii="Arial" w:eastAsia="Times New Roman" w:hAnsi="Arial" w:cs="Arial"/>
          <w:color w:val="333333"/>
          <w:sz w:val="21"/>
          <w:szCs w:val="21"/>
        </w:rPr>
        <w:t>that are not medically necessary</w:t>
      </w:r>
      <w:r w:rsidRPr="6D29C078">
        <w:rPr>
          <w:rFonts w:ascii="Arial" w:eastAsia="Times New Roman" w:hAnsi="Arial" w:cs="Arial"/>
          <w:color w:val="333333"/>
          <w:sz w:val="21"/>
          <w:szCs w:val="21"/>
        </w:rPr>
        <w:t xml:space="preserve"> are not eligible for financial assistance. Services for patients who incur additional out-of-pocket expenses, in compliance with the federal No Surprises Act, by intentionally going out of their health insurance network, as specified by their insurance carrier, are not eligible for consideration.</w:t>
      </w:r>
      <w:r w:rsidR="004D3A73" w:rsidRPr="6D29C078">
        <w:rPr>
          <w:rFonts w:ascii="Arial" w:eastAsia="Times New Roman" w:hAnsi="Arial" w:cs="Arial"/>
          <w:color w:val="333333"/>
          <w:sz w:val="21"/>
          <w:szCs w:val="21"/>
        </w:rPr>
        <w:t xml:space="preserve"> </w:t>
      </w:r>
    </w:p>
    <w:p w14:paraId="73BBBA7C" w14:textId="3797835D" w:rsidR="003567DE" w:rsidRDefault="00631031" w:rsidP="008F14DE">
      <w:pPr>
        <w:numPr>
          <w:ilvl w:val="0"/>
          <w:numId w:val="1"/>
        </w:numPr>
        <w:spacing w:before="150" w:after="150" w:line="276" w:lineRule="auto"/>
        <w:ind w:left="690"/>
        <w:rPr>
          <w:rFonts w:ascii="Arial" w:eastAsia="Times New Roman" w:hAnsi="Arial" w:cs="Arial"/>
          <w:color w:val="333333"/>
          <w:sz w:val="21"/>
          <w:szCs w:val="21"/>
        </w:rPr>
      </w:pPr>
      <w:r>
        <w:rPr>
          <w:rFonts w:ascii="Arial" w:eastAsia="Times New Roman" w:hAnsi="Arial" w:cs="Arial"/>
          <w:color w:val="333333"/>
          <w:sz w:val="21"/>
          <w:szCs w:val="21"/>
          <w:u w:val="single"/>
        </w:rPr>
        <w:lastRenderedPageBreak/>
        <w:t>Family Income</w:t>
      </w:r>
      <w:r>
        <w:rPr>
          <w:rFonts w:ascii="Arial" w:eastAsia="Times New Roman" w:hAnsi="Arial" w:cs="Arial"/>
          <w:color w:val="333333"/>
          <w:sz w:val="21"/>
          <w:szCs w:val="21"/>
        </w:rPr>
        <w:t>:</w:t>
      </w:r>
      <w:r w:rsidR="00ED2795">
        <w:rPr>
          <w:rFonts w:ascii="Arial" w:eastAsia="Times New Roman" w:hAnsi="Arial" w:cs="Arial"/>
          <w:color w:val="333333"/>
          <w:sz w:val="21"/>
          <w:szCs w:val="21"/>
        </w:rPr>
        <w:t xml:space="preserve"> means the gross income of an individual and all of their Household Members, including, without limitation, compensation for services (wages, salaries, commissions, etc.), interest, dividends, royalties, capital gains, annuities, pension, retirement income, Social Security, public or government assistance, rents, alimony, child support, business income, income from estates or trusts, survivor benefits, income from life insurance or endowment contracts</w:t>
      </w:r>
      <w:r w:rsidR="00856FA9">
        <w:rPr>
          <w:rFonts w:ascii="Arial" w:eastAsia="Times New Roman" w:hAnsi="Arial" w:cs="Arial"/>
          <w:color w:val="333333"/>
          <w:sz w:val="21"/>
          <w:szCs w:val="21"/>
        </w:rPr>
        <w:t>, and any other gross income or remuneration, from whatever source derived, all on a pre-tax basis.</w:t>
      </w:r>
      <w:r w:rsidR="00386CC6">
        <w:rPr>
          <w:rFonts w:ascii="Arial" w:eastAsia="Times New Roman" w:hAnsi="Arial" w:cs="Arial"/>
          <w:color w:val="333333"/>
          <w:sz w:val="21"/>
          <w:szCs w:val="21"/>
        </w:rPr>
        <w:t xml:space="preserve"> The term “household” may be used interchangeably with the term “family”.</w:t>
      </w:r>
    </w:p>
    <w:p w14:paraId="487AB8AD" w14:textId="263B7171" w:rsidR="00587886" w:rsidRDefault="003567DE" w:rsidP="008F14DE">
      <w:pPr>
        <w:numPr>
          <w:ilvl w:val="0"/>
          <w:numId w:val="1"/>
        </w:numPr>
        <w:spacing w:before="150" w:after="150" w:line="276" w:lineRule="auto"/>
        <w:ind w:left="690"/>
        <w:rPr>
          <w:rFonts w:ascii="Arial" w:eastAsia="Times New Roman" w:hAnsi="Arial" w:cs="Arial"/>
          <w:color w:val="333333"/>
          <w:sz w:val="21"/>
          <w:szCs w:val="21"/>
        </w:rPr>
      </w:pPr>
      <w:r>
        <w:rPr>
          <w:rFonts w:ascii="Arial" w:eastAsia="Times New Roman" w:hAnsi="Arial" w:cs="Arial"/>
          <w:color w:val="333333"/>
          <w:sz w:val="21"/>
          <w:szCs w:val="21"/>
          <w:u w:val="single"/>
        </w:rPr>
        <w:t>Household Member</w:t>
      </w:r>
      <w:r>
        <w:rPr>
          <w:rFonts w:ascii="Arial" w:eastAsia="Times New Roman" w:hAnsi="Arial" w:cs="Arial"/>
          <w:color w:val="333333"/>
          <w:sz w:val="21"/>
          <w:szCs w:val="21"/>
        </w:rPr>
        <w:t xml:space="preserve">: </w:t>
      </w:r>
      <w:r w:rsidR="00587886">
        <w:rPr>
          <w:rFonts w:ascii="Arial" w:eastAsia="Times New Roman" w:hAnsi="Arial" w:cs="Arial"/>
          <w:color w:val="333333"/>
          <w:sz w:val="21"/>
          <w:szCs w:val="21"/>
        </w:rPr>
        <w:t>means an individual residing in the same household as the patient who:</w:t>
      </w:r>
    </w:p>
    <w:p w14:paraId="39E01245" w14:textId="187CC9C1" w:rsidR="00587886" w:rsidRDefault="00587886" w:rsidP="008F14DE">
      <w:pPr>
        <w:numPr>
          <w:ilvl w:val="1"/>
          <w:numId w:val="1"/>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 xml:space="preserve">For a patient who is an adult, </w:t>
      </w:r>
      <w:r w:rsidR="002A7215">
        <w:rPr>
          <w:rFonts w:ascii="Arial" w:eastAsia="Times New Roman" w:hAnsi="Arial" w:cs="Arial"/>
          <w:color w:val="333333"/>
          <w:sz w:val="21"/>
          <w:szCs w:val="21"/>
        </w:rPr>
        <w:t xml:space="preserve">is </w:t>
      </w:r>
      <w:r w:rsidR="003567DE">
        <w:rPr>
          <w:rFonts w:ascii="Arial" w:eastAsia="Times New Roman" w:hAnsi="Arial" w:cs="Arial"/>
          <w:color w:val="333333"/>
          <w:sz w:val="21"/>
          <w:szCs w:val="21"/>
        </w:rPr>
        <w:t xml:space="preserve">a spouse, regardless of whether the patient and spouse expect to file a joint federal or State tax return; biological </w:t>
      </w:r>
      <w:r w:rsidR="002A7215">
        <w:rPr>
          <w:rFonts w:ascii="Arial" w:eastAsia="Times New Roman" w:hAnsi="Arial" w:cs="Arial"/>
          <w:color w:val="333333"/>
          <w:sz w:val="21"/>
          <w:szCs w:val="21"/>
        </w:rPr>
        <w:t>child</w:t>
      </w:r>
      <w:r w:rsidR="003567DE">
        <w:rPr>
          <w:rFonts w:ascii="Arial" w:eastAsia="Times New Roman" w:hAnsi="Arial" w:cs="Arial"/>
          <w:color w:val="333333"/>
          <w:sz w:val="21"/>
          <w:szCs w:val="21"/>
        </w:rPr>
        <w:t>, adopte</w:t>
      </w:r>
      <w:r w:rsidR="002A7215">
        <w:rPr>
          <w:rFonts w:ascii="Arial" w:eastAsia="Times New Roman" w:hAnsi="Arial" w:cs="Arial"/>
          <w:color w:val="333333"/>
          <w:sz w:val="21"/>
          <w:szCs w:val="21"/>
        </w:rPr>
        <w:t>d child, or stepchild; and anyone for whom the patient claims a personal exemption in a federal or State tax return.</w:t>
      </w:r>
      <w:r>
        <w:rPr>
          <w:rFonts w:ascii="Arial" w:eastAsia="Times New Roman" w:hAnsi="Arial" w:cs="Arial"/>
          <w:color w:val="333333"/>
          <w:sz w:val="21"/>
          <w:szCs w:val="21"/>
        </w:rPr>
        <w:t xml:space="preserve"> </w:t>
      </w:r>
    </w:p>
    <w:p w14:paraId="7EB763E7" w14:textId="1802101D" w:rsidR="00631031" w:rsidRPr="00121662" w:rsidRDefault="00587886" w:rsidP="008F14DE">
      <w:pPr>
        <w:numPr>
          <w:ilvl w:val="1"/>
          <w:numId w:val="1"/>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For a patient who is a child, is a biological parent, adoptive parent, stepparent, or guardian; biological sibling, adopted sibling, or stepsibling; and anyone for whom the patent’s parents or guardians claim a personal exemption in a federal or State tax retu</w:t>
      </w:r>
      <w:r w:rsidR="00121662">
        <w:rPr>
          <w:rFonts w:ascii="Arial" w:eastAsia="Times New Roman" w:hAnsi="Arial" w:cs="Arial"/>
          <w:color w:val="333333"/>
          <w:sz w:val="21"/>
          <w:szCs w:val="21"/>
        </w:rPr>
        <w:t>r</w:t>
      </w:r>
      <w:r>
        <w:rPr>
          <w:rFonts w:ascii="Arial" w:eastAsia="Times New Roman" w:hAnsi="Arial" w:cs="Arial"/>
          <w:color w:val="333333"/>
          <w:sz w:val="21"/>
          <w:szCs w:val="21"/>
        </w:rPr>
        <w:t xml:space="preserve">n. </w:t>
      </w:r>
    </w:p>
    <w:p w14:paraId="20F68689" w14:textId="58765CB1" w:rsidR="00EF6FE8" w:rsidRDefault="00EF6FE8" w:rsidP="008F14DE">
      <w:pPr>
        <w:numPr>
          <w:ilvl w:val="0"/>
          <w:numId w:val="1"/>
        </w:numPr>
        <w:spacing w:before="150" w:after="150" w:line="276" w:lineRule="auto"/>
        <w:ind w:left="690"/>
        <w:rPr>
          <w:rFonts w:ascii="Arial" w:eastAsia="Times New Roman" w:hAnsi="Arial" w:cs="Arial"/>
          <w:color w:val="333333"/>
          <w:sz w:val="21"/>
          <w:szCs w:val="21"/>
        </w:rPr>
      </w:pPr>
      <w:r w:rsidRPr="6D29C078">
        <w:rPr>
          <w:rFonts w:ascii="Arial" w:eastAsia="Times New Roman" w:hAnsi="Arial" w:cs="Arial"/>
          <w:color w:val="333333"/>
          <w:sz w:val="21"/>
          <w:szCs w:val="21"/>
          <w:u w:val="single"/>
        </w:rPr>
        <w:t>Liquid Assets</w:t>
      </w:r>
      <w:r w:rsidRPr="6D29C078">
        <w:rPr>
          <w:rFonts w:ascii="Arial" w:eastAsia="Times New Roman" w:hAnsi="Arial" w:cs="Arial"/>
          <w:color w:val="333333"/>
          <w:sz w:val="21"/>
          <w:szCs w:val="21"/>
        </w:rPr>
        <w:t xml:space="preserve">: </w:t>
      </w:r>
      <w:r w:rsidR="00BA529C">
        <w:rPr>
          <w:rFonts w:ascii="Arial" w:eastAsia="Times New Roman" w:hAnsi="Arial" w:cs="Arial"/>
          <w:color w:val="333333"/>
          <w:sz w:val="21"/>
          <w:szCs w:val="21"/>
        </w:rPr>
        <w:t>means household monetary assets in excess of $100,000</w:t>
      </w:r>
      <w:r w:rsidRPr="6D29C078">
        <w:rPr>
          <w:rFonts w:ascii="Arial" w:eastAsia="Times New Roman" w:hAnsi="Arial" w:cs="Arial"/>
          <w:color w:val="333333"/>
          <w:sz w:val="21"/>
          <w:szCs w:val="21"/>
        </w:rPr>
        <w:t>. Liquid Assets do</w:t>
      </w:r>
      <w:r w:rsidR="00D5679B">
        <w:rPr>
          <w:rFonts w:ascii="Arial" w:eastAsia="Times New Roman" w:hAnsi="Arial" w:cs="Arial"/>
          <w:color w:val="333333"/>
          <w:sz w:val="21"/>
          <w:szCs w:val="21"/>
        </w:rPr>
        <w:t>es</w:t>
      </w:r>
      <w:r w:rsidRPr="6D29C078">
        <w:rPr>
          <w:rFonts w:ascii="Arial" w:eastAsia="Times New Roman" w:hAnsi="Arial" w:cs="Arial"/>
          <w:color w:val="333333"/>
          <w:sz w:val="21"/>
          <w:szCs w:val="21"/>
        </w:rPr>
        <w:t xml:space="preserve"> not include retirement assets to which the IRS has granted preferential tax treatment. </w:t>
      </w:r>
    </w:p>
    <w:p w14:paraId="23EF9E79" w14:textId="6409E8A8" w:rsidR="00AE7A7B" w:rsidRPr="008F14DE" w:rsidRDefault="008E64A2" w:rsidP="008F14DE">
      <w:pPr>
        <w:pStyle w:val="ListParagraph"/>
        <w:numPr>
          <w:ilvl w:val="0"/>
          <w:numId w:val="1"/>
        </w:numPr>
        <w:spacing w:line="276" w:lineRule="auto"/>
        <w:contextualSpacing w:val="0"/>
        <w:rPr>
          <w:rFonts w:ascii="Arial" w:eastAsia="Times New Roman" w:hAnsi="Arial" w:cs="Arial"/>
          <w:color w:val="333333"/>
          <w:sz w:val="21"/>
          <w:szCs w:val="21"/>
        </w:rPr>
      </w:pPr>
      <w:r w:rsidRPr="008E64A2">
        <w:rPr>
          <w:rFonts w:ascii="Arial" w:eastAsia="Times New Roman" w:hAnsi="Arial" w:cs="Arial"/>
          <w:color w:val="333333"/>
          <w:sz w:val="21"/>
          <w:szCs w:val="21"/>
          <w:u w:val="single"/>
        </w:rPr>
        <w:t>Medically Necessary</w:t>
      </w:r>
      <w:r>
        <w:rPr>
          <w:rFonts w:ascii="Arial" w:eastAsia="Times New Roman" w:hAnsi="Arial" w:cs="Arial"/>
          <w:color w:val="333333"/>
          <w:sz w:val="21"/>
          <w:szCs w:val="21"/>
          <w:u w:val="single"/>
        </w:rPr>
        <w:t xml:space="preserve"> Services</w:t>
      </w:r>
      <w:r w:rsidRPr="008E64A2">
        <w:rPr>
          <w:rFonts w:ascii="Arial" w:eastAsia="Times New Roman" w:hAnsi="Arial" w:cs="Arial"/>
          <w:color w:val="333333"/>
          <w:sz w:val="21"/>
          <w:szCs w:val="21"/>
        </w:rPr>
        <w:t>: Any procedure</w:t>
      </w:r>
      <w:r w:rsidR="00AE7A7B">
        <w:rPr>
          <w:rFonts w:ascii="Arial" w:eastAsia="Times New Roman" w:hAnsi="Arial" w:cs="Arial"/>
          <w:color w:val="333333"/>
          <w:sz w:val="21"/>
          <w:szCs w:val="21"/>
        </w:rPr>
        <w:t xml:space="preserve"> or care directly related to diagnostic, preventive, curative, palliative, rehabilitative, or ameliorative treatment of an illness, injury, disability, or health condition.  </w:t>
      </w:r>
      <w:r w:rsidR="008A6194">
        <w:rPr>
          <w:rFonts w:ascii="Arial" w:eastAsia="Times New Roman" w:hAnsi="Arial" w:cs="Arial"/>
          <w:color w:val="333333"/>
          <w:sz w:val="21"/>
          <w:szCs w:val="21"/>
        </w:rPr>
        <w:t>This includes c</w:t>
      </w:r>
      <w:r w:rsidR="00AE7A7B">
        <w:rPr>
          <w:rFonts w:ascii="Arial" w:eastAsia="Times New Roman" w:hAnsi="Arial" w:cs="Arial"/>
          <w:color w:val="333333"/>
          <w:sz w:val="21"/>
          <w:szCs w:val="21"/>
        </w:rPr>
        <w:t>are</w:t>
      </w:r>
      <w:r w:rsidR="008A6194">
        <w:rPr>
          <w:rFonts w:ascii="Arial" w:eastAsia="Times New Roman" w:hAnsi="Arial" w:cs="Arial"/>
          <w:color w:val="333333"/>
          <w:sz w:val="21"/>
          <w:szCs w:val="21"/>
        </w:rPr>
        <w:t xml:space="preserve"> that</w:t>
      </w:r>
      <w:r w:rsidR="00AE7A7B">
        <w:rPr>
          <w:rFonts w:ascii="Arial" w:eastAsia="Times New Roman" w:hAnsi="Arial" w:cs="Arial"/>
          <w:color w:val="333333"/>
          <w:sz w:val="21"/>
          <w:szCs w:val="21"/>
        </w:rPr>
        <w:t xml:space="preserve"> is consistent with accepted standar</w:t>
      </w:r>
      <w:r w:rsidR="00981C78">
        <w:rPr>
          <w:rFonts w:ascii="Arial" w:eastAsia="Times New Roman" w:hAnsi="Arial" w:cs="Arial"/>
          <w:color w:val="333333"/>
          <w:sz w:val="21"/>
          <w:szCs w:val="21"/>
        </w:rPr>
        <w:t>d</w:t>
      </w:r>
      <w:r w:rsidR="00AE7A7B">
        <w:rPr>
          <w:rFonts w:ascii="Arial" w:eastAsia="Times New Roman" w:hAnsi="Arial" w:cs="Arial"/>
          <w:color w:val="333333"/>
          <w:sz w:val="21"/>
          <w:szCs w:val="21"/>
        </w:rPr>
        <w:t xml:space="preserve">s of good medical practice and is not primarily for the convenience of the patient, the patient’s family, or the provider.  </w:t>
      </w:r>
      <w:r w:rsidRPr="008F14DE">
        <w:rPr>
          <w:rFonts w:ascii="Arial" w:eastAsia="Times New Roman" w:hAnsi="Arial" w:cs="Arial"/>
          <w:color w:val="333333"/>
          <w:sz w:val="21"/>
          <w:szCs w:val="21"/>
        </w:rPr>
        <w:t xml:space="preserve"> </w:t>
      </w:r>
    </w:p>
    <w:p w14:paraId="037471C4" w14:textId="3F7B23F7" w:rsidR="00AE7A7B" w:rsidRPr="008F14DE" w:rsidRDefault="00AE7A7B" w:rsidP="008F14DE">
      <w:pPr>
        <w:pStyle w:val="ListParagraph"/>
        <w:numPr>
          <w:ilvl w:val="0"/>
          <w:numId w:val="1"/>
        </w:numPr>
        <w:spacing w:line="276" w:lineRule="auto"/>
        <w:rPr>
          <w:rFonts w:ascii="Arial" w:eastAsia="Times New Roman" w:hAnsi="Arial" w:cs="Arial"/>
          <w:color w:val="333333"/>
          <w:sz w:val="21"/>
          <w:szCs w:val="21"/>
        </w:rPr>
      </w:pPr>
      <w:r>
        <w:rPr>
          <w:rFonts w:ascii="Arial" w:eastAsia="Times New Roman" w:hAnsi="Arial" w:cs="Arial"/>
          <w:color w:val="333333"/>
          <w:sz w:val="21"/>
          <w:szCs w:val="21"/>
          <w:u w:val="single"/>
        </w:rPr>
        <w:t>Medical Debt:</w:t>
      </w:r>
      <w:r>
        <w:rPr>
          <w:rFonts w:ascii="Arial" w:eastAsia="Times New Roman" w:hAnsi="Arial" w:cs="Arial"/>
          <w:color w:val="333333"/>
          <w:sz w:val="21"/>
          <w:szCs w:val="21"/>
        </w:rPr>
        <w:t xml:space="preserve"> means out-of-pocket expenses, including co-payments, coinsurance and deductibles</w:t>
      </w:r>
      <w:r w:rsidR="00CA7139">
        <w:rPr>
          <w:rFonts w:ascii="Arial" w:eastAsia="Times New Roman" w:hAnsi="Arial" w:cs="Arial"/>
          <w:color w:val="333333"/>
          <w:sz w:val="21"/>
          <w:szCs w:val="21"/>
        </w:rPr>
        <w:t>, for hospital services that are regulated by Maryland’s Health Services Cost Review Commission (HSCRC)</w:t>
      </w:r>
      <w:r>
        <w:rPr>
          <w:rFonts w:ascii="Arial" w:eastAsia="Times New Roman" w:hAnsi="Arial" w:cs="Arial"/>
          <w:color w:val="333333"/>
          <w:sz w:val="21"/>
          <w:szCs w:val="21"/>
        </w:rPr>
        <w:t xml:space="preserve">.  </w:t>
      </w:r>
      <w:r w:rsidR="008E64A2" w:rsidRPr="008E64A2">
        <w:rPr>
          <w:rFonts w:ascii="Arial" w:eastAsia="Times New Roman" w:hAnsi="Arial" w:cs="Arial"/>
          <w:color w:val="333333"/>
          <w:sz w:val="21"/>
          <w:szCs w:val="21"/>
        </w:rPr>
        <w:t xml:space="preserve">  </w:t>
      </w:r>
    </w:p>
    <w:p w14:paraId="1C73877B" w14:textId="285690BD" w:rsidR="00577255" w:rsidRPr="008F14DE" w:rsidRDefault="00577255" w:rsidP="008F14DE">
      <w:pPr>
        <w:spacing w:line="276" w:lineRule="auto"/>
        <w:ind w:left="360"/>
        <w:rPr>
          <w:rFonts w:ascii="Arial" w:eastAsia="Times New Roman" w:hAnsi="Arial" w:cs="Arial"/>
          <w:color w:val="333333"/>
          <w:sz w:val="21"/>
          <w:szCs w:val="21"/>
        </w:rPr>
      </w:pPr>
      <w:r w:rsidRPr="008F14DE">
        <w:rPr>
          <w:rFonts w:ascii="Arial" w:eastAsia="Times New Roman" w:hAnsi="Arial" w:cs="Arial"/>
          <w:color w:val="333333"/>
          <w:sz w:val="21"/>
          <w:szCs w:val="21"/>
          <w:u w:val="single"/>
        </w:rPr>
        <w:t>Financial Hardship</w:t>
      </w:r>
      <w:r w:rsidR="00D5679B" w:rsidRPr="008F14DE">
        <w:rPr>
          <w:rFonts w:ascii="Arial" w:eastAsia="Times New Roman" w:hAnsi="Arial" w:cs="Arial"/>
          <w:color w:val="333333"/>
          <w:sz w:val="21"/>
          <w:szCs w:val="21"/>
          <w:u w:val="single"/>
        </w:rPr>
        <w:t>:</w:t>
      </w:r>
      <w:r w:rsidR="00D5679B" w:rsidRPr="008F14DE">
        <w:rPr>
          <w:rFonts w:ascii="Arial" w:eastAsia="Times New Roman" w:hAnsi="Arial" w:cs="Arial"/>
          <w:color w:val="333333"/>
          <w:sz w:val="21"/>
          <w:szCs w:val="21"/>
        </w:rPr>
        <w:t xml:space="preserve"> </w:t>
      </w:r>
      <w:r w:rsidRPr="008F14DE">
        <w:rPr>
          <w:rFonts w:ascii="Arial" w:eastAsia="Times New Roman" w:hAnsi="Arial" w:cs="Arial"/>
          <w:color w:val="333333"/>
          <w:sz w:val="21"/>
          <w:szCs w:val="21"/>
        </w:rPr>
        <w:t xml:space="preserve"> means medical debt, incurred by a family over a </w:t>
      </w:r>
      <w:r w:rsidR="00034B73" w:rsidRPr="008F14DE">
        <w:rPr>
          <w:rFonts w:ascii="Arial" w:eastAsia="Times New Roman" w:hAnsi="Arial" w:cs="Arial"/>
          <w:color w:val="333333"/>
          <w:sz w:val="21"/>
          <w:szCs w:val="21"/>
        </w:rPr>
        <w:t>12-month</w:t>
      </w:r>
      <w:r w:rsidRPr="008F14DE">
        <w:rPr>
          <w:rFonts w:ascii="Arial" w:eastAsia="Times New Roman" w:hAnsi="Arial" w:cs="Arial"/>
          <w:color w:val="333333"/>
          <w:sz w:val="21"/>
          <w:szCs w:val="21"/>
        </w:rPr>
        <w:t xml:space="preserve"> period that exceeds 25% of family </w:t>
      </w:r>
      <w:r w:rsidR="00034B73" w:rsidRPr="008F14DE">
        <w:rPr>
          <w:rFonts w:ascii="Arial" w:eastAsia="Times New Roman" w:hAnsi="Arial" w:cs="Arial"/>
          <w:color w:val="333333"/>
          <w:sz w:val="21"/>
          <w:szCs w:val="21"/>
        </w:rPr>
        <w:t>income.</w:t>
      </w:r>
    </w:p>
    <w:p w14:paraId="619974A3" w14:textId="0CE10A2F" w:rsidR="00FE456A" w:rsidRPr="004976E0" w:rsidRDefault="00EF6FE8" w:rsidP="008F14DE">
      <w:pPr>
        <w:spacing w:before="150" w:after="150" w:line="276" w:lineRule="auto"/>
        <w:outlineLvl w:val="2"/>
        <w:rPr>
          <w:rFonts w:ascii="inherit" w:eastAsia="Times New Roman" w:hAnsi="inherit" w:cs="Arial"/>
          <w:b/>
          <w:bCs/>
          <w:color w:val="333333"/>
          <w:sz w:val="45"/>
          <w:szCs w:val="45"/>
        </w:rPr>
      </w:pPr>
      <w:r w:rsidRPr="00EF6FE8">
        <w:rPr>
          <w:rFonts w:ascii="inherit" w:eastAsia="Times New Roman" w:hAnsi="inherit" w:cs="Arial"/>
          <w:b/>
          <w:bCs/>
          <w:color w:val="333333"/>
          <w:sz w:val="45"/>
          <w:szCs w:val="45"/>
        </w:rPr>
        <w:t>PROCEDURES FOR STANDARD WORK</w:t>
      </w:r>
    </w:p>
    <w:p w14:paraId="40F46782" w14:textId="6A372538" w:rsidR="00D943B6" w:rsidRPr="00034B73" w:rsidRDefault="00034B73" w:rsidP="008F14DE">
      <w:pPr>
        <w:pStyle w:val="ListParagraph"/>
        <w:numPr>
          <w:ilvl w:val="0"/>
          <w:numId w:val="5"/>
        </w:numPr>
        <w:spacing w:before="120" w:after="100" w:afterAutospacing="1" w:line="276" w:lineRule="auto"/>
        <w:rPr>
          <w:rFonts w:ascii="Arial" w:eastAsia="Times New Roman" w:hAnsi="Arial" w:cs="Arial"/>
          <w:color w:val="333333"/>
          <w:sz w:val="21"/>
          <w:szCs w:val="21"/>
        </w:rPr>
      </w:pPr>
      <w:r>
        <w:rPr>
          <w:rFonts w:ascii="Arial" w:eastAsia="Times New Roman" w:hAnsi="Arial" w:cs="Arial"/>
          <w:color w:val="333333"/>
          <w:sz w:val="21"/>
          <w:szCs w:val="21"/>
        </w:rPr>
        <w:t>Determination of Eligibility</w:t>
      </w:r>
    </w:p>
    <w:p w14:paraId="7B33CDB3" w14:textId="5228F263" w:rsidR="00EF6FE8" w:rsidRPr="00EF6FE8" w:rsidRDefault="00983E43" w:rsidP="008F14DE">
      <w:pPr>
        <w:numPr>
          <w:ilvl w:val="1"/>
          <w:numId w:val="4"/>
        </w:numPr>
        <w:spacing w:before="150" w:after="150" w:line="276" w:lineRule="auto"/>
        <w:ind w:left="1140"/>
        <w:rPr>
          <w:rFonts w:ascii="Arial" w:eastAsia="Times New Roman" w:hAnsi="Arial" w:cs="Arial"/>
          <w:color w:val="333333"/>
          <w:sz w:val="21"/>
          <w:szCs w:val="21"/>
        </w:rPr>
      </w:pPr>
      <w:r w:rsidRPr="00983E43">
        <w:rPr>
          <w:rFonts w:ascii="Arial" w:eastAsia="Times New Roman" w:hAnsi="Arial" w:cs="Arial"/>
          <w:color w:val="333333"/>
          <w:sz w:val="21"/>
          <w:szCs w:val="21"/>
          <w:u w:val="single"/>
        </w:rPr>
        <w:t>Application Requirements for</w:t>
      </w:r>
      <w:r w:rsidR="00A25D3D">
        <w:rPr>
          <w:rFonts w:ascii="Arial" w:eastAsia="Times New Roman" w:hAnsi="Arial" w:cs="Arial"/>
          <w:color w:val="333333"/>
          <w:sz w:val="21"/>
          <w:szCs w:val="21"/>
          <w:u w:val="single"/>
        </w:rPr>
        <w:t xml:space="preserve"> </w:t>
      </w:r>
      <w:r w:rsidRPr="00983E43">
        <w:rPr>
          <w:rFonts w:ascii="Arial" w:eastAsia="Times New Roman" w:hAnsi="Arial" w:cs="Arial"/>
          <w:color w:val="333333"/>
          <w:sz w:val="21"/>
          <w:szCs w:val="21"/>
          <w:u w:val="single"/>
        </w:rPr>
        <w:t>Determination of Eligibility</w:t>
      </w:r>
      <w:r>
        <w:rPr>
          <w:rFonts w:ascii="Arial" w:eastAsia="Times New Roman" w:hAnsi="Arial" w:cs="Arial"/>
          <w:color w:val="333333"/>
          <w:sz w:val="21"/>
          <w:szCs w:val="21"/>
        </w:rPr>
        <w:t>.</w:t>
      </w:r>
      <w:r w:rsidR="00EF6FE8" w:rsidRPr="00EF6FE8">
        <w:rPr>
          <w:rFonts w:ascii="Arial" w:eastAsia="Times New Roman" w:hAnsi="Arial" w:cs="Arial"/>
          <w:color w:val="333333"/>
          <w:sz w:val="21"/>
          <w:szCs w:val="21"/>
        </w:rPr>
        <w:t xml:space="preserve"> </w:t>
      </w:r>
    </w:p>
    <w:p w14:paraId="02221C57" w14:textId="33756323" w:rsidR="006515D6" w:rsidRPr="00EF6FE8" w:rsidRDefault="006515D6" w:rsidP="008F14DE">
      <w:pPr>
        <w:numPr>
          <w:ilvl w:val="2"/>
          <w:numId w:val="4"/>
        </w:numPr>
        <w:spacing w:before="150" w:after="150" w:line="276" w:lineRule="auto"/>
        <w:ind w:left="1590"/>
        <w:rPr>
          <w:rFonts w:ascii="Arial" w:eastAsia="Times New Roman" w:hAnsi="Arial" w:cs="Arial"/>
          <w:color w:val="333333"/>
          <w:sz w:val="21"/>
          <w:szCs w:val="21"/>
        </w:rPr>
      </w:pPr>
      <w:r>
        <w:rPr>
          <w:rFonts w:ascii="Arial" w:eastAsia="Times New Roman" w:hAnsi="Arial" w:cs="Arial"/>
          <w:color w:val="333333"/>
          <w:sz w:val="21"/>
          <w:szCs w:val="21"/>
        </w:rPr>
        <w:t>Patients or patient representatives seeking full or partial financial assistance must</w:t>
      </w:r>
      <w:r w:rsidRPr="00EF6FE8">
        <w:rPr>
          <w:rFonts w:ascii="Arial" w:eastAsia="Times New Roman" w:hAnsi="Arial" w:cs="Arial"/>
          <w:color w:val="333333"/>
          <w:sz w:val="21"/>
          <w:szCs w:val="21"/>
        </w:rPr>
        <w:t xml:space="preserve"> submit a </w:t>
      </w:r>
      <w:hyperlink r:id="rId8" w:history="1">
        <w:r w:rsidRPr="00983E43">
          <w:rPr>
            <w:rFonts w:ascii="Arial" w:eastAsia="Times New Roman" w:hAnsi="Arial" w:cs="Arial"/>
            <w:color w:val="333333"/>
            <w:sz w:val="21"/>
            <w:szCs w:val="21"/>
          </w:rPr>
          <w:t>Maryland Uniform Financial Assistance Application</w:t>
        </w:r>
      </w:hyperlink>
      <w:r w:rsidRPr="00EF6FE8">
        <w:rPr>
          <w:rFonts w:ascii="Arial" w:eastAsia="Times New Roman" w:hAnsi="Arial" w:cs="Arial"/>
          <w:color w:val="333333"/>
          <w:sz w:val="21"/>
          <w:szCs w:val="21"/>
        </w:rPr>
        <w:t xml:space="preserve"> and </w:t>
      </w:r>
      <w:r>
        <w:rPr>
          <w:rFonts w:ascii="Arial" w:eastAsia="Times New Roman" w:hAnsi="Arial" w:cs="Arial"/>
          <w:color w:val="333333"/>
          <w:sz w:val="21"/>
          <w:szCs w:val="21"/>
        </w:rPr>
        <w:t>all</w:t>
      </w:r>
      <w:r w:rsidRPr="00EF6FE8">
        <w:rPr>
          <w:rFonts w:ascii="Arial" w:eastAsia="Times New Roman" w:hAnsi="Arial" w:cs="Arial"/>
          <w:color w:val="333333"/>
          <w:sz w:val="21"/>
          <w:szCs w:val="21"/>
        </w:rPr>
        <w:t xml:space="preserve"> of the applicable documentation listed on the financial assistance application letter or otherwise requested by GBMC that applies to the patient and other adult members of the household</w:t>
      </w:r>
      <w:r>
        <w:rPr>
          <w:rFonts w:ascii="Arial" w:eastAsia="Times New Roman" w:hAnsi="Arial" w:cs="Arial"/>
          <w:color w:val="333333"/>
          <w:sz w:val="21"/>
          <w:szCs w:val="21"/>
        </w:rPr>
        <w:t>.</w:t>
      </w:r>
      <w:r w:rsidR="00011B7E">
        <w:rPr>
          <w:rFonts w:ascii="Arial" w:eastAsia="Times New Roman" w:hAnsi="Arial" w:cs="Arial"/>
          <w:color w:val="333333"/>
          <w:sz w:val="21"/>
          <w:szCs w:val="21"/>
        </w:rPr>
        <w:t xml:space="preserve">  The application letter is included as </w:t>
      </w:r>
      <w:r w:rsidR="00011B7E" w:rsidRPr="00011B7E">
        <w:rPr>
          <w:rFonts w:ascii="Arial" w:eastAsia="Times New Roman" w:hAnsi="Arial" w:cs="Arial"/>
          <w:b/>
          <w:bCs/>
          <w:color w:val="333333"/>
          <w:sz w:val="21"/>
          <w:szCs w:val="21"/>
        </w:rPr>
        <w:t>Exhibit B</w:t>
      </w:r>
      <w:r w:rsidR="00011B7E">
        <w:rPr>
          <w:rFonts w:ascii="Arial" w:eastAsia="Times New Roman" w:hAnsi="Arial" w:cs="Arial"/>
          <w:color w:val="333333"/>
          <w:sz w:val="21"/>
          <w:szCs w:val="21"/>
        </w:rPr>
        <w:t xml:space="preserve"> and the Maryland Uniform Financial Assistance Application is included as </w:t>
      </w:r>
      <w:r w:rsidR="00011B7E" w:rsidRPr="00011B7E">
        <w:rPr>
          <w:rFonts w:ascii="Arial" w:eastAsia="Times New Roman" w:hAnsi="Arial" w:cs="Arial"/>
          <w:b/>
          <w:bCs/>
          <w:color w:val="333333"/>
          <w:sz w:val="21"/>
          <w:szCs w:val="21"/>
        </w:rPr>
        <w:t>Exhibit C</w:t>
      </w:r>
      <w:r w:rsidR="00011B7E" w:rsidRPr="00011B7E">
        <w:rPr>
          <w:rFonts w:ascii="Arial" w:eastAsia="Times New Roman" w:hAnsi="Arial" w:cs="Arial"/>
          <w:color w:val="333333"/>
          <w:sz w:val="21"/>
          <w:szCs w:val="21"/>
        </w:rPr>
        <w:t>.</w:t>
      </w:r>
    </w:p>
    <w:p w14:paraId="0D674650" w14:textId="77777777" w:rsidR="00EF6FE8" w:rsidRP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00EF6FE8">
        <w:rPr>
          <w:rFonts w:ascii="Arial" w:eastAsia="Times New Roman" w:hAnsi="Arial" w:cs="Arial"/>
          <w:color w:val="333333"/>
          <w:sz w:val="21"/>
          <w:szCs w:val="21"/>
        </w:rPr>
        <w:lastRenderedPageBreak/>
        <w:t>Self-pay patients who are scheduled for non-emergency surgery must complete a financial assistance application prior to the scheduled procedure or be required to pay a deposit prior to the surgery.</w:t>
      </w:r>
    </w:p>
    <w:p w14:paraId="4E012F52" w14:textId="77777777" w:rsidR="00EF6FE8" w:rsidRP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00EF6FE8">
        <w:rPr>
          <w:rFonts w:ascii="Arial" w:eastAsia="Times New Roman" w:hAnsi="Arial" w:cs="Arial"/>
          <w:color w:val="333333"/>
          <w:sz w:val="21"/>
          <w:szCs w:val="21"/>
        </w:rPr>
        <w:t>Patients meeting eligibility criteria for medical assistance (Medicaid) must apply and be determined ineligible prior to GBMC’s final financial assistance determination.</w:t>
      </w:r>
    </w:p>
    <w:p w14:paraId="7FF3B0CF" w14:textId="061FA44A" w:rsidR="00EF6FE8" w:rsidRPr="00C41A1D" w:rsidRDefault="00C76CF4" w:rsidP="008F14DE">
      <w:pPr>
        <w:numPr>
          <w:ilvl w:val="1"/>
          <w:numId w:val="4"/>
        </w:numPr>
        <w:spacing w:before="150" w:after="150" w:line="276" w:lineRule="auto"/>
        <w:ind w:left="1140"/>
        <w:rPr>
          <w:rFonts w:ascii="Arial" w:eastAsia="Times New Roman" w:hAnsi="Arial" w:cs="Arial"/>
          <w:color w:val="333333"/>
          <w:sz w:val="21"/>
          <w:szCs w:val="21"/>
          <w:u w:val="single"/>
        </w:rPr>
      </w:pPr>
      <w:r>
        <w:rPr>
          <w:rFonts w:ascii="Arial" w:eastAsia="Times New Roman" w:hAnsi="Arial" w:cs="Arial"/>
          <w:color w:val="333333"/>
          <w:sz w:val="21"/>
          <w:szCs w:val="21"/>
          <w:u w:val="single"/>
        </w:rPr>
        <w:t>Procedures</w:t>
      </w:r>
      <w:r w:rsidR="00C41A1D">
        <w:rPr>
          <w:rFonts w:ascii="Arial" w:eastAsia="Times New Roman" w:hAnsi="Arial" w:cs="Arial"/>
          <w:color w:val="333333"/>
          <w:sz w:val="21"/>
          <w:szCs w:val="21"/>
          <w:u w:val="single"/>
        </w:rPr>
        <w:t xml:space="preserve"> for Determination of Eligibility</w:t>
      </w:r>
    </w:p>
    <w:p w14:paraId="42D3025D" w14:textId="01DD5EA4" w:rsidR="00EF6FE8" w:rsidRP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6D29C078">
        <w:rPr>
          <w:rFonts w:ascii="Arial" w:eastAsia="Times New Roman" w:hAnsi="Arial" w:cs="Arial"/>
          <w:color w:val="333333"/>
          <w:sz w:val="21"/>
          <w:szCs w:val="21"/>
        </w:rPr>
        <w:t xml:space="preserve">To qualify for </w:t>
      </w:r>
      <w:r w:rsidR="00C41A1D" w:rsidRPr="6D29C078">
        <w:rPr>
          <w:rFonts w:ascii="Arial" w:eastAsia="Times New Roman" w:hAnsi="Arial" w:cs="Arial"/>
          <w:color w:val="333333"/>
          <w:sz w:val="21"/>
          <w:szCs w:val="21"/>
        </w:rPr>
        <w:t xml:space="preserve">full or partial </w:t>
      </w:r>
      <w:r w:rsidRPr="6D29C078">
        <w:rPr>
          <w:rFonts w:ascii="Arial" w:eastAsia="Times New Roman" w:hAnsi="Arial" w:cs="Arial"/>
          <w:color w:val="333333"/>
          <w:sz w:val="21"/>
          <w:szCs w:val="21"/>
        </w:rPr>
        <w:t>financial assistance, a patient must supply all requested documentatio</w:t>
      </w:r>
      <w:r w:rsidR="00D5679B">
        <w:rPr>
          <w:rFonts w:ascii="Arial" w:eastAsia="Times New Roman" w:hAnsi="Arial" w:cs="Arial"/>
          <w:color w:val="333333"/>
          <w:sz w:val="21"/>
          <w:szCs w:val="21"/>
        </w:rPr>
        <w:t>n</w:t>
      </w:r>
      <w:r w:rsidRPr="6D29C078">
        <w:rPr>
          <w:rFonts w:ascii="Arial" w:eastAsia="Times New Roman" w:hAnsi="Arial" w:cs="Arial"/>
          <w:color w:val="333333"/>
          <w:sz w:val="21"/>
          <w:szCs w:val="21"/>
        </w:rPr>
        <w:t>. Failure to supply requested information or documentation within 240 days (approximately 8 months) after receipt of the initial bill</w:t>
      </w:r>
      <w:r w:rsidR="0057727C">
        <w:rPr>
          <w:rFonts w:ascii="Arial" w:eastAsia="Times New Roman" w:hAnsi="Arial" w:cs="Arial"/>
          <w:color w:val="333333"/>
          <w:sz w:val="21"/>
          <w:szCs w:val="21"/>
        </w:rPr>
        <w:t xml:space="preserve"> may be found ineligible for financial assistance</w:t>
      </w:r>
      <w:r w:rsidRPr="6D29C078">
        <w:rPr>
          <w:rFonts w:ascii="Arial" w:eastAsia="Times New Roman" w:hAnsi="Arial" w:cs="Arial"/>
          <w:color w:val="333333"/>
          <w:sz w:val="21"/>
          <w:szCs w:val="21"/>
        </w:rPr>
        <w:t>.</w:t>
      </w:r>
      <w:r w:rsidR="004D3A73" w:rsidRPr="6D29C078">
        <w:rPr>
          <w:rFonts w:ascii="Arial" w:eastAsia="Times New Roman" w:hAnsi="Arial" w:cs="Arial"/>
          <w:color w:val="333333"/>
          <w:sz w:val="21"/>
          <w:szCs w:val="21"/>
        </w:rPr>
        <w:t xml:space="preserve"> </w:t>
      </w:r>
    </w:p>
    <w:p w14:paraId="340E8BB8" w14:textId="77777777" w:rsidR="00EF6FE8" w:rsidRP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00EF6FE8">
        <w:rPr>
          <w:rFonts w:ascii="Arial" w:eastAsia="Times New Roman" w:hAnsi="Arial" w:cs="Arial"/>
          <w:color w:val="333333"/>
          <w:sz w:val="21"/>
          <w:szCs w:val="21"/>
        </w:rPr>
        <w:t>Each patient must agree to a credit bureau report as a condition of consideration for financial assistance.</w:t>
      </w:r>
    </w:p>
    <w:p w14:paraId="2D12D4D5" w14:textId="60050C2D" w:rsidR="00EF6FE8" w:rsidRPr="00EF6FE8" w:rsidRDefault="00C76CF4" w:rsidP="008F14DE">
      <w:pPr>
        <w:numPr>
          <w:ilvl w:val="2"/>
          <w:numId w:val="4"/>
        </w:numPr>
        <w:spacing w:before="150" w:after="150" w:line="276" w:lineRule="auto"/>
        <w:ind w:left="1590"/>
        <w:rPr>
          <w:rFonts w:ascii="Arial" w:eastAsia="Times New Roman" w:hAnsi="Arial" w:cs="Arial"/>
          <w:color w:val="333333"/>
          <w:sz w:val="21"/>
          <w:szCs w:val="21"/>
        </w:rPr>
      </w:pPr>
      <w:r>
        <w:rPr>
          <w:rFonts w:ascii="Arial" w:eastAsia="Times New Roman" w:hAnsi="Arial" w:cs="Arial"/>
          <w:color w:val="333333"/>
          <w:sz w:val="21"/>
          <w:szCs w:val="21"/>
        </w:rPr>
        <w:t xml:space="preserve">GBMC will communicate final </w:t>
      </w:r>
      <w:r w:rsidR="00932F87">
        <w:rPr>
          <w:rFonts w:ascii="Arial" w:eastAsia="Times New Roman" w:hAnsi="Arial" w:cs="Arial"/>
          <w:color w:val="333333"/>
          <w:sz w:val="21"/>
          <w:szCs w:val="21"/>
        </w:rPr>
        <w:t xml:space="preserve">eligibility </w:t>
      </w:r>
      <w:r>
        <w:rPr>
          <w:rFonts w:ascii="Arial" w:eastAsia="Times New Roman" w:hAnsi="Arial" w:cs="Arial"/>
          <w:color w:val="333333"/>
          <w:sz w:val="21"/>
          <w:szCs w:val="21"/>
        </w:rPr>
        <w:t xml:space="preserve">determinations </w:t>
      </w:r>
      <w:r w:rsidR="00932F87">
        <w:rPr>
          <w:rFonts w:ascii="Arial" w:eastAsia="Times New Roman" w:hAnsi="Arial" w:cs="Arial"/>
          <w:color w:val="333333"/>
          <w:sz w:val="21"/>
          <w:szCs w:val="21"/>
        </w:rPr>
        <w:t>within 14 days of receipt of a complete application and all required documentation.</w:t>
      </w:r>
      <w:r>
        <w:rPr>
          <w:rFonts w:ascii="Arial" w:eastAsia="Times New Roman" w:hAnsi="Arial" w:cs="Arial"/>
          <w:color w:val="333333"/>
          <w:sz w:val="21"/>
          <w:szCs w:val="21"/>
        </w:rPr>
        <w:t xml:space="preserve"> </w:t>
      </w:r>
      <w:r w:rsidR="00932F87">
        <w:rPr>
          <w:rFonts w:ascii="Arial" w:eastAsia="Times New Roman" w:hAnsi="Arial" w:cs="Arial"/>
          <w:color w:val="333333"/>
          <w:sz w:val="21"/>
          <w:szCs w:val="21"/>
        </w:rPr>
        <w:t xml:space="preserve">Communication will be </w:t>
      </w:r>
      <w:r>
        <w:rPr>
          <w:rFonts w:ascii="Arial" w:eastAsia="Times New Roman" w:hAnsi="Arial" w:cs="Arial"/>
          <w:color w:val="333333"/>
          <w:sz w:val="21"/>
          <w:szCs w:val="21"/>
        </w:rPr>
        <w:t>directed to the address</w:t>
      </w:r>
      <w:r w:rsidR="00932F87">
        <w:rPr>
          <w:rFonts w:ascii="Arial" w:eastAsia="Times New Roman" w:hAnsi="Arial" w:cs="Arial"/>
          <w:color w:val="333333"/>
          <w:sz w:val="21"/>
          <w:szCs w:val="21"/>
        </w:rPr>
        <w:t>, as</w:t>
      </w:r>
      <w:r>
        <w:rPr>
          <w:rFonts w:ascii="Arial" w:eastAsia="Times New Roman" w:hAnsi="Arial" w:cs="Arial"/>
          <w:color w:val="333333"/>
          <w:sz w:val="21"/>
          <w:szCs w:val="21"/>
        </w:rPr>
        <w:t xml:space="preserve"> identified in the patient’s </w:t>
      </w:r>
      <w:hyperlink r:id="rId9" w:history="1">
        <w:r w:rsidRPr="00983E43">
          <w:rPr>
            <w:rFonts w:ascii="Arial" w:eastAsia="Times New Roman" w:hAnsi="Arial" w:cs="Arial"/>
            <w:color w:val="333333"/>
            <w:sz w:val="21"/>
            <w:szCs w:val="21"/>
          </w:rPr>
          <w:t>Maryland Uniform Financial Assistance Application</w:t>
        </w:r>
      </w:hyperlink>
      <w:r w:rsidR="00932F87">
        <w:rPr>
          <w:rFonts w:ascii="Arial" w:eastAsia="Times New Roman" w:hAnsi="Arial" w:cs="Arial"/>
          <w:color w:val="333333"/>
          <w:sz w:val="21"/>
          <w:szCs w:val="21"/>
        </w:rPr>
        <w:t>,</w:t>
      </w:r>
      <w:r w:rsidR="00D5679B">
        <w:rPr>
          <w:rFonts w:ascii="Arial" w:eastAsia="Times New Roman" w:hAnsi="Arial" w:cs="Arial"/>
          <w:color w:val="333333"/>
          <w:sz w:val="21"/>
          <w:szCs w:val="21"/>
        </w:rPr>
        <w:t xml:space="preserve"> or </w:t>
      </w:r>
      <w:r w:rsidR="00E87CB1">
        <w:rPr>
          <w:rFonts w:ascii="Arial" w:eastAsia="Times New Roman" w:hAnsi="Arial" w:cs="Arial"/>
          <w:color w:val="333333"/>
          <w:sz w:val="21"/>
          <w:szCs w:val="21"/>
        </w:rPr>
        <w:t>via</w:t>
      </w:r>
      <w:r w:rsidR="00D5679B">
        <w:rPr>
          <w:rFonts w:ascii="Arial" w:eastAsia="Times New Roman" w:hAnsi="Arial" w:cs="Arial"/>
          <w:color w:val="333333"/>
          <w:sz w:val="21"/>
          <w:szCs w:val="21"/>
        </w:rPr>
        <w:t xml:space="preserve"> MyChart</w:t>
      </w:r>
      <w:r w:rsidR="00E87CB1">
        <w:rPr>
          <w:rFonts w:ascii="Arial" w:eastAsia="Times New Roman" w:hAnsi="Arial" w:cs="Arial"/>
          <w:color w:val="333333"/>
          <w:sz w:val="21"/>
          <w:szCs w:val="21"/>
        </w:rPr>
        <w:t>.</w:t>
      </w:r>
    </w:p>
    <w:p w14:paraId="467BB1B1" w14:textId="08D6BADF" w:rsid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Patients have the right to request an appeal of any denial by responding to the denial letter within fifteen (15) days of the date of the denial letter. Appeals will be reviewed by the Executive Director of Revenue Cycle Management, who will review the documentation submitted and make a determination based on this policy’s criteria. The Executive Director of Revenue Cycle Management's decision is final, and patients who appeal an initial determination will receive a final appeal determination letter </w:t>
      </w:r>
      <w:r w:rsidR="00C76CF4">
        <w:rPr>
          <w:rFonts w:ascii="Arial" w:eastAsia="Times New Roman" w:hAnsi="Arial" w:cs="Arial"/>
          <w:color w:val="333333"/>
          <w:sz w:val="21"/>
          <w:szCs w:val="21"/>
        </w:rPr>
        <w:t xml:space="preserve">at least </w:t>
      </w:r>
      <w:r w:rsidRPr="00EF6FE8">
        <w:rPr>
          <w:rFonts w:ascii="Arial" w:eastAsia="Times New Roman" w:hAnsi="Arial" w:cs="Arial"/>
          <w:color w:val="333333"/>
          <w:sz w:val="21"/>
          <w:szCs w:val="21"/>
        </w:rPr>
        <w:t>thirty days prior to any additional collection efforts.</w:t>
      </w:r>
    </w:p>
    <w:p w14:paraId="30CBAEC4" w14:textId="315E4DBC" w:rsidR="00E94F8E" w:rsidRDefault="00ED2A06" w:rsidP="008F14DE">
      <w:pPr>
        <w:numPr>
          <w:ilvl w:val="2"/>
          <w:numId w:val="4"/>
        </w:numPr>
        <w:spacing w:before="150" w:after="150" w:line="276" w:lineRule="auto"/>
        <w:ind w:left="1590"/>
        <w:rPr>
          <w:rFonts w:ascii="Arial" w:eastAsia="Times New Roman" w:hAnsi="Arial" w:cs="Arial"/>
          <w:color w:val="333333"/>
          <w:sz w:val="21"/>
          <w:szCs w:val="21"/>
        </w:rPr>
      </w:pPr>
      <w:r>
        <w:rPr>
          <w:rFonts w:ascii="Arial" w:eastAsia="Times New Roman" w:hAnsi="Arial" w:cs="Arial"/>
          <w:color w:val="333333"/>
          <w:sz w:val="21"/>
          <w:szCs w:val="21"/>
        </w:rPr>
        <w:t>Upon denial, patients have the right to request assistance from the Maryland Health Education and Advocacy Unit (HEAU) in filing and mediation of a reconsideration request. Requests for assistance should be directed to:</w:t>
      </w:r>
    </w:p>
    <w:p w14:paraId="09D8F879" w14:textId="77777777" w:rsidR="008F14DE" w:rsidRDefault="008F14DE" w:rsidP="008F14DE">
      <w:pPr>
        <w:spacing w:before="150" w:after="150" w:line="276" w:lineRule="auto"/>
        <w:ind w:left="1590"/>
        <w:rPr>
          <w:rFonts w:ascii="Arial" w:eastAsia="Times New Roman" w:hAnsi="Arial" w:cs="Arial"/>
          <w:color w:val="333333"/>
          <w:sz w:val="21"/>
          <w:szCs w:val="21"/>
        </w:rPr>
      </w:pPr>
    </w:p>
    <w:p w14:paraId="43CF12F6" w14:textId="70E10F51" w:rsidR="00ED2A06" w:rsidRDefault="00ED2A06"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Health Education and Advocacy Unit</w:t>
      </w:r>
    </w:p>
    <w:p w14:paraId="05157C2F" w14:textId="0A575BD7" w:rsidR="00ED2A06" w:rsidRDefault="00ED2A06"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200 St. Paul Place</w:t>
      </w:r>
    </w:p>
    <w:p w14:paraId="546B00CD" w14:textId="7C32ED5E" w:rsidR="00ED2A06" w:rsidRDefault="00ED2A06"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Baltimore, MD 21202</w:t>
      </w:r>
    </w:p>
    <w:p w14:paraId="48C9332C" w14:textId="7E12B410" w:rsidR="00ED2A06" w:rsidRDefault="00ED2A06"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 xml:space="preserve">Email: </w:t>
      </w:r>
      <w:hyperlink r:id="rId10" w:history="1">
        <w:r w:rsidRPr="00761D23">
          <w:rPr>
            <w:rStyle w:val="Hyperlink"/>
            <w:rFonts w:ascii="Arial" w:eastAsia="Times New Roman" w:hAnsi="Arial" w:cs="Arial"/>
            <w:sz w:val="21"/>
            <w:szCs w:val="21"/>
          </w:rPr>
          <w:t>heau@aog.state.md.us</w:t>
        </w:r>
      </w:hyperlink>
    </w:p>
    <w:p w14:paraId="0C2CB708" w14:textId="3AC1A5BE" w:rsidR="00ED2A06" w:rsidRDefault="00ED2A06"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 xml:space="preserve">Phone: (410) 528-1840 or </w:t>
      </w:r>
      <w:r w:rsidR="000651C2">
        <w:rPr>
          <w:rFonts w:ascii="Arial" w:eastAsia="Times New Roman" w:hAnsi="Arial" w:cs="Arial"/>
          <w:color w:val="333333"/>
          <w:sz w:val="21"/>
          <w:szCs w:val="21"/>
        </w:rPr>
        <w:t>1 (877) 261-8807</w:t>
      </w:r>
    </w:p>
    <w:p w14:paraId="320039D3" w14:textId="01EFDB7F" w:rsidR="000651C2" w:rsidRDefault="000651C2" w:rsidP="008F14DE">
      <w:pPr>
        <w:spacing w:after="0" w:line="276" w:lineRule="auto"/>
        <w:ind w:left="2520"/>
        <w:rPr>
          <w:rFonts w:ascii="Arial" w:eastAsia="Times New Roman" w:hAnsi="Arial" w:cs="Arial"/>
          <w:color w:val="333333"/>
          <w:sz w:val="21"/>
          <w:szCs w:val="21"/>
        </w:rPr>
      </w:pPr>
      <w:r>
        <w:rPr>
          <w:rFonts w:ascii="Arial" w:eastAsia="Times New Roman" w:hAnsi="Arial" w:cs="Arial"/>
          <w:color w:val="333333"/>
          <w:sz w:val="21"/>
          <w:szCs w:val="21"/>
        </w:rPr>
        <w:t>FAX: (410) 576-6571</w:t>
      </w:r>
    </w:p>
    <w:p w14:paraId="69C4534D" w14:textId="01882418" w:rsidR="000651C2" w:rsidRPr="00121662" w:rsidRDefault="000651C2" w:rsidP="008F14DE">
      <w:pPr>
        <w:spacing w:after="0" w:line="276" w:lineRule="auto"/>
        <w:ind w:left="2520"/>
        <w:rPr>
          <w:rFonts w:ascii="Arial" w:eastAsia="Times New Roman" w:hAnsi="Arial" w:cs="Arial"/>
          <w:color w:val="333333"/>
          <w:sz w:val="20"/>
          <w:szCs w:val="21"/>
        </w:rPr>
      </w:pPr>
      <w:hyperlink r:id="rId11" w:history="1">
        <w:r w:rsidRPr="00121662">
          <w:rPr>
            <w:rStyle w:val="Hyperlink"/>
            <w:rFonts w:ascii="Arial" w:eastAsia="Times New Roman" w:hAnsi="Arial" w:cs="Arial"/>
            <w:sz w:val="20"/>
            <w:szCs w:val="21"/>
          </w:rPr>
          <w:t>https://www.marylandattorneygeneral.gov/Pages/CPD/HEAU/default.aspx</w:t>
        </w:r>
      </w:hyperlink>
      <w:r w:rsidRPr="00121662">
        <w:rPr>
          <w:rFonts w:ascii="Arial" w:eastAsia="Times New Roman" w:hAnsi="Arial" w:cs="Arial"/>
          <w:color w:val="333333"/>
          <w:sz w:val="20"/>
          <w:szCs w:val="21"/>
        </w:rPr>
        <w:t xml:space="preserve"> </w:t>
      </w:r>
    </w:p>
    <w:p w14:paraId="125CA3A1" w14:textId="6918CF81" w:rsidR="00EF6FE8" w:rsidRDefault="00EF6FE8" w:rsidP="008F14DE">
      <w:pPr>
        <w:numPr>
          <w:ilvl w:val="2"/>
          <w:numId w:val="4"/>
        </w:numPr>
        <w:spacing w:before="150" w:after="150" w:line="276" w:lineRule="auto"/>
        <w:ind w:left="1590"/>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Financial assistance awards apply to all open accounts at the time of the financial assistance award and are valid for </w:t>
      </w:r>
      <w:r w:rsidR="007C14C4">
        <w:rPr>
          <w:rFonts w:ascii="Arial" w:eastAsia="Times New Roman" w:hAnsi="Arial" w:cs="Arial"/>
          <w:color w:val="333333"/>
          <w:sz w:val="21"/>
          <w:szCs w:val="21"/>
        </w:rPr>
        <w:t xml:space="preserve">twelve </w:t>
      </w:r>
      <w:r w:rsidRPr="00EF6FE8">
        <w:rPr>
          <w:rFonts w:ascii="Arial" w:eastAsia="Times New Roman" w:hAnsi="Arial" w:cs="Arial"/>
          <w:color w:val="333333"/>
          <w:sz w:val="21"/>
          <w:szCs w:val="21"/>
        </w:rPr>
        <w:t>months from the date of the financial assistance award.</w:t>
      </w:r>
    </w:p>
    <w:p w14:paraId="7EC7582A" w14:textId="26C5F642" w:rsidR="007C14C4" w:rsidRDefault="007C14C4" w:rsidP="008F14DE">
      <w:pPr>
        <w:numPr>
          <w:ilvl w:val="2"/>
          <w:numId w:val="4"/>
        </w:numPr>
        <w:spacing w:before="150" w:after="150" w:line="276" w:lineRule="auto"/>
        <w:ind w:left="1590"/>
        <w:rPr>
          <w:rFonts w:ascii="Arial" w:eastAsia="Times New Roman" w:hAnsi="Arial" w:cs="Arial"/>
          <w:color w:val="333333"/>
          <w:sz w:val="21"/>
          <w:szCs w:val="21"/>
        </w:rPr>
      </w:pPr>
      <w:r>
        <w:rPr>
          <w:rFonts w:ascii="Arial" w:eastAsia="Times New Roman" w:hAnsi="Arial" w:cs="Arial"/>
          <w:color w:val="333333"/>
          <w:sz w:val="21"/>
          <w:szCs w:val="21"/>
        </w:rPr>
        <w:t>If a patient or guarantor</w:t>
      </w:r>
      <w:r w:rsidR="00FF0593">
        <w:rPr>
          <w:rFonts w:ascii="Arial" w:eastAsia="Times New Roman" w:hAnsi="Arial" w:cs="Arial"/>
          <w:color w:val="333333"/>
          <w:sz w:val="21"/>
          <w:szCs w:val="21"/>
        </w:rPr>
        <w:t>, that qualifies for full financial assistance,</w:t>
      </w:r>
      <w:r>
        <w:rPr>
          <w:rFonts w:ascii="Arial" w:eastAsia="Times New Roman" w:hAnsi="Arial" w:cs="Arial"/>
          <w:color w:val="333333"/>
          <w:sz w:val="21"/>
          <w:szCs w:val="21"/>
        </w:rPr>
        <w:t xml:space="preserve"> has paid in excess of $25.00 for an account found to be eligible for free care, a refund will be provided within 30 days of the determination.  </w:t>
      </w:r>
    </w:p>
    <w:p w14:paraId="1385068A" w14:textId="7A36E56E" w:rsidR="00FB155B" w:rsidRPr="007C14C4" w:rsidRDefault="00FB155B" w:rsidP="008F14DE">
      <w:pPr>
        <w:numPr>
          <w:ilvl w:val="2"/>
          <w:numId w:val="4"/>
        </w:numPr>
        <w:spacing w:before="150" w:after="150" w:line="276" w:lineRule="auto"/>
        <w:ind w:left="1590"/>
        <w:rPr>
          <w:rFonts w:ascii="Arial" w:eastAsia="Times New Roman" w:hAnsi="Arial" w:cs="Arial"/>
          <w:color w:val="333333"/>
          <w:sz w:val="21"/>
          <w:szCs w:val="21"/>
        </w:rPr>
      </w:pPr>
      <w:r>
        <w:rPr>
          <w:rFonts w:ascii="Arial" w:eastAsia="Times New Roman" w:hAnsi="Arial" w:cs="Arial"/>
          <w:color w:val="333333"/>
          <w:sz w:val="21"/>
          <w:szCs w:val="21"/>
        </w:rPr>
        <w:lastRenderedPageBreak/>
        <w:t>For Maryland patients who do not qualify for, or who do not wish to apply for, financial assistance</w:t>
      </w:r>
      <w:r w:rsidR="003252C6">
        <w:rPr>
          <w:rFonts w:ascii="Arial" w:eastAsia="Times New Roman" w:hAnsi="Arial" w:cs="Arial"/>
          <w:color w:val="333333"/>
          <w:sz w:val="21"/>
          <w:szCs w:val="21"/>
        </w:rPr>
        <w:t xml:space="preserve">, income-based payment plans are available. </w:t>
      </w:r>
      <w:r w:rsidR="00941377">
        <w:rPr>
          <w:rFonts w:ascii="Arial" w:eastAsia="Times New Roman" w:hAnsi="Arial" w:cs="Arial"/>
          <w:color w:val="333333"/>
          <w:sz w:val="21"/>
          <w:szCs w:val="21"/>
        </w:rPr>
        <w:t>Monthly payments under income-based payment plans shall not exceed 5% of the patient’s adjusted gross monthly household income.</w:t>
      </w:r>
    </w:p>
    <w:p w14:paraId="345C4D3A" w14:textId="77777777" w:rsidR="00EF6FE8" w:rsidRPr="00EF6FE8" w:rsidRDefault="00EF6FE8" w:rsidP="008F14DE">
      <w:pPr>
        <w:keepNext/>
        <w:numPr>
          <w:ilvl w:val="0"/>
          <w:numId w:val="4"/>
        </w:numPr>
        <w:spacing w:before="150" w:after="150" w:line="276" w:lineRule="auto"/>
        <w:ind w:left="690"/>
        <w:rPr>
          <w:rFonts w:ascii="Arial" w:eastAsia="Times New Roman" w:hAnsi="Arial" w:cs="Arial"/>
          <w:color w:val="333333"/>
          <w:sz w:val="21"/>
          <w:szCs w:val="21"/>
        </w:rPr>
      </w:pPr>
      <w:r w:rsidRPr="00EF6FE8">
        <w:rPr>
          <w:rFonts w:ascii="Arial" w:eastAsia="Times New Roman" w:hAnsi="Arial" w:cs="Arial"/>
          <w:b/>
          <w:bCs/>
          <w:color w:val="333333"/>
          <w:sz w:val="21"/>
          <w:szCs w:val="21"/>
          <w:u w:val="single"/>
        </w:rPr>
        <w:t>FINANCIAL ASSISTANCE ELIGIBILITY CRITERIA</w:t>
      </w:r>
    </w:p>
    <w:p w14:paraId="540B7E37" w14:textId="77777777"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00EF6FE8">
        <w:rPr>
          <w:rFonts w:ascii="Arial" w:eastAsia="Times New Roman" w:hAnsi="Arial" w:cs="Arial"/>
          <w:color w:val="333333"/>
          <w:sz w:val="21"/>
          <w:szCs w:val="21"/>
        </w:rPr>
        <w:t>For each patient, the percentage of the current Federal Poverty Level (“FPL”) will be calculated, based on modified adjust gross income, as defined in the Federal Poverty Guidelines, and family size.</w:t>
      </w:r>
    </w:p>
    <w:p w14:paraId="57F5DD25" w14:textId="43945547"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6D29C078">
        <w:rPr>
          <w:rFonts w:ascii="Arial" w:eastAsia="Times New Roman" w:hAnsi="Arial" w:cs="Arial"/>
          <w:color w:val="333333"/>
          <w:sz w:val="21"/>
          <w:szCs w:val="21"/>
        </w:rPr>
        <w:t>For patients with family income at or below 300% of the FPL, GBMC will provide 100% financial assistance for Eligible Services.</w:t>
      </w:r>
    </w:p>
    <w:p w14:paraId="3B4156DE" w14:textId="6CED625C" w:rsidR="00CB6DBE" w:rsidRPr="00E87CB1"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6D29C078">
        <w:rPr>
          <w:rFonts w:ascii="Arial" w:eastAsia="Times New Roman" w:hAnsi="Arial" w:cs="Arial"/>
          <w:color w:val="333333"/>
          <w:sz w:val="21"/>
          <w:szCs w:val="21"/>
        </w:rPr>
        <w:t xml:space="preserve">For patients with family income </w:t>
      </w:r>
      <w:r w:rsidR="00A54E50">
        <w:rPr>
          <w:rFonts w:ascii="Arial" w:eastAsia="Times New Roman" w:hAnsi="Arial" w:cs="Arial"/>
          <w:color w:val="333333"/>
          <w:sz w:val="21"/>
          <w:szCs w:val="21"/>
        </w:rPr>
        <w:t>between</w:t>
      </w:r>
      <w:r w:rsidRPr="6D29C078">
        <w:rPr>
          <w:rFonts w:ascii="Arial" w:eastAsia="Times New Roman" w:hAnsi="Arial" w:cs="Arial"/>
          <w:color w:val="333333"/>
          <w:sz w:val="21"/>
          <w:szCs w:val="21"/>
        </w:rPr>
        <w:t xml:space="preserve"> 301%-500% of the FPL, GBMC will provide 50% financial assistance for Eligible Services</w:t>
      </w:r>
      <w:r w:rsidR="002061B9">
        <w:rPr>
          <w:rFonts w:ascii="Arial" w:eastAsia="Times New Roman" w:hAnsi="Arial" w:cs="Arial"/>
          <w:color w:val="333333"/>
          <w:sz w:val="21"/>
          <w:szCs w:val="21"/>
        </w:rPr>
        <w:t>.</w:t>
      </w:r>
      <w:r w:rsidR="000E3335">
        <w:rPr>
          <w:rFonts w:ascii="Arial" w:eastAsia="Times New Roman" w:hAnsi="Arial" w:cs="Arial"/>
          <w:color w:val="333333"/>
          <w:sz w:val="21"/>
          <w:szCs w:val="21"/>
        </w:rPr>
        <w:t xml:space="preserve"> </w:t>
      </w:r>
      <w:r w:rsidR="002127E6">
        <w:rPr>
          <w:rFonts w:ascii="Arial" w:eastAsia="Times New Roman" w:hAnsi="Arial" w:cs="Arial"/>
          <w:color w:val="333333"/>
          <w:sz w:val="21"/>
          <w:szCs w:val="21"/>
        </w:rPr>
        <w:t xml:space="preserve">A patient may be eligible for further reductions in patient liability if they are experiencing financial hardship, as defined above. </w:t>
      </w:r>
      <w:r w:rsidR="00963D32" w:rsidRPr="00E87CB1">
        <w:rPr>
          <w:rFonts w:ascii="Arial" w:eastAsia="Times New Roman" w:hAnsi="Arial" w:cs="Arial"/>
          <w:color w:val="333333"/>
          <w:sz w:val="21"/>
          <w:szCs w:val="21"/>
        </w:rPr>
        <w:t xml:space="preserve">             </w:t>
      </w:r>
    </w:p>
    <w:p w14:paraId="23D807BE" w14:textId="30AC13B7" w:rsid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6D29C078">
        <w:rPr>
          <w:rFonts w:ascii="Arial" w:eastAsia="Times New Roman" w:hAnsi="Arial" w:cs="Arial"/>
          <w:color w:val="333333"/>
          <w:sz w:val="21"/>
          <w:szCs w:val="21"/>
        </w:rPr>
        <w:t xml:space="preserve">For patients </w:t>
      </w:r>
      <w:r w:rsidR="002127E6">
        <w:rPr>
          <w:rFonts w:ascii="Arial" w:eastAsia="Times New Roman" w:hAnsi="Arial" w:cs="Arial"/>
          <w:color w:val="333333"/>
          <w:sz w:val="21"/>
          <w:szCs w:val="21"/>
        </w:rPr>
        <w:t xml:space="preserve">at or above </w:t>
      </w:r>
      <w:r w:rsidRPr="6D29C078">
        <w:rPr>
          <w:rFonts w:ascii="Arial" w:eastAsia="Times New Roman" w:hAnsi="Arial" w:cs="Arial"/>
          <w:color w:val="333333"/>
          <w:sz w:val="21"/>
          <w:szCs w:val="21"/>
        </w:rPr>
        <w:t>501% FPL, financial assistance will not be provided by GBMC, but a patient may request an income-based payment plan.</w:t>
      </w:r>
    </w:p>
    <w:p w14:paraId="38DC0600" w14:textId="3DD3CDBC" w:rsidR="00B6467F" w:rsidRDefault="00B6467F" w:rsidP="008F14DE">
      <w:pPr>
        <w:numPr>
          <w:ilvl w:val="1"/>
          <w:numId w:val="4"/>
        </w:numPr>
        <w:spacing w:before="150" w:after="150" w:line="276" w:lineRule="auto"/>
        <w:ind w:left="1140"/>
        <w:rPr>
          <w:rFonts w:ascii="Arial" w:eastAsia="Times New Roman" w:hAnsi="Arial" w:cs="Arial"/>
          <w:color w:val="333333"/>
          <w:sz w:val="21"/>
          <w:szCs w:val="21"/>
        </w:rPr>
      </w:pPr>
      <w:r>
        <w:rPr>
          <w:rFonts w:ascii="Arial" w:eastAsia="Times New Roman" w:hAnsi="Arial" w:cs="Arial"/>
          <w:color w:val="333333"/>
          <w:sz w:val="21"/>
          <w:szCs w:val="21"/>
        </w:rPr>
        <w:t>A patient may be found ineligible for financial assistance under this Section if the Patient is deemed to have sufficient assets to pay pursuant to an “Asset Test.” GBMC will look at a patient’s Liquid Assets</w:t>
      </w:r>
      <w:r w:rsidR="00A2681D">
        <w:rPr>
          <w:rFonts w:ascii="Arial" w:eastAsia="Times New Roman" w:hAnsi="Arial" w:cs="Arial"/>
          <w:color w:val="333333"/>
          <w:sz w:val="21"/>
          <w:szCs w:val="21"/>
        </w:rPr>
        <w:t xml:space="preserve">, as defined above, and if such assets, combined with family income, exceeds 500% of the FPL, a patient </w:t>
      </w:r>
      <w:r w:rsidR="00AA2F4B">
        <w:rPr>
          <w:rFonts w:ascii="Arial" w:eastAsia="Times New Roman" w:hAnsi="Arial" w:cs="Arial"/>
          <w:color w:val="333333"/>
          <w:sz w:val="21"/>
          <w:szCs w:val="21"/>
        </w:rPr>
        <w:t>will</w:t>
      </w:r>
      <w:r w:rsidR="00A2681D">
        <w:rPr>
          <w:rFonts w:ascii="Arial" w:eastAsia="Times New Roman" w:hAnsi="Arial" w:cs="Arial"/>
          <w:color w:val="333333"/>
          <w:sz w:val="21"/>
          <w:szCs w:val="21"/>
        </w:rPr>
        <w:t xml:space="preserve"> not be eligible for financial assistance.</w:t>
      </w:r>
    </w:p>
    <w:p w14:paraId="31ADCEE1" w14:textId="77777777" w:rsidR="00EF6FE8" w:rsidRPr="00C76CF4" w:rsidRDefault="00EF6FE8" w:rsidP="008F14DE">
      <w:pPr>
        <w:numPr>
          <w:ilvl w:val="0"/>
          <w:numId w:val="4"/>
        </w:numPr>
        <w:spacing w:before="150" w:after="150" w:line="276" w:lineRule="auto"/>
        <w:ind w:left="690"/>
        <w:rPr>
          <w:rFonts w:ascii="Arial" w:eastAsia="Times New Roman" w:hAnsi="Arial" w:cs="Arial"/>
          <w:color w:val="333333"/>
          <w:sz w:val="21"/>
          <w:szCs w:val="21"/>
        </w:rPr>
      </w:pPr>
      <w:r w:rsidRPr="00EF6FE8">
        <w:rPr>
          <w:rFonts w:ascii="Arial" w:eastAsia="Times New Roman" w:hAnsi="Arial" w:cs="Arial"/>
          <w:b/>
          <w:bCs/>
          <w:color w:val="333333"/>
          <w:sz w:val="21"/>
          <w:szCs w:val="21"/>
          <w:u w:val="single"/>
        </w:rPr>
        <w:t>EXCLUSION CRITERIA</w:t>
      </w:r>
    </w:p>
    <w:p w14:paraId="73E652D2" w14:textId="77777777" w:rsidR="00C76CF4" w:rsidRPr="00EF6FE8" w:rsidRDefault="00C76CF4" w:rsidP="008F14DE">
      <w:pPr>
        <w:spacing w:before="150" w:after="150" w:line="276" w:lineRule="auto"/>
        <w:ind w:left="330" w:firstLine="360"/>
        <w:rPr>
          <w:rFonts w:ascii="Arial" w:eastAsia="Times New Roman" w:hAnsi="Arial" w:cs="Arial"/>
          <w:color w:val="333333"/>
          <w:sz w:val="21"/>
          <w:szCs w:val="21"/>
        </w:rPr>
      </w:pPr>
      <w:r>
        <w:rPr>
          <w:rFonts w:ascii="Arial" w:eastAsia="Times New Roman" w:hAnsi="Arial" w:cs="Arial"/>
          <w:color w:val="333333"/>
          <w:sz w:val="21"/>
          <w:szCs w:val="21"/>
        </w:rPr>
        <w:t>The following patients are not eligible for financial assistance:</w:t>
      </w:r>
    </w:p>
    <w:p w14:paraId="66042E42" w14:textId="79F64C31"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00EF6FE8">
        <w:rPr>
          <w:rFonts w:ascii="Arial" w:eastAsia="Times New Roman" w:hAnsi="Arial" w:cs="Arial"/>
          <w:color w:val="333333"/>
          <w:sz w:val="21"/>
          <w:szCs w:val="21"/>
        </w:rPr>
        <w:t>Uninsured and under-insured patients who do not meet the financial assistance criteria</w:t>
      </w:r>
      <w:r w:rsidR="00316954">
        <w:rPr>
          <w:rFonts w:ascii="Arial" w:eastAsia="Times New Roman" w:hAnsi="Arial" w:cs="Arial"/>
          <w:color w:val="333333"/>
          <w:sz w:val="21"/>
          <w:szCs w:val="21"/>
        </w:rPr>
        <w:t xml:space="preserve"> or are not experiencing a financial hardship</w:t>
      </w:r>
      <w:r w:rsidRPr="00EF6FE8">
        <w:rPr>
          <w:rFonts w:ascii="Arial" w:eastAsia="Times New Roman" w:hAnsi="Arial" w:cs="Arial"/>
          <w:color w:val="333333"/>
          <w:sz w:val="21"/>
          <w:szCs w:val="21"/>
        </w:rPr>
        <w:t>.</w:t>
      </w:r>
    </w:p>
    <w:p w14:paraId="496F9070" w14:textId="5C74EDB1"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00EF6FE8">
        <w:rPr>
          <w:rFonts w:ascii="Arial" w:eastAsia="Times New Roman" w:hAnsi="Arial" w:cs="Arial"/>
          <w:color w:val="333333"/>
          <w:sz w:val="21"/>
          <w:szCs w:val="21"/>
        </w:rPr>
        <w:t xml:space="preserve">Patients who have insurance and </w:t>
      </w:r>
      <w:r w:rsidR="00E87CB1">
        <w:rPr>
          <w:rFonts w:ascii="Arial" w:eastAsia="Times New Roman" w:hAnsi="Arial" w:cs="Arial"/>
          <w:color w:val="333333"/>
          <w:sz w:val="21"/>
          <w:szCs w:val="21"/>
        </w:rPr>
        <w:t xml:space="preserve">elect </w:t>
      </w:r>
      <w:r w:rsidR="00E87CB1" w:rsidRPr="00EF6FE8">
        <w:rPr>
          <w:rFonts w:ascii="Arial" w:eastAsia="Times New Roman" w:hAnsi="Arial" w:cs="Arial"/>
          <w:color w:val="333333"/>
          <w:sz w:val="21"/>
          <w:szCs w:val="21"/>
        </w:rPr>
        <w:t>self</w:t>
      </w:r>
      <w:r w:rsidRPr="00EF6FE8">
        <w:rPr>
          <w:rFonts w:ascii="Arial" w:eastAsia="Times New Roman" w:hAnsi="Arial" w:cs="Arial"/>
          <w:color w:val="333333"/>
          <w:sz w:val="21"/>
          <w:szCs w:val="21"/>
        </w:rPr>
        <w:t>-pay for Eligible Services.</w:t>
      </w:r>
    </w:p>
    <w:p w14:paraId="5804F932" w14:textId="7134BC44" w:rsidR="00EF6FE8" w:rsidRPr="008E64A2"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008E64A2">
        <w:rPr>
          <w:rFonts w:ascii="Arial" w:eastAsia="Times New Roman" w:hAnsi="Arial" w:cs="Arial"/>
          <w:color w:val="333333"/>
          <w:sz w:val="21"/>
          <w:szCs w:val="21"/>
        </w:rPr>
        <w:t xml:space="preserve">Patients seeking assistance for </w:t>
      </w:r>
      <w:r w:rsidR="001E468D">
        <w:rPr>
          <w:rFonts w:ascii="Arial" w:eastAsia="Times New Roman" w:hAnsi="Arial" w:cs="Arial"/>
          <w:color w:val="333333"/>
          <w:sz w:val="21"/>
          <w:szCs w:val="21"/>
        </w:rPr>
        <w:t xml:space="preserve">charges incurred for </w:t>
      </w:r>
      <w:r w:rsidR="008E64A2" w:rsidRPr="008E64A2">
        <w:rPr>
          <w:rFonts w:ascii="Arial" w:eastAsia="Times New Roman" w:hAnsi="Arial" w:cs="Arial"/>
          <w:color w:val="333333"/>
          <w:sz w:val="21"/>
          <w:szCs w:val="21"/>
        </w:rPr>
        <w:t xml:space="preserve">services that are not </w:t>
      </w:r>
      <w:r w:rsidR="008E64A2">
        <w:rPr>
          <w:rFonts w:ascii="Arial" w:eastAsia="Times New Roman" w:hAnsi="Arial" w:cs="Arial"/>
          <w:color w:val="333333"/>
          <w:sz w:val="21"/>
          <w:szCs w:val="21"/>
        </w:rPr>
        <w:t>m</w:t>
      </w:r>
      <w:r w:rsidR="008E64A2" w:rsidRPr="008E64A2">
        <w:rPr>
          <w:rFonts w:ascii="Arial" w:eastAsia="Times New Roman" w:hAnsi="Arial" w:cs="Arial"/>
          <w:color w:val="333333"/>
          <w:sz w:val="21"/>
          <w:szCs w:val="21"/>
        </w:rPr>
        <w:t xml:space="preserve">edically </w:t>
      </w:r>
      <w:r w:rsidR="008E64A2">
        <w:rPr>
          <w:rFonts w:ascii="Arial" w:eastAsia="Times New Roman" w:hAnsi="Arial" w:cs="Arial"/>
          <w:color w:val="333333"/>
          <w:sz w:val="21"/>
          <w:szCs w:val="21"/>
        </w:rPr>
        <w:t>n</w:t>
      </w:r>
      <w:r w:rsidR="008E64A2" w:rsidRPr="008E64A2">
        <w:rPr>
          <w:rFonts w:ascii="Arial" w:eastAsia="Times New Roman" w:hAnsi="Arial" w:cs="Arial"/>
          <w:color w:val="333333"/>
          <w:sz w:val="21"/>
          <w:szCs w:val="21"/>
        </w:rPr>
        <w:t>ecessary.</w:t>
      </w:r>
    </w:p>
    <w:p w14:paraId="04F87425" w14:textId="30B114C0"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6D29C078">
        <w:rPr>
          <w:rFonts w:ascii="Arial" w:eastAsia="Times New Roman" w:hAnsi="Arial" w:cs="Arial"/>
          <w:color w:val="333333"/>
          <w:sz w:val="21"/>
          <w:szCs w:val="21"/>
        </w:rPr>
        <w:t>Patients who are non-compliant with enrollment for publicly funded healthcare programs, charity care programs and other forms of financial assistance.</w:t>
      </w:r>
    </w:p>
    <w:p w14:paraId="4A8C5248" w14:textId="6618C151" w:rsidR="00EF6FE8" w:rsidRPr="00EF6FE8" w:rsidRDefault="00EF6FE8" w:rsidP="008F14DE">
      <w:pPr>
        <w:numPr>
          <w:ilvl w:val="1"/>
          <w:numId w:val="4"/>
        </w:numPr>
        <w:spacing w:before="150" w:after="150" w:line="276" w:lineRule="auto"/>
        <w:ind w:left="1140"/>
        <w:rPr>
          <w:rFonts w:ascii="Arial" w:eastAsia="Times New Roman" w:hAnsi="Arial" w:cs="Arial"/>
          <w:color w:val="333333"/>
          <w:sz w:val="21"/>
          <w:szCs w:val="21"/>
        </w:rPr>
      </w:pPr>
      <w:r w:rsidRPr="6D29C078">
        <w:rPr>
          <w:rFonts w:ascii="Arial" w:eastAsia="Times New Roman" w:hAnsi="Arial" w:cs="Arial"/>
          <w:color w:val="333333"/>
          <w:sz w:val="21"/>
          <w:szCs w:val="21"/>
        </w:rPr>
        <w:t>Patients who fail to provide</w:t>
      </w:r>
      <w:r w:rsidR="00963D32">
        <w:rPr>
          <w:rFonts w:ascii="Arial" w:eastAsia="Times New Roman" w:hAnsi="Arial" w:cs="Arial"/>
          <w:color w:val="333333"/>
          <w:sz w:val="21"/>
          <w:szCs w:val="21"/>
        </w:rPr>
        <w:t>, after request by GBMC,</w:t>
      </w:r>
      <w:r w:rsidRPr="6D29C078">
        <w:rPr>
          <w:rFonts w:ascii="Arial" w:eastAsia="Times New Roman" w:hAnsi="Arial" w:cs="Arial"/>
          <w:color w:val="333333"/>
          <w:sz w:val="21"/>
          <w:szCs w:val="21"/>
        </w:rPr>
        <w:t xml:space="preserve"> accurate and complete financial information within </w:t>
      </w:r>
      <w:r w:rsidR="00C76CF4" w:rsidRPr="6D29C078">
        <w:rPr>
          <w:rFonts w:ascii="Arial" w:eastAsia="Times New Roman" w:hAnsi="Arial" w:cs="Arial"/>
          <w:color w:val="333333"/>
          <w:sz w:val="21"/>
          <w:szCs w:val="21"/>
        </w:rPr>
        <w:t>240 days (approximately 8 months) after receipt of the initial bill</w:t>
      </w:r>
      <w:r w:rsidRPr="6D29C078">
        <w:rPr>
          <w:rFonts w:ascii="Arial" w:eastAsia="Times New Roman" w:hAnsi="Arial" w:cs="Arial"/>
          <w:color w:val="333333"/>
          <w:sz w:val="21"/>
          <w:szCs w:val="21"/>
        </w:rPr>
        <w:t>.</w:t>
      </w:r>
    </w:p>
    <w:p w14:paraId="4A3F80D3" w14:textId="77777777" w:rsidR="00D96B10" w:rsidRDefault="00A5006A" w:rsidP="008F14DE">
      <w:pPr>
        <w:numPr>
          <w:ilvl w:val="0"/>
          <w:numId w:val="4"/>
        </w:numPr>
        <w:spacing w:before="150" w:after="150" w:line="276" w:lineRule="auto"/>
        <w:ind w:left="690"/>
        <w:rPr>
          <w:rFonts w:ascii="Arial" w:eastAsia="Times New Roman" w:hAnsi="Arial" w:cs="Arial"/>
          <w:color w:val="333333"/>
          <w:sz w:val="21"/>
          <w:szCs w:val="21"/>
        </w:rPr>
      </w:pPr>
      <w:r>
        <w:rPr>
          <w:rFonts w:ascii="Arial" w:eastAsia="Times New Roman" w:hAnsi="Arial" w:cs="Arial"/>
          <w:b/>
          <w:bCs/>
          <w:color w:val="333333"/>
          <w:sz w:val="21"/>
          <w:szCs w:val="21"/>
          <w:u w:val="single"/>
        </w:rPr>
        <w:t>PRESUMPTIVE</w:t>
      </w:r>
      <w:r w:rsidR="00EF6FE8" w:rsidRPr="00EF6FE8">
        <w:rPr>
          <w:rFonts w:ascii="Arial" w:eastAsia="Times New Roman" w:hAnsi="Arial" w:cs="Arial"/>
          <w:b/>
          <w:bCs/>
          <w:color w:val="333333"/>
          <w:sz w:val="21"/>
          <w:szCs w:val="21"/>
          <w:u w:val="single"/>
        </w:rPr>
        <w:t xml:space="preserve"> FINANCIAL ASSISTANCE:</w:t>
      </w:r>
      <w:r w:rsidR="00EF6FE8" w:rsidRPr="00EF6FE8">
        <w:rPr>
          <w:rFonts w:ascii="Arial" w:eastAsia="Times New Roman" w:hAnsi="Arial" w:cs="Arial"/>
          <w:color w:val="333333"/>
          <w:sz w:val="21"/>
          <w:szCs w:val="21"/>
        </w:rPr>
        <w:t xml:space="preserve"> </w:t>
      </w:r>
    </w:p>
    <w:p w14:paraId="043D7FC2" w14:textId="228761F7" w:rsidR="00EF6FE8" w:rsidRDefault="00FC7933" w:rsidP="008F14DE">
      <w:pPr>
        <w:numPr>
          <w:ilvl w:val="1"/>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 xml:space="preserve">In addition to the procedures described above, </w:t>
      </w:r>
      <w:r w:rsidR="00A5006A">
        <w:rPr>
          <w:rFonts w:ascii="Arial" w:eastAsia="Times New Roman" w:hAnsi="Arial" w:cs="Arial"/>
          <w:color w:val="333333"/>
          <w:sz w:val="21"/>
          <w:szCs w:val="21"/>
        </w:rPr>
        <w:t>Presumptive</w:t>
      </w:r>
      <w:r w:rsidR="00EF6FE8" w:rsidRPr="00EF6FE8">
        <w:rPr>
          <w:rFonts w:ascii="Arial" w:eastAsia="Times New Roman" w:hAnsi="Arial" w:cs="Arial"/>
          <w:color w:val="333333"/>
          <w:sz w:val="21"/>
          <w:szCs w:val="21"/>
        </w:rPr>
        <w:t xml:space="preserve"> Financial Assistance </w:t>
      </w:r>
      <w:r>
        <w:rPr>
          <w:rFonts w:ascii="Arial" w:eastAsia="Times New Roman" w:hAnsi="Arial" w:cs="Arial"/>
          <w:color w:val="333333"/>
          <w:sz w:val="21"/>
          <w:szCs w:val="21"/>
        </w:rPr>
        <w:t xml:space="preserve">is an alternative method for obtaining financial assistance. It </w:t>
      </w:r>
      <w:r w:rsidR="00EF6FE8" w:rsidRPr="00EF6FE8">
        <w:rPr>
          <w:rFonts w:ascii="Arial" w:eastAsia="Times New Roman" w:hAnsi="Arial" w:cs="Arial"/>
          <w:color w:val="333333"/>
          <w:sz w:val="21"/>
          <w:szCs w:val="21"/>
        </w:rPr>
        <w:t xml:space="preserve">is a program run in partnership with </w:t>
      </w:r>
      <w:r w:rsidR="00A5006A">
        <w:rPr>
          <w:rFonts w:ascii="Arial" w:eastAsia="Times New Roman" w:hAnsi="Arial" w:cs="Arial"/>
          <w:color w:val="333333"/>
          <w:sz w:val="21"/>
          <w:szCs w:val="21"/>
        </w:rPr>
        <w:t>an established</w:t>
      </w:r>
      <w:r w:rsidR="00EF6FE8" w:rsidRPr="00EF6FE8">
        <w:rPr>
          <w:rFonts w:ascii="Arial" w:eastAsia="Times New Roman" w:hAnsi="Arial" w:cs="Arial"/>
          <w:color w:val="333333"/>
          <w:sz w:val="21"/>
          <w:szCs w:val="21"/>
        </w:rPr>
        <w:t xml:space="preserve"> credit reporting agency. Self-pay accounts   are referred to </w:t>
      </w:r>
      <w:r w:rsidR="00A5006A">
        <w:rPr>
          <w:rFonts w:ascii="Arial" w:eastAsia="Times New Roman" w:hAnsi="Arial" w:cs="Arial"/>
          <w:color w:val="333333"/>
          <w:sz w:val="21"/>
          <w:szCs w:val="21"/>
        </w:rPr>
        <w:t>the agency</w:t>
      </w:r>
      <w:r w:rsidR="00EF6FE8" w:rsidRPr="00EF6FE8">
        <w:rPr>
          <w:rFonts w:ascii="Arial" w:eastAsia="Times New Roman" w:hAnsi="Arial" w:cs="Arial"/>
          <w:color w:val="333333"/>
          <w:sz w:val="21"/>
          <w:szCs w:val="21"/>
        </w:rPr>
        <w:t xml:space="preserve">, </w:t>
      </w:r>
      <w:r w:rsidR="00C76CF4">
        <w:rPr>
          <w:rFonts w:ascii="Arial" w:eastAsia="Times New Roman" w:hAnsi="Arial" w:cs="Arial"/>
          <w:color w:val="333333"/>
          <w:sz w:val="21"/>
          <w:szCs w:val="21"/>
        </w:rPr>
        <w:t>which</w:t>
      </w:r>
      <w:r w:rsidR="00EF6FE8" w:rsidRPr="00EF6FE8">
        <w:rPr>
          <w:rFonts w:ascii="Arial" w:eastAsia="Times New Roman" w:hAnsi="Arial" w:cs="Arial"/>
          <w:color w:val="333333"/>
          <w:sz w:val="21"/>
          <w:szCs w:val="21"/>
        </w:rPr>
        <w:t xml:space="preserve"> utilizes a proprietary credit scoring system to determine the likelihood and ability to pay based on estimated income and family size. The </w:t>
      </w:r>
      <w:r w:rsidR="00EF6FE8" w:rsidRPr="00EF6FE8">
        <w:rPr>
          <w:rFonts w:ascii="Arial" w:eastAsia="Times New Roman" w:hAnsi="Arial" w:cs="Arial"/>
          <w:color w:val="333333"/>
          <w:sz w:val="21"/>
          <w:szCs w:val="21"/>
        </w:rPr>
        <w:lastRenderedPageBreak/>
        <w:t>results from the credit score are compared to GBMC’s Financial Assistance eligibility criteria and a decision is made to write off or to pursue collection on certain accounts.</w:t>
      </w:r>
      <w:r w:rsidR="00EE05EC">
        <w:rPr>
          <w:rFonts w:ascii="Arial" w:eastAsia="Times New Roman" w:hAnsi="Arial" w:cs="Arial"/>
          <w:color w:val="333333"/>
          <w:sz w:val="21"/>
          <w:szCs w:val="21"/>
        </w:rPr>
        <w:t xml:space="preserve"> </w:t>
      </w:r>
    </w:p>
    <w:p w14:paraId="484C48BA" w14:textId="7729C3E0" w:rsidR="00F22405" w:rsidRPr="00F163F6" w:rsidRDefault="00B82C0C" w:rsidP="008F14DE">
      <w:pPr>
        <w:numPr>
          <w:ilvl w:val="1"/>
          <w:numId w:val="4"/>
        </w:numPr>
        <w:spacing w:before="150" w:after="150" w:line="276" w:lineRule="auto"/>
        <w:rPr>
          <w:rFonts w:ascii="Arial" w:eastAsia="Times New Roman" w:hAnsi="Arial" w:cs="Arial"/>
          <w:color w:val="333333"/>
          <w:sz w:val="21"/>
          <w:szCs w:val="21"/>
        </w:rPr>
      </w:pPr>
      <w:r w:rsidRPr="00F163F6">
        <w:rPr>
          <w:rFonts w:ascii="Arial" w:eastAsia="Times New Roman" w:hAnsi="Arial" w:cs="Arial"/>
          <w:bCs/>
          <w:color w:val="333333"/>
          <w:sz w:val="21"/>
          <w:szCs w:val="21"/>
          <w:u w:val="single"/>
        </w:rPr>
        <w:t>Presumptive Eligibility Based on Enrollment in Means-Tested Program</w:t>
      </w:r>
      <w:r w:rsidRPr="00F163F6">
        <w:rPr>
          <w:rFonts w:ascii="Arial" w:eastAsia="Times New Roman" w:hAnsi="Arial" w:cs="Arial"/>
          <w:bCs/>
          <w:color w:val="333333"/>
          <w:sz w:val="21"/>
          <w:szCs w:val="21"/>
        </w:rPr>
        <w:t>: Patients enrolled in the following means-tested programs are deemed eligible for free care on a specific date of service. Patients are required to submit proof of enrollment within thirty (30) days of eligibility determination.</w:t>
      </w:r>
    </w:p>
    <w:p w14:paraId="184C6EE0" w14:textId="77DD799A" w:rsidR="00B82C0C" w:rsidRDefault="00B82C0C" w:rsidP="008F14DE">
      <w:pPr>
        <w:numPr>
          <w:ilvl w:val="2"/>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 xml:space="preserve">Household </w:t>
      </w:r>
      <w:r w:rsidR="00251424">
        <w:rPr>
          <w:rFonts w:ascii="Arial" w:eastAsia="Times New Roman" w:hAnsi="Arial" w:cs="Arial"/>
          <w:color w:val="333333"/>
          <w:sz w:val="21"/>
          <w:szCs w:val="21"/>
        </w:rPr>
        <w:t>M</w:t>
      </w:r>
      <w:r>
        <w:rPr>
          <w:rFonts w:ascii="Arial" w:eastAsia="Times New Roman" w:hAnsi="Arial" w:cs="Arial"/>
          <w:color w:val="333333"/>
          <w:sz w:val="21"/>
          <w:szCs w:val="21"/>
        </w:rPr>
        <w:t xml:space="preserve">embers </w:t>
      </w:r>
      <w:r w:rsidR="00251424">
        <w:rPr>
          <w:rFonts w:ascii="Arial" w:eastAsia="Times New Roman" w:hAnsi="Arial" w:cs="Arial"/>
          <w:color w:val="333333"/>
          <w:sz w:val="21"/>
          <w:szCs w:val="21"/>
        </w:rPr>
        <w:t>-</w:t>
      </w:r>
      <w:r>
        <w:rPr>
          <w:rFonts w:ascii="Arial" w:eastAsia="Times New Roman" w:hAnsi="Arial" w:cs="Arial"/>
          <w:color w:val="333333"/>
          <w:sz w:val="21"/>
          <w:szCs w:val="21"/>
        </w:rPr>
        <w:t xml:space="preserve"> enrolled in the free and reduced-cost meal </w:t>
      </w:r>
      <w:r w:rsidR="00AF18C0">
        <w:rPr>
          <w:rFonts w:ascii="Arial" w:eastAsia="Times New Roman" w:hAnsi="Arial" w:cs="Arial"/>
          <w:color w:val="333333"/>
          <w:sz w:val="21"/>
          <w:szCs w:val="21"/>
        </w:rPr>
        <w:t>program</w:t>
      </w:r>
      <w:r w:rsidR="000A0641">
        <w:rPr>
          <w:rFonts w:ascii="Arial" w:eastAsia="Times New Roman" w:hAnsi="Arial" w:cs="Arial"/>
          <w:color w:val="333333"/>
          <w:sz w:val="21"/>
          <w:szCs w:val="21"/>
        </w:rPr>
        <w:t xml:space="preserve"> </w:t>
      </w:r>
      <w:r w:rsidR="007C14C4">
        <w:rPr>
          <w:rFonts w:ascii="Arial" w:eastAsia="Times New Roman" w:hAnsi="Arial" w:cs="Arial"/>
          <w:color w:val="333333"/>
          <w:sz w:val="21"/>
          <w:szCs w:val="21"/>
        </w:rPr>
        <w:t>and is eligible for the program based on household income.</w:t>
      </w:r>
    </w:p>
    <w:p w14:paraId="57A20343" w14:textId="1D87893A" w:rsidR="00B82C0C" w:rsidRDefault="005F2030" w:rsidP="008F14DE">
      <w:pPr>
        <w:numPr>
          <w:ilvl w:val="2"/>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Patient e</w:t>
      </w:r>
      <w:r w:rsidR="00B82C0C">
        <w:rPr>
          <w:rFonts w:ascii="Arial" w:eastAsia="Times New Roman" w:hAnsi="Arial" w:cs="Arial"/>
          <w:color w:val="333333"/>
          <w:sz w:val="21"/>
          <w:szCs w:val="21"/>
        </w:rPr>
        <w:t>nrolled in the federal Supplemental Nutrition Assistance Program (SNAP</w:t>
      </w:r>
      <w:r w:rsidR="00AF18C0">
        <w:rPr>
          <w:rFonts w:ascii="Arial" w:eastAsia="Times New Roman" w:hAnsi="Arial" w:cs="Arial"/>
          <w:color w:val="333333"/>
          <w:sz w:val="21"/>
          <w:szCs w:val="21"/>
        </w:rPr>
        <w:t>).</w:t>
      </w:r>
    </w:p>
    <w:p w14:paraId="03669131" w14:textId="0EDF044E" w:rsidR="00B82C0C" w:rsidRDefault="00AF18C0" w:rsidP="008F14DE">
      <w:pPr>
        <w:numPr>
          <w:ilvl w:val="2"/>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Patient enrolled</w:t>
      </w:r>
      <w:r w:rsidR="00B82C0C">
        <w:rPr>
          <w:rFonts w:ascii="Arial" w:eastAsia="Times New Roman" w:hAnsi="Arial" w:cs="Arial"/>
          <w:color w:val="333333"/>
          <w:sz w:val="21"/>
          <w:szCs w:val="21"/>
        </w:rPr>
        <w:t xml:space="preserve"> in State’s Energy Assistance Program</w:t>
      </w:r>
      <w:r>
        <w:rPr>
          <w:rFonts w:ascii="Arial" w:eastAsia="Times New Roman" w:hAnsi="Arial" w:cs="Arial"/>
          <w:color w:val="333333"/>
          <w:sz w:val="21"/>
          <w:szCs w:val="21"/>
        </w:rPr>
        <w:t>.</w:t>
      </w:r>
    </w:p>
    <w:p w14:paraId="1CAA6D7B" w14:textId="267F222D" w:rsidR="00B82C0C" w:rsidRDefault="005F2030" w:rsidP="008F14DE">
      <w:pPr>
        <w:numPr>
          <w:ilvl w:val="2"/>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Patient e</w:t>
      </w:r>
      <w:r w:rsidR="00B82C0C">
        <w:rPr>
          <w:rFonts w:ascii="Arial" w:eastAsia="Times New Roman" w:hAnsi="Arial" w:cs="Arial"/>
          <w:color w:val="333333"/>
          <w:sz w:val="21"/>
          <w:szCs w:val="21"/>
        </w:rPr>
        <w:t>nrolled in Women, Infants, and Children (WIC)</w:t>
      </w:r>
      <w:r w:rsidR="00AF18C0">
        <w:rPr>
          <w:rFonts w:ascii="Arial" w:eastAsia="Times New Roman" w:hAnsi="Arial" w:cs="Arial"/>
          <w:color w:val="333333"/>
          <w:sz w:val="21"/>
          <w:szCs w:val="21"/>
        </w:rPr>
        <w:t xml:space="preserve"> program.</w:t>
      </w:r>
    </w:p>
    <w:p w14:paraId="2A10EC39" w14:textId="752B380B" w:rsidR="00B82C0C" w:rsidRPr="00EF6FE8" w:rsidRDefault="005F2030" w:rsidP="008F14DE">
      <w:pPr>
        <w:numPr>
          <w:ilvl w:val="2"/>
          <w:numId w:val="4"/>
        </w:numPr>
        <w:spacing w:before="150" w:after="150" w:line="276" w:lineRule="auto"/>
        <w:rPr>
          <w:rFonts w:ascii="Arial" w:eastAsia="Times New Roman" w:hAnsi="Arial" w:cs="Arial"/>
          <w:color w:val="333333"/>
          <w:sz w:val="21"/>
          <w:szCs w:val="21"/>
        </w:rPr>
      </w:pPr>
      <w:r>
        <w:rPr>
          <w:rFonts w:ascii="Arial" w:eastAsia="Times New Roman" w:hAnsi="Arial" w:cs="Arial"/>
          <w:color w:val="333333"/>
          <w:sz w:val="21"/>
          <w:szCs w:val="21"/>
        </w:rPr>
        <w:t>Patient e</w:t>
      </w:r>
      <w:r w:rsidR="00B82C0C">
        <w:rPr>
          <w:rFonts w:ascii="Arial" w:eastAsia="Times New Roman" w:hAnsi="Arial" w:cs="Arial"/>
          <w:color w:val="333333"/>
          <w:sz w:val="21"/>
          <w:szCs w:val="21"/>
        </w:rPr>
        <w:t>nrolled in other social service program as determined by the Maryland Department of Health and the Health Services Cost Review Commission (HSCRC).</w:t>
      </w:r>
    </w:p>
    <w:p w14:paraId="3DECFB2F" w14:textId="2ED85E4C" w:rsidR="004D3A73" w:rsidRDefault="004D3A73" w:rsidP="008F14DE">
      <w:pPr>
        <w:numPr>
          <w:ilvl w:val="0"/>
          <w:numId w:val="4"/>
        </w:numPr>
        <w:spacing w:before="150" w:after="150" w:line="276" w:lineRule="auto"/>
        <w:ind w:left="690"/>
        <w:rPr>
          <w:rFonts w:ascii="Arial" w:eastAsia="Times New Roman" w:hAnsi="Arial" w:cs="Arial"/>
          <w:color w:val="333333"/>
          <w:sz w:val="21"/>
          <w:szCs w:val="21"/>
        </w:rPr>
      </w:pPr>
      <w:r w:rsidRPr="6D29C078">
        <w:rPr>
          <w:rFonts w:ascii="Arial" w:eastAsia="Times New Roman" w:hAnsi="Arial" w:cs="Arial"/>
          <w:b/>
          <w:bCs/>
          <w:color w:val="333333"/>
          <w:sz w:val="21"/>
          <w:szCs w:val="21"/>
          <w:u w:val="single"/>
        </w:rPr>
        <w:t>COLLECTION EFFORTS:</w:t>
      </w:r>
      <w:r w:rsidRPr="6D29C078">
        <w:rPr>
          <w:rFonts w:ascii="Arial" w:eastAsia="Times New Roman" w:hAnsi="Arial" w:cs="Arial"/>
          <w:color w:val="333333"/>
          <w:sz w:val="21"/>
          <w:szCs w:val="21"/>
        </w:rPr>
        <w:t xml:space="preserve">  The billing cycle will </w:t>
      </w:r>
      <w:r w:rsidR="00932F87" w:rsidRPr="6D29C078">
        <w:rPr>
          <w:rFonts w:ascii="Arial" w:eastAsia="Times New Roman" w:hAnsi="Arial" w:cs="Arial"/>
          <w:color w:val="333333"/>
          <w:sz w:val="21"/>
          <w:szCs w:val="21"/>
        </w:rPr>
        <w:t>initiate after</w:t>
      </w:r>
      <w:r w:rsidRPr="6D29C078">
        <w:rPr>
          <w:rFonts w:ascii="Arial" w:eastAsia="Times New Roman" w:hAnsi="Arial" w:cs="Arial"/>
          <w:color w:val="333333"/>
          <w:sz w:val="21"/>
          <w:szCs w:val="21"/>
        </w:rPr>
        <w:t xml:space="preserve"> date of the denial letter. Three (3) billings statements are </w:t>
      </w:r>
      <w:r w:rsidR="00932F87" w:rsidRPr="6D29C078">
        <w:rPr>
          <w:rFonts w:ascii="Arial" w:eastAsia="Times New Roman" w:hAnsi="Arial" w:cs="Arial"/>
          <w:color w:val="333333"/>
          <w:sz w:val="21"/>
          <w:szCs w:val="21"/>
        </w:rPr>
        <w:t xml:space="preserve">sent </w:t>
      </w:r>
      <w:r w:rsidR="00932F87">
        <w:rPr>
          <w:rFonts w:ascii="Arial" w:eastAsia="Times New Roman" w:hAnsi="Arial" w:cs="Arial"/>
          <w:color w:val="333333"/>
          <w:sz w:val="21"/>
          <w:szCs w:val="21"/>
        </w:rPr>
        <w:t>at</w:t>
      </w:r>
      <w:r w:rsidR="00672601">
        <w:rPr>
          <w:rFonts w:ascii="Arial" w:eastAsia="Times New Roman" w:hAnsi="Arial" w:cs="Arial"/>
          <w:color w:val="333333"/>
          <w:sz w:val="21"/>
          <w:szCs w:val="21"/>
        </w:rPr>
        <w:t xml:space="preserve"> least every thirty (30) days</w:t>
      </w:r>
      <w:r w:rsidRPr="6D29C078">
        <w:rPr>
          <w:rFonts w:ascii="Arial" w:eastAsia="Times New Roman" w:hAnsi="Arial" w:cs="Arial"/>
          <w:color w:val="333333"/>
          <w:sz w:val="21"/>
          <w:szCs w:val="21"/>
        </w:rPr>
        <w:t xml:space="preserve"> in attempt to collect the outstanding amounts. If there is no collection or payment arrangements made, the outstanding amounts are sent to a collection agency. If a patient files for bankruptcy during the financial assistance application process, award period, or during any collection efforts, the patient should provide written notification from the U.S. Bankruptcy Court to the GBMC Collection Manager. GBMC does not report delinquent accounts to any credit bureaus.</w:t>
      </w:r>
    </w:p>
    <w:p w14:paraId="239FAD0D" w14:textId="2F323328" w:rsidR="001E468D" w:rsidRDefault="001E468D" w:rsidP="008F14DE">
      <w:pPr>
        <w:spacing w:before="150" w:after="150" w:line="276" w:lineRule="auto"/>
        <w:rPr>
          <w:rFonts w:ascii="Arial" w:eastAsia="Times New Roman" w:hAnsi="Arial" w:cs="Arial"/>
          <w:color w:val="333333"/>
          <w:sz w:val="21"/>
          <w:szCs w:val="21"/>
        </w:rPr>
      </w:pPr>
    </w:p>
    <w:p w14:paraId="4AE2DAC1" w14:textId="77777777" w:rsidR="001E75AB" w:rsidRDefault="001E75AB" w:rsidP="008F14DE">
      <w:pPr>
        <w:spacing w:line="276" w:lineRule="auto"/>
      </w:pPr>
    </w:p>
    <w:sectPr w:rsidR="001E75A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1943" w14:textId="77777777" w:rsidR="00394DEB" w:rsidRDefault="00394DEB" w:rsidP="00EF6FE8">
      <w:pPr>
        <w:spacing w:after="0" w:line="240" w:lineRule="auto"/>
      </w:pPr>
      <w:r>
        <w:separator/>
      </w:r>
    </w:p>
  </w:endnote>
  <w:endnote w:type="continuationSeparator" w:id="0">
    <w:p w14:paraId="7053E5F3" w14:textId="77777777" w:rsidR="00394DEB" w:rsidRDefault="00394DEB" w:rsidP="00EF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48771"/>
      <w:docPartObj>
        <w:docPartGallery w:val="Page Numbers (Bottom of Page)"/>
        <w:docPartUnique/>
      </w:docPartObj>
    </w:sdtPr>
    <w:sdtEndPr>
      <w:rPr>
        <w:noProof/>
      </w:rPr>
    </w:sdtEndPr>
    <w:sdtContent>
      <w:p w14:paraId="21142F21" w14:textId="1C6252E3" w:rsidR="00590CCD" w:rsidRDefault="00590CCD">
        <w:pPr>
          <w:pStyle w:val="Footer"/>
          <w:jc w:val="right"/>
        </w:pPr>
        <w:r>
          <w:fldChar w:fldCharType="begin"/>
        </w:r>
        <w:r>
          <w:instrText xml:space="preserve"> PAGE   \* MERGEFORMAT </w:instrText>
        </w:r>
        <w:r>
          <w:fldChar w:fldCharType="separate"/>
        </w:r>
        <w:r w:rsidR="00BF582F">
          <w:rPr>
            <w:noProof/>
          </w:rPr>
          <w:t>5</w:t>
        </w:r>
        <w:r>
          <w:rPr>
            <w:noProof/>
          </w:rPr>
          <w:fldChar w:fldCharType="end"/>
        </w:r>
      </w:p>
    </w:sdtContent>
  </w:sdt>
  <w:p w14:paraId="73AE465C" w14:textId="0BE2DE1D" w:rsidR="00BC5548" w:rsidRPr="00590CCD" w:rsidRDefault="00590CCD" w:rsidP="00590CCD">
    <w:pPr>
      <w:pStyle w:val="Footer"/>
      <w:rPr>
        <w:sz w:val="18"/>
      </w:rPr>
    </w:pPr>
    <w:r w:rsidRPr="00590CCD">
      <w:rPr>
        <w:sz w:val="18"/>
      </w:rPr>
      <w:ptab w:relativeTo="margin" w:alignment="left" w:leader="none"/>
    </w:r>
    <w:r w:rsidRPr="00590CCD">
      <w:rPr>
        <w:sz w:val="18"/>
      </w:rPr>
      <w:t>Rev</w:t>
    </w:r>
    <w:r>
      <w:rPr>
        <w:sz w:val="18"/>
      </w:rPr>
      <w:t>.</w:t>
    </w:r>
    <w:r w:rsidRPr="00590CCD">
      <w:rPr>
        <w:sz w:val="18"/>
      </w:rPr>
      <w:t xml:space="preserve"> </w:t>
    </w:r>
    <w:r w:rsidR="008F14DE">
      <w:rPr>
        <w:sz w:val="18"/>
      </w:rPr>
      <w:t>10/01/2025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4E0E" w14:textId="77777777" w:rsidR="00394DEB" w:rsidRDefault="00394DEB" w:rsidP="00EF6FE8">
      <w:pPr>
        <w:spacing w:after="0" w:line="240" w:lineRule="auto"/>
      </w:pPr>
      <w:r>
        <w:separator/>
      </w:r>
    </w:p>
  </w:footnote>
  <w:footnote w:type="continuationSeparator" w:id="0">
    <w:p w14:paraId="07E07AC8" w14:textId="77777777" w:rsidR="00394DEB" w:rsidRDefault="00394DEB" w:rsidP="00EF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C52" w14:textId="77777777" w:rsidR="00EF6FE8" w:rsidRPr="00EF6FE8" w:rsidRDefault="00EF6FE8" w:rsidP="00EF6FE8">
    <w:pPr>
      <w:pStyle w:val="Header"/>
      <w:jc w:val="center"/>
      <w:rPr>
        <w:b/>
        <w:sz w:val="44"/>
      </w:rPr>
    </w:pPr>
    <w:r w:rsidRPr="00EF6FE8">
      <w:rPr>
        <w:b/>
        <w:sz w:val="44"/>
      </w:rPr>
      <w:t>GBMC Financial Assistance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3264"/>
    <w:multiLevelType w:val="multilevel"/>
    <w:tmpl w:val="CE923F5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EF5C4B"/>
    <w:multiLevelType w:val="hybridMultilevel"/>
    <w:tmpl w:val="7C1826D6"/>
    <w:lvl w:ilvl="0" w:tplc="82CEA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C2499"/>
    <w:multiLevelType w:val="hybridMultilevel"/>
    <w:tmpl w:val="85D0EE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08170A"/>
    <w:multiLevelType w:val="multilevel"/>
    <w:tmpl w:val="9D7661DE"/>
    <w:lvl w:ilvl="0">
      <w:start w:val="1"/>
      <w:numFmt w:val="upperLetter"/>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A3A0FCF"/>
    <w:multiLevelType w:val="multilevel"/>
    <w:tmpl w:val="9D7661DE"/>
    <w:lvl w:ilvl="0">
      <w:start w:val="1"/>
      <w:numFmt w:val="upperLetter"/>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93054238">
    <w:abstractNumId w:val="0"/>
  </w:num>
  <w:num w:numId="2" w16cid:durableId="291792281">
    <w:abstractNumId w:val="3"/>
  </w:num>
  <w:num w:numId="3" w16cid:durableId="1770462159">
    <w:abstractNumId w:val="1"/>
  </w:num>
  <w:num w:numId="4" w16cid:durableId="338581593">
    <w:abstractNumId w:val="4"/>
  </w:num>
  <w:num w:numId="5" w16cid:durableId="63598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E8"/>
    <w:rsid w:val="00011B7E"/>
    <w:rsid w:val="00021B8C"/>
    <w:rsid w:val="00034B73"/>
    <w:rsid w:val="000453A0"/>
    <w:rsid w:val="00051D51"/>
    <w:rsid w:val="000651C2"/>
    <w:rsid w:val="000A0641"/>
    <w:rsid w:val="000A6178"/>
    <w:rsid w:val="000B1A38"/>
    <w:rsid w:val="000B67DF"/>
    <w:rsid w:val="000E3335"/>
    <w:rsid w:val="00111917"/>
    <w:rsid w:val="00121662"/>
    <w:rsid w:val="00127F0E"/>
    <w:rsid w:val="0015693A"/>
    <w:rsid w:val="0016539E"/>
    <w:rsid w:val="00175AD4"/>
    <w:rsid w:val="001B67A1"/>
    <w:rsid w:val="001C5444"/>
    <w:rsid w:val="001D6D59"/>
    <w:rsid w:val="001E3C0A"/>
    <w:rsid w:val="001E468D"/>
    <w:rsid w:val="001E6249"/>
    <w:rsid w:val="001E75AB"/>
    <w:rsid w:val="00201459"/>
    <w:rsid w:val="002061B9"/>
    <w:rsid w:val="00211D36"/>
    <w:rsid w:val="002127E6"/>
    <w:rsid w:val="00251424"/>
    <w:rsid w:val="00297CBF"/>
    <w:rsid w:val="002A7215"/>
    <w:rsid w:val="002C573C"/>
    <w:rsid w:val="002C685C"/>
    <w:rsid w:val="002E1333"/>
    <w:rsid w:val="002E1D2F"/>
    <w:rsid w:val="00316954"/>
    <w:rsid w:val="003252C6"/>
    <w:rsid w:val="00335E92"/>
    <w:rsid w:val="003567DE"/>
    <w:rsid w:val="00357D40"/>
    <w:rsid w:val="00384373"/>
    <w:rsid w:val="00386CC6"/>
    <w:rsid w:val="003876B2"/>
    <w:rsid w:val="00394DEB"/>
    <w:rsid w:val="003B0771"/>
    <w:rsid w:val="003E5D8A"/>
    <w:rsid w:val="00424B68"/>
    <w:rsid w:val="00434443"/>
    <w:rsid w:val="00455634"/>
    <w:rsid w:val="00481CED"/>
    <w:rsid w:val="004879D1"/>
    <w:rsid w:val="004976E0"/>
    <w:rsid w:val="004D3A73"/>
    <w:rsid w:val="004E3D8E"/>
    <w:rsid w:val="004E4BB9"/>
    <w:rsid w:val="00556528"/>
    <w:rsid w:val="00577138"/>
    <w:rsid w:val="00577255"/>
    <w:rsid w:val="0057727C"/>
    <w:rsid w:val="00587886"/>
    <w:rsid w:val="00590CCD"/>
    <w:rsid w:val="005B0B57"/>
    <w:rsid w:val="005F2030"/>
    <w:rsid w:val="00621BFE"/>
    <w:rsid w:val="00631031"/>
    <w:rsid w:val="00634D01"/>
    <w:rsid w:val="006515D6"/>
    <w:rsid w:val="0065291F"/>
    <w:rsid w:val="00672601"/>
    <w:rsid w:val="00672D57"/>
    <w:rsid w:val="00697A96"/>
    <w:rsid w:val="006A4C87"/>
    <w:rsid w:val="006E6289"/>
    <w:rsid w:val="007741BD"/>
    <w:rsid w:val="00774993"/>
    <w:rsid w:val="007C14C4"/>
    <w:rsid w:val="00813E11"/>
    <w:rsid w:val="00827488"/>
    <w:rsid w:val="0083223E"/>
    <w:rsid w:val="00846578"/>
    <w:rsid w:val="00856FA9"/>
    <w:rsid w:val="00857F06"/>
    <w:rsid w:val="0087198A"/>
    <w:rsid w:val="008939C8"/>
    <w:rsid w:val="008A6194"/>
    <w:rsid w:val="008B7D5B"/>
    <w:rsid w:val="008E3C09"/>
    <w:rsid w:val="008E64A2"/>
    <w:rsid w:val="008F14DE"/>
    <w:rsid w:val="008F2AAF"/>
    <w:rsid w:val="00906A5D"/>
    <w:rsid w:val="0091546D"/>
    <w:rsid w:val="009154B9"/>
    <w:rsid w:val="00932F87"/>
    <w:rsid w:val="00941377"/>
    <w:rsid w:val="00963D32"/>
    <w:rsid w:val="00974B9C"/>
    <w:rsid w:val="00981C78"/>
    <w:rsid w:val="00983E43"/>
    <w:rsid w:val="0099383C"/>
    <w:rsid w:val="009B635A"/>
    <w:rsid w:val="009E1749"/>
    <w:rsid w:val="009E3AB8"/>
    <w:rsid w:val="00A20D0B"/>
    <w:rsid w:val="00A25D3D"/>
    <w:rsid w:val="00A2681D"/>
    <w:rsid w:val="00A5006A"/>
    <w:rsid w:val="00A54E50"/>
    <w:rsid w:val="00A93FBE"/>
    <w:rsid w:val="00A94D3B"/>
    <w:rsid w:val="00AA2F4B"/>
    <w:rsid w:val="00AE49D9"/>
    <w:rsid w:val="00AE7A7B"/>
    <w:rsid w:val="00AF18C0"/>
    <w:rsid w:val="00B01A60"/>
    <w:rsid w:val="00B04C20"/>
    <w:rsid w:val="00B14503"/>
    <w:rsid w:val="00B30A40"/>
    <w:rsid w:val="00B6467F"/>
    <w:rsid w:val="00B655A7"/>
    <w:rsid w:val="00B82C0C"/>
    <w:rsid w:val="00B925BC"/>
    <w:rsid w:val="00BA529C"/>
    <w:rsid w:val="00BC276F"/>
    <w:rsid w:val="00BC5548"/>
    <w:rsid w:val="00BE42B9"/>
    <w:rsid w:val="00BF19DF"/>
    <w:rsid w:val="00BF582F"/>
    <w:rsid w:val="00C13BCE"/>
    <w:rsid w:val="00C2094D"/>
    <w:rsid w:val="00C2342E"/>
    <w:rsid w:val="00C35CF0"/>
    <w:rsid w:val="00C41A1D"/>
    <w:rsid w:val="00C76CF4"/>
    <w:rsid w:val="00C85291"/>
    <w:rsid w:val="00C951F4"/>
    <w:rsid w:val="00CA7139"/>
    <w:rsid w:val="00CB6DBE"/>
    <w:rsid w:val="00CC272A"/>
    <w:rsid w:val="00D22DCE"/>
    <w:rsid w:val="00D5679B"/>
    <w:rsid w:val="00D658F1"/>
    <w:rsid w:val="00D81F02"/>
    <w:rsid w:val="00D943B6"/>
    <w:rsid w:val="00D96B10"/>
    <w:rsid w:val="00DC7C17"/>
    <w:rsid w:val="00E50E34"/>
    <w:rsid w:val="00E54B93"/>
    <w:rsid w:val="00E573CC"/>
    <w:rsid w:val="00E87CB1"/>
    <w:rsid w:val="00E94F8E"/>
    <w:rsid w:val="00EB1C86"/>
    <w:rsid w:val="00ED2795"/>
    <w:rsid w:val="00ED2A06"/>
    <w:rsid w:val="00EE05EC"/>
    <w:rsid w:val="00EF34C2"/>
    <w:rsid w:val="00EF3A74"/>
    <w:rsid w:val="00EF6FE8"/>
    <w:rsid w:val="00F04499"/>
    <w:rsid w:val="00F163F6"/>
    <w:rsid w:val="00F22405"/>
    <w:rsid w:val="00F33196"/>
    <w:rsid w:val="00F33DD3"/>
    <w:rsid w:val="00F41133"/>
    <w:rsid w:val="00F9701B"/>
    <w:rsid w:val="00FB155B"/>
    <w:rsid w:val="00FC7933"/>
    <w:rsid w:val="00FD6E2A"/>
    <w:rsid w:val="00FE456A"/>
    <w:rsid w:val="00FF0593"/>
    <w:rsid w:val="00FF0914"/>
    <w:rsid w:val="024340CA"/>
    <w:rsid w:val="042BB837"/>
    <w:rsid w:val="05014474"/>
    <w:rsid w:val="0A042FBA"/>
    <w:rsid w:val="0BF1464D"/>
    <w:rsid w:val="0C72AD2B"/>
    <w:rsid w:val="0D51E4C0"/>
    <w:rsid w:val="1543B29D"/>
    <w:rsid w:val="1916CA90"/>
    <w:rsid w:val="1943309A"/>
    <w:rsid w:val="1F0F5CDE"/>
    <w:rsid w:val="2288BB53"/>
    <w:rsid w:val="22A48479"/>
    <w:rsid w:val="25C05C15"/>
    <w:rsid w:val="27DC3490"/>
    <w:rsid w:val="27E98566"/>
    <w:rsid w:val="2C761D87"/>
    <w:rsid w:val="326E165B"/>
    <w:rsid w:val="35DE6D65"/>
    <w:rsid w:val="39160E27"/>
    <w:rsid w:val="4224FFF9"/>
    <w:rsid w:val="44CF15F5"/>
    <w:rsid w:val="4CC7E34F"/>
    <w:rsid w:val="4DCEDB59"/>
    <w:rsid w:val="53C977F3"/>
    <w:rsid w:val="58DF3C3F"/>
    <w:rsid w:val="6022C167"/>
    <w:rsid w:val="6040477D"/>
    <w:rsid w:val="67F1D715"/>
    <w:rsid w:val="6D29C078"/>
    <w:rsid w:val="714D6978"/>
    <w:rsid w:val="72B21E42"/>
    <w:rsid w:val="7A5F9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F660"/>
  <w15:chartTrackingRefBased/>
  <w15:docId w15:val="{2E7A85FC-AAE9-4085-B959-73B3C81E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FE8"/>
    <w:rPr>
      <w:b/>
      <w:bCs/>
    </w:rPr>
  </w:style>
  <w:style w:type="character" w:customStyle="1" w:styleId="underline2">
    <w:name w:val="underline2"/>
    <w:basedOn w:val="DefaultParagraphFont"/>
    <w:rsid w:val="00EF6FE8"/>
    <w:rPr>
      <w:u w:val="single"/>
    </w:rPr>
  </w:style>
  <w:style w:type="paragraph" w:styleId="Header">
    <w:name w:val="header"/>
    <w:basedOn w:val="Normal"/>
    <w:link w:val="HeaderChar"/>
    <w:uiPriority w:val="99"/>
    <w:unhideWhenUsed/>
    <w:rsid w:val="00EF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FE8"/>
  </w:style>
  <w:style w:type="paragraph" w:styleId="Footer">
    <w:name w:val="footer"/>
    <w:basedOn w:val="Normal"/>
    <w:link w:val="FooterChar"/>
    <w:uiPriority w:val="99"/>
    <w:unhideWhenUsed/>
    <w:rsid w:val="00EF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FE8"/>
  </w:style>
  <w:style w:type="paragraph" w:styleId="BalloonText">
    <w:name w:val="Balloon Text"/>
    <w:basedOn w:val="Normal"/>
    <w:link w:val="BalloonTextChar"/>
    <w:uiPriority w:val="99"/>
    <w:semiHidden/>
    <w:unhideWhenUsed/>
    <w:rsid w:val="00384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73"/>
    <w:rPr>
      <w:rFonts w:ascii="Segoe UI" w:hAnsi="Segoe UI" w:cs="Segoe UI"/>
      <w:sz w:val="18"/>
      <w:szCs w:val="18"/>
    </w:rPr>
  </w:style>
  <w:style w:type="character" w:styleId="PageNumber">
    <w:name w:val="page number"/>
    <w:basedOn w:val="DefaultParagraphFont"/>
    <w:uiPriority w:val="99"/>
    <w:semiHidden/>
    <w:unhideWhenUsed/>
    <w:rsid w:val="00BC5548"/>
  </w:style>
  <w:style w:type="character" w:styleId="CommentReference">
    <w:name w:val="annotation reference"/>
    <w:basedOn w:val="DefaultParagraphFont"/>
    <w:uiPriority w:val="99"/>
    <w:semiHidden/>
    <w:unhideWhenUsed/>
    <w:rsid w:val="00EB1C86"/>
    <w:rPr>
      <w:sz w:val="16"/>
      <w:szCs w:val="16"/>
    </w:rPr>
  </w:style>
  <w:style w:type="paragraph" w:styleId="CommentText">
    <w:name w:val="annotation text"/>
    <w:basedOn w:val="Normal"/>
    <w:link w:val="CommentTextChar"/>
    <w:uiPriority w:val="99"/>
    <w:unhideWhenUsed/>
    <w:rsid w:val="00EB1C86"/>
    <w:pPr>
      <w:spacing w:line="240" w:lineRule="auto"/>
    </w:pPr>
    <w:rPr>
      <w:sz w:val="20"/>
      <w:szCs w:val="20"/>
    </w:rPr>
  </w:style>
  <w:style w:type="character" w:customStyle="1" w:styleId="CommentTextChar">
    <w:name w:val="Comment Text Char"/>
    <w:basedOn w:val="DefaultParagraphFont"/>
    <w:link w:val="CommentText"/>
    <w:uiPriority w:val="99"/>
    <w:rsid w:val="00EB1C86"/>
    <w:rPr>
      <w:sz w:val="20"/>
      <w:szCs w:val="20"/>
    </w:rPr>
  </w:style>
  <w:style w:type="paragraph" w:styleId="CommentSubject">
    <w:name w:val="annotation subject"/>
    <w:basedOn w:val="CommentText"/>
    <w:next w:val="CommentText"/>
    <w:link w:val="CommentSubjectChar"/>
    <w:uiPriority w:val="99"/>
    <w:semiHidden/>
    <w:unhideWhenUsed/>
    <w:rsid w:val="00EB1C86"/>
    <w:rPr>
      <w:b/>
      <w:bCs/>
    </w:rPr>
  </w:style>
  <w:style w:type="character" w:customStyle="1" w:styleId="CommentSubjectChar">
    <w:name w:val="Comment Subject Char"/>
    <w:basedOn w:val="CommentTextChar"/>
    <w:link w:val="CommentSubject"/>
    <w:uiPriority w:val="99"/>
    <w:semiHidden/>
    <w:rsid w:val="00EB1C86"/>
    <w:rPr>
      <w:b/>
      <w:bCs/>
      <w:sz w:val="20"/>
      <w:szCs w:val="20"/>
    </w:rPr>
  </w:style>
  <w:style w:type="paragraph" w:styleId="ListParagraph">
    <w:name w:val="List Paragraph"/>
    <w:basedOn w:val="Normal"/>
    <w:uiPriority w:val="34"/>
    <w:qFormat/>
    <w:rsid w:val="008E64A2"/>
    <w:pPr>
      <w:ind w:left="720"/>
      <w:contextualSpacing/>
    </w:pPr>
  </w:style>
  <w:style w:type="paragraph" w:styleId="Revision">
    <w:name w:val="Revision"/>
    <w:hidden/>
    <w:uiPriority w:val="99"/>
    <w:semiHidden/>
    <w:rsid w:val="00697A96"/>
    <w:pPr>
      <w:spacing w:after="0" w:line="240" w:lineRule="auto"/>
    </w:pPr>
  </w:style>
  <w:style w:type="character" w:styleId="Hyperlink">
    <w:name w:val="Hyperlink"/>
    <w:basedOn w:val="DefaultParagraphFont"/>
    <w:uiPriority w:val="99"/>
    <w:unhideWhenUsed/>
    <w:rsid w:val="00ED2A06"/>
    <w:rPr>
      <w:color w:val="0563C1" w:themeColor="hyperlink"/>
      <w:u w:val="single"/>
    </w:rPr>
  </w:style>
  <w:style w:type="character" w:styleId="UnresolvedMention">
    <w:name w:val="Unresolved Mention"/>
    <w:basedOn w:val="DefaultParagraphFont"/>
    <w:uiPriority w:val="99"/>
    <w:semiHidden/>
    <w:unhideWhenUsed/>
    <w:rsid w:val="00ED2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05890">
      <w:bodyDiv w:val="1"/>
      <w:marLeft w:val="0"/>
      <w:marRight w:val="0"/>
      <w:marTop w:val="0"/>
      <w:marBottom w:val="0"/>
      <w:divBdr>
        <w:top w:val="none" w:sz="0" w:space="0" w:color="auto"/>
        <w:left w:val="none" w:sz="0" w:space="0" w:color="auto"/>
        <w:bottom w:val="none" w:sz="0" w:space="0" w:color="auto"/>
        <w:right w:val="none" w:sz="0" w:space="0" w:color="auto"/>
      </w:divBdr>
    </w:div>
    <w:div w:id="2069300366">
      <w:bodyDiv w:val="1"/>
      <w:marLeft w:val="0"/>
      <w:marRight w:val="0"/>
      <w:marTop w:val="0"/>
      <w:marBottom w:val="0"/>
      <w:divBdr>
        <w:top w:val="none" w:sz="0" w:space="0" w:color="auto"/>
        <w:left w:val="none" w:sz="0" w:space="0" w:color="auto"/>
        <w:bottom w:val="none" w:sz="0" w:space="0" w:color="auto"/>
        <w:right w:val="none" w:sz="0" w:space="0" w:color="auto"/>
      </w:divBdr>
      <w:divsChild>
        <w:div w:id="1079599027">
          <w:marLeft w:val="150"/>
          <w:marRight w:val="150"/>
          <w:marTop w:val="100"/>
          <w:marBottom w:val="150"/>
          <w:divBdr>
            <w:top w:val="none" w:sz="0" w:space="0" w:color="auto"/>
            <w:left w:val="none" w:sz="0" w:space="0" w:color="auto"/>
            <w:bottom w:val="none" w:sz="0" w:space="0" w:color="auto"/>
            <w:right w:val="none" w:sz="0" w:space="0" w:color="auto"/>
          </w:divBdr>
          <w:divsChild>
            <w:div w:id="42172083">
              <w:marLeft w:val="0"/>
              <w:marRight w:val="0"/>
              <w:marTop w:val="0"/>
              <w:marBottom w:val="0"/>
              <w:divBdr>
                <w:top w:val="none" w:sz="0" w:space="0" w:color="auto"/>
                <w:left w:val="single" w:sz="6" w:space="0" w:color="999999"/>
                <w:bottom w:val="single" w:sz="6" w:space="12" w:color="999999"/>
                <w:right w:val="single" w:sz="6" w:space="0" w:color="999999"/>
              </w:divBdr>
              <w:divsChild>
                <w:div w:id="1107888075">
                  <w:marLeft w:val="0"/>
                  <w:marRight w:val="0"/>
                  <w:marTop w:val="0"/>
                  <w:marBottom w:val="0"/>
                  <w:divBdr>
                    <w:top w:val="none" w:sz="0" w:space="0" w:color="auto"/>
                    <w:left w:val="none" w:sz="0" w:space="0" w:color="auto"/>
                    <w:bottom w:val="none" w:sz="0" w:space="0" w:color="auto"/>
                    <w:right w:val="none" w:sz="0" w:space="0" w:color="auto"/>
                  </w:divBdr>
                  <w:divsChild>
                    <w:div w:id="1666785484">
                      <w:marLeft w:val="0"/>
                      <w:marRight w:val="0"/>
                      <w:marTop w:val="100"/>
                      <w:marBottom w:val="100"/>
                      <w:divBdr>
                        <w:top w:val="none" w:sz="0" w:space="0" w:color="auto"/>
                        <w:left w:val="none" w:sz="0" w:space="0" w:color="auto"/>
                        <w:bottom w:val="none" w:sz="0" w:space="0" w:color="auto"/>
                        <w:right w:val="none" w:sz="0" w:space="0" w:color="auto"/>
                      </w:divBdr>
                      <w:divsChild>
                        <w:div w:id="839852297">
                          <w:marLeft w:val="0"/>
                          <w:marRight w:val="0"/>
                          <w:marTop w:val="0"/>
                          <w:marBottom w:val="0"/>
                          <w:divBdr>
                            <w:top w:val="none" w:sz="0" w:space="0" w:color="auto"/>
                            <w:left w:val="none" w:sz="0" w:space="0" w:color="auto"/>
                            <w:bottom w:val="none" w:sz="0" w:space="0" w:color="auto"/>
                            <w:right w:val="none" w:sz="0" w:space="0" w:color="auto"/>
                          </w:divBdr>
                          <w:divsChild>
                            <w:div w:id="2098018349">
                              <w:marLeft w:val="0"/>
                              <w:marRight w:val="0"/>
                              <w:marTop w:val="100"/>
                              <w:marBottom w:val="100"/>
                              <w:divBdr>
                                <w:top w:val="none" w:sz="0" w:space="0" w:color="auto"/>
                                <w:left w:val="none" w:sz="0" w:space="0" w:color="auto"/>
                                <w:bottom w:val="none" w:sz="0" w:space="0" w:color="auto"/>
                                <w:right w:val="none" w:sz="0" w:space="0" w:color="auto"/>
                              </w:divBdr>
                              <w:divsChild>
                                <w:div w:id="70351590">
                                  <w:marLeft w:val="0"/>
                                  <w:marRight w:val="0"/>
                                  <w:marTop w:val="0"/>
                                  <w:marBottom w:val="0"/>
                                  <w:divBdr>
                                    <w:top w:val="none" w:sz="0" w:space="0" w:color="auto"/>
                                    <w:left w:val="none" w:sz="0" w:space="0" w:color="auto"/>
                                    <w:bottom w:val="none" w:sz="0" w:space="0" w:color="auto"/>
                                    <w:right w:val="none" w:sz="0" w:space="0" w:color="auto"/>
                                  </w:divBdr>
                                  <w:divsChild>
                                    <w:div w:id="2066444086">
                                      <w:marLeft w:val="0"/>
                                      <w:marRight w:val="0"/>
                                      <w:marTop w:val="0"/>
                                      <w:marBottom w:val="0"/>
                                      <w:divBdr>
                                        <w:top w:val="none" w:sz="0" w:space="0" w:color="auto"/>
                                        <w:left w:val="none" w:sz="0" w:space="0" w:color="auto"/>
                                        <w:bottom w:val="none" w:sz="0" w:space="0" w:color="auto"/>
                                        <w:right w:val="none" w:sz="0" w:space="0" w:color="auto"/>
                                      </w:divBdr>
                                      <w:divsChild>
                                        <w:div w:id="13126365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crc.state.md.us/Pages/consumers_uniform.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ylandattorneygeneral.gov/Pages/CPD/HEAU/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u@aog.state.md.us" TargetMode="External"/><Relationship Id="rId4" Type="http://schemas.openxmlformats.org/officeDocument/2006/relationships/settings" Target="settings.xml"/><Relationship Id="rId9" Type="http://schemas.openxmlformats.org/officeDocument/2006/relationships/hyperlink" Target="https://hscrc.state.md.us/Pages/consumers_uniform.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D51F15-C048-480D-8740-D4B9F01B8D81}">
  <ds:schemaRefs>
    <ds:schemaRef ds:uri="http://schemas.openxmlformats.org/officeDocument/2006/bibliography"/>
  </ds:schemaRefs>
</ds:datastoreItem>
</file>

<file path=customXml/itemProps2.xml><?xml version="1.0" encoding="utf-8"?>
<ds:datastoreItem xmlns:ds="http://schemas.openxmlformats.org/officeDocument/2006/customXml" ds:itemID="{CD2FBBDC-1FEE-4495-B78E-69EDAA378EF7}"/>
</file>

<file path=customXml/itemProps3.xml><?xml version="1.0" encoding="utf-8"?>
<ds:datastoreItem xmlns:ds="http://schemas.openxmlformats.org/officeDocument/2006/customXml" ds:itemID="{CCAE74C2-4F9D-47A0-B0B4-CE544CC900DA}"/>
</file>

<file path=customXml/itemProps4.xml><?xml version="1.0" encoding="utf-8"?>
<ds:datastoreItem xmlns:ds="http://schemas.openxmlformats.org/officeDocument/2006/customXml" ds:itemID="{3E3C895A-3D6B-4AA7-820F-8AB79FBB4486}"/>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11090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Klemm</dc:creator>
  <cp:keywords/>
  <dc:description/>
  <cp:lastModifiedBy>Anita Petri</cp:lastModifiedBy>
  <cp:revision>2</cp:revision>
  <cp:lastPrinted>2024-04-24T18:59:00Z</cp:lastPrinted>
  <dcterms:created xsi:type="dcterms:W3CDTF">2026-02-17T13:15:00Z</dcterms:created>
  <dcterms:modified xsi:type="dcterms:W3CDTF">2026-02-17T13:15:00Z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0x0101005AD40D51286D8B4D9C836A50BBB33558</vt:lpwstr>
  </property>
</Properties>
</file>