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FDFE" w14:textId="77777777" w:rsidR="002D67B9" w:rsidRDefault="002D67B9" w:rsidP="002D67B9">
      <w:pPr>
        <w:widowControl w:val="0"/>
        <w:pBdr>
          <w:top w:val="nil"/>
          <w:left w:val="nil"/>
          <w:bottom w:val="nil"/>
          <w:right w:val="nil"/>
          <w:between w:val="nil"/>
        </w:pBdr>
        <w:spacing w:line="276" w:lineRule="auto"/>
      </w:pPr>
    </w:p>
    <w:p w14:paraId="44EBE9F7" w14:textId="77777777" w:rsidR="002D67B9" w:rsidRDefault="002D67B9" w:rsidP="002D67B9">
      <w:pPr>
        <w:widowControl w:val="0"/>
        <w:pBdr>
          <w:top w:val="nil"/>
          <w:left w:val="nil"/>
          <w:bottom w:val="nil"/>
          <w:right w:val="nil"/>
          <w:between w:val="nil"/>
        </w:pBdr>
        <w:spacing w:line="276" w:lineRule="auto"/>
      </w:pPr>
    </w:p>
    <w:p w14:paraId="297B89C4" w14:textId="77777777" w:rsidR="002D67B9" w:rsidRDefault="002D67B9" w:rsidP="002D67B9">
      <w:pPr>
        <w:widowControl w:val="0"/>
        <w:pBdr>
          <w:top w:val="nil"/>
          <w:left w:val="nil"/>
          <w:bottom w:val="nil"/>
          <w:right w:val="nil"/>
          <w:between w:val="nil"/>
        </w:pBdr>
        <w:spacing w:line="276" w:lineRule="auto"/>
      </w:pPr>
    </w:p>
    <w:p w14:paraId="0360E04D" w14:textId="77777777" w:rsidR="002D67B9" w:rsidRDefault="002D67B9" w:rsidP="002D67B9">
      <w:pPr>
        <w:spacing w:after="200" w:line="276" w:lineRule="auto"/>
        <w:rPr>
          <w:sz w:val="24"/>
          <w:szCs w:val="24"/>
        </w:rPr>
      </w:pPr>
      <w:r>
        <w:rPr>
          <w:sz w:val="24"/>
          <w:szCs w:val="24"/>
        </w:rPr>
        <w:t>Date:</w:t>
      </w:r>
      <w:r>
        <w:rPr>
          <w:sz w:val="24"/>
          <w:szCs w:val="24"/>
        </w:rPr>
        <w:tab/>
      </w:r>
      <w:r>
        <w:rPr>
          <w:sz w:val="24"/>
          <w:szCs w:val="24"/>
        </w:rPr>
        <w:tab/>
      </w:r>
      <w:sdt>
        <w:sdtPr>
          <w:tag w:val="goog_rdk_0"/>
          <w:id w:val="2128107990"/>
        </w:sdtPr>
        <w:sdtContent/>
      </w:sdt>
      <w:sdt>
        <w:sdtPr>
          <w:tag w:val="goog_rdk_1"/>
          <w:id w:val="2061875839"/>
        </w:sdtPr>
        <w:sdtContent/>
      </w:sdt>
      <w:r>
        <w:rPr>
          <w:sz w:val="24"/>
          <w:szCs w:val="24"/>
        </w:rPr>
        <w:t>March 24, 2026</w:t>
      </w:r>
    </w:p>
    <w:p w14:paraId="36899103" w14:textId="77777777" w:rsidR="002D67B9" w:rsidRDefault="002D67B9" w:rsidP="002D67B9">
      <w:pPr>
        <w:spacing w:after="200" w:line="276" w:lineRule="auto"/>
        <w:rPr>
          <w:sz w:val="24"/>
          <w:szCs w:val="24"/>
        </w:rPr>
      </w:pPr>
      <w:r>
        <w:rPr>
          <w:sz w:val="24"/>
          <w:szCs w:val="24"/>
        </w:rPr>
        <w:t>To:</w:t>
      </w:r>
      <w:r>
        <w:rPr>
          <w:sz w:val="24"/>
          <w:szCs w:val="24"/>
        </w:rPr>
        <w:tab/>
      </w:r>
      <w:r>
        <w:rPr>
          <w:sz w:val="24"/>
          <w:szCs w:val="24"/>
        </w:rPr>
        <w:tab/>
      </w:r>
      <w:sdt>
        <w:sdtPr>
          <w:tag w:val="goog_rdk_2"/>
          <w:id w:val="-1153649994"/>
        </w:sdtPr>
        <w:sdtContent/>
      </w:sdt>
      <w:sdt>
        <w:sdtPr>
          <w:tag w:val="goog_rdk_3"/>
          <w:id w:val="-1917254102"/>
        </w:sdtPr>
        <w:sdtContent/>
      </w:sdt>
      <w:r>
        <w:rPr>
          <w:sz w:val="24"/>
          <w:szCs w:val="24"/>
        </w:rPr>
        <w:t xml:space="preserve">Hospital Chief Financial Officers and Case Mix Liaisons   </w:t>
      </w:r>
    </w:p>
    <w:p w14:paraId="568CEBEB" w14:textId="77777777" w:rsidR="002D67B9" w:rsidRDefault="002D67B9" w:rsidP="002D67B9">
      <w:pPr>
        <w:spacing w:after="200" w:line="276" w:lineRule="auto"/>
        <w:rPr>
          <w:sz w:val="24"/>
          <w:szCs w:val="24"/>
        </w:rPr>
      </w:pPr>
      <w:r>
        <w:rPr>
          <w:sz w:val="24"/>
          <w:szCs w:val="24"/>
        </w:rPr>
        <w:t>From</w:t>
      </w:r>
      <w:proofErr w:type="gramStart"/>
      <w:r>
        <w:rPr>
          <w:sz w:val="24"/>
          <w:szCs w:val="24"/>
        </w:rPr>
        <w:t xml:space="preserve">:     </w:t>
      </w:r>
      <w:r>
        <w:rPr>
          <w:sz w:val="24"/>
          <w:szCs w:val="24"/>
        </w:rPr>
        <w:tab/>
        <w:t>Claudine</w:t>
      </w:r>
      <w:proofErr w:type="gramEnd"/>
      <w:r>
        <w:rPr>
          <w:sz w:val="24"/>
          <w:szCs w:val="24"/>
        </w:rPr>
        <w:t xml:space="preserve"> Williams, Principal Deputy Director, HDMI  </w:t>
      </w:r>
    </w:p>
    <w:p w14:paraId="77436950" w14:textId="77777777" w:rsidR="002D67B9" w:rsidRDefault="002D67B9" w:rsidP="002D67B9">
      <w:pPr>
        <w:spacing w:after="200" w:line="276" w:lineRule="auto"/>
        <w:rPr>
          <w:b/>
          <w:bCs/>
          <w:sz w:val="24"/>
          <w:szCs w:val="24"/>
        </w:rPr>
      </w:pPr>
      <w:r>
        <w:rPr>
          <w:sz w:val="24"/>
          <w:szCs w:val="24"/>
        </w:rPr>
        <w:t>Subject:</w:t>
      </w:r>
      <w:r>
        <w:rPr>
          <w:sz w:val="24"/>
          <w:szCs w:val="24"/>
        </w:rPr>
        <w:tab/>
      </w:r>
      <w:r>
        <w:rPr>
          <w:b/>
          <w:bCs/>
          <w:sz w:val="24"/>
          <w:szCs w:val="24"/>
        </w:rPr>
        <w:t>FY 2026 Q3 Data Forum Follow-up</w:t>
      </w:r>
    </w:p>
    <w:p w14:paraId="702C252F" w14:textId="77777777" w:rsidR="002D67B9" w:rsidRDefault="002D67B9" w:rsidP="002D67B9">
      <w:pPr>
        <w:spacing w:after="200" w:line="276" w:lineRule="auto"/>
        <w:rPr>
          <w:sz w:val="22"/>
          <w:szCs w:val="22"/>
        </w:rPr>
      </w:pPr>
      <w:r>
        <w:rPr>
          <w:sz w:val="22"/>
          <w:szCs w:val="22"/>
        </w:rPr>
        <w:t xml:space="preserve">Thank you to all who participated in the </w:t>
      </w:r>
      <w:r>
        <w:rPr>
          <w:b/>
          <w:bCs/>
          <w:sz w:val="22"/>
          <w:szCs w:val="22"/>
        </w:rPr>
        <w:t>FY 2026 Q3</w:t>
      </w:r>
      <w:r>
        <w:rPr>
          <w:sz w:val="22"/>
          <w:szCs w:val="22"/>
        </w:rPr>
        <w:t xml:space="preserve"> Data Forum held on </w:t>
      </w:r>
      <w:r>
        <w:rPr>
          <w:b/>
          <w:bCs/>
          <w:sz w:val="22"/>
          <w:szCs w:val="22"/>
          <w:u w:val="single"/>
        </w:rPr>
        <w:t>March 13, 2026</w:t>
      </w:r>
      <w:r>
        <w:rPr>
          <w:sz w:val="22"/>
          <w:szCs w:val="22"/>
        </w:rPr>
        <w:t>. Below is a summary of what was discussed and next steps.</w:t>
      </w:r>
    </w:p>
    <w:p w14:paraId="689B777B" w14:textId="77777777" w:rsidR="002D67B9" w:rsidRDefault="002D67B9" w:rsidP="002D67B9">
      <w:pPr>
        <w:spacing w:before="200" w:after="200" w:line="276" w:lineRule="auto"/>
        <w:rPr>
          <w:b/>
          <w:bCs/>
          <w:color w:val="4472C4"/>
          <w:sz w:val="24"/>
          <w:szCs w:val="24"/>
        </w:rPr>
      </w:pPr>
      <w:r>
        <w:rPr>
          <w:b/>
          <w:bCs/>
          <w:color w:val="4472C4"/>
          <w:sz w:val="24"/>
          <w:szCs w:val="24"/>
        </w:rPr>
        <w:t>Quality Update</w:t>
      </w:r>
    </w:p>
    <w:p w14:paraId="2F4389D1" w14:textId="77777777" w:rsidR="002D67B9" w:rsidRDefault="002D67B9" w:rsidP="002D67B9">
      <w:pPr>
        <w:pBdr>
          <w:top w:val="nil"/>
          <w:left w:val="nil"/>
          <w:bottom w:val="nil"/>
          <w:right w:val="nil"/>
          <w:between w:val="nil"/>
        </w:pBdr>
        <w:spacing w:after="200" w:line="276" w:lineRule="auto"/>
        <w:rPr>
          <w:color w:val="4472C4"/>
          <w:sz w:val="22"/>
          <w:szCs w:val="22"/>
        </w:rPr>
      </w:pPr>
      <w:r>
        <w:rPr>
          <w:color w:val="4472C4"/>
          <w:sz w:val="22"/>
          <w:szCs w:val="22"/>
        </w:rPr>
        <w:t>AHEAD Model Transition</w:t>
      </w:r>
    </w:p>
    <w:p w14:paraId="4D0AF27D"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HSCRC staff provided an update on Maryland’s participation in the AHEAD Model, which began January 1, 2026. Key elements included:</w:t>
      </w:r>
    </w:p>
    <w:p w14:paraId="38057DE7" w14:textId="77777777" w:rsidR="002D67B9" w:rsidRDefault="002D67B9" w:rsidP="002D67B9">
      <w:pPr>
        <w:numPr>
          <w:ilvl w:val="0"/>
          <w:numId w:val="10"/>
        </w:numPr>
        <w:pBdr>
          <w:top w:val="nil"/>
          <w:left w:val="nil"/>
          <w:bottom w:val="nil"/>
          <w:right w:val="nil"/>
          <w:between w:val="nil"/>
        </w:pBdr>
        <w:spacing w:line="276" w:lineRule="auto"/>
        <w:rPr>
          <w:sz w:val="22"/>
          <w:szCs w:val="22"/>
        </w:rPr>
      </w:pPr>
      <w:r>
        <w:rPr>
          <w:sz w:val="22"/>
          <w:szCs w:val="22"/>
        </w:rPr>
        <w:t>CMS will begin setting Medicare FFS global budgets in 2028.</w:t>
      </w:r>
    </w:p>
    <w:p w14:paraId="45BBCE40" w14:textId="77777777" w:rsidR="002D67B9" w:rsidRDefault="002D67B9" w:rsidP="002D67B9">
      <w:pPr>
        <w:numPr>
          <w:ilvl w:val="0"/>
          <w:numId w:val="10"/>
        </w:numPr>
        <w:pBdr>
          <w:top w:val="nil"/>
          <w:left w:val="nil"/>
          <w:bottom w:val="nil"/>
          <w:right w:val="nil"/>
          <w:between w:val="nil"/>
        </w:pBdr>
        <w:spacing w:line="276" w:lineRule="auto"/>
        <w:rPr>
          <w:sz w:val="22"/>
          <w:szCs w:val="22"/>
        </w:rPr>
      </w:pPr>
      <w:r>
        <w:rPr>
          <w:sz w:val="22"/>
          <w:szCs w:val="22"/>
        </w:rPr>
        <w:t>The State will continue setting all‑payer hospital global budgets during PY1–PY2 (2026–2027).</w:t>
      </w:r>
    </w:p>
    <w:p w14:paraId="50E44417" w14:textId="77777777" w:rsidR="002D67B9" w:rsidRDefault="002D67B9" w:rsidP="002D67B9">
      <w:pPr>
        <w:numPr>
          <w:ilvl w:val="0"/>
          <w:numId w:val="10"/>
        </w:numPr>
        <w:pBdr>
          <w:top w:val="nil"/>
          <w:left w:val="nil"/>
          <w:bottom w:val="nil"/>
          <w:right w:val="nil"/>
          <w:between w:val="nil"/>
        </w:pBdr>
        <w:spacing w:line="276" w:lineRule="auto"/>
        <w:rPr>
          <w:sz w:val="22"/>
          <w:szCs w:val="22"/>
        </w:rPr>
      </w:pPr>
      <w:r>
        <w:rPr>
          <w:sz w:val="22"/>
          <w:szCs w:val="22"/>
        </w:rPr>
        <w:t>Between 2028–2030, the State may redirect a portion of the Medicare global budget in a revenue‑neutral manner to smooth the transition.</w:t>
      </w:r>
    </w:p>
    <w:p w14:paraId="60151433" w14:textId="77777777" w:rsidR="002D67B9" w:rsidRDefault="002D67B9" w:rsidP="002D67B9">
      <w:pPr>
        <w:numPr>
          <w:ilvl w:val="0"/>
          <w:numId w:val="10"/>
        </w:numPr>
        <w:pBdr>
          <w:top w:val="nil"/>
          <w:left w:val="nil"/>
          <w:bottom w:val="nil"/>
          <w:right w:val="nil"/>
          <w:between w:val="nil"/>
        </w:pBdr>
        <w:spacing w:after="200" w:line="276" w:lineRule="auto"/>
        <w:rPr>
          <w:sz w:val="22"/>
          <w:szCs w:val="22"/>
        </w:rPr>
      </w:pPr>
      <w:r>
        <w:rPr>
          <w:sz w:val="22"/>
          <w:szCs w:val="22"/>
        </w:rPr>
        <w:t>Maryland must achieve $460M in additional Medicare FFS savings between PY1–PY7 (through 2032).</w:t>
      </w:r>
    </w:p>
    <w:p w14:paraId="23B4CD4F" w14:textId="77777777" w:rsidR="002D67B9" w:rsidRDefault="002D67B9" w:rsidP="002D67B9">
      <w:pPr>
        <w:pBdr>
          <w:top w:val="nil"/>
          <w:left w:val="nil"/>
          <w:bottom w:val="nil"/>
          <w:right w:val="nil"/>
          <w:between w:val="nil"/>
        </w:pBdr>
        <w:spacing w:after="200" w:line="276" w:lineRule="auto"/>
        <w:rPr>
          <w:color w:val="4472C4"/>
          <w:sz w:val="22"/>
          <w:szCs w:val="22"/>
        </w:rPr>
      </w:pPr>
      <w:r>
        <w:rPr>
          <w:color w:val="4472C4"/>
          <w:sz w:val="22"/>
          <w:szCs w:val="22"/>
        </w:rPr>
        <w:t>CY 2026 PMWG Priorities &amp; RY 2028 Quality Policies</w:t>
      </w:r>
    </w:p>
    <w:p w14:paraId="6A350EF0"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Staff reviewed development timelines for QBR, MHAC, RRIP and ED Best Practices programs and discussed CY 2026 priorities, including alignment with CMS programs, evaluating non‑Medicare measure strategies, and collaboration on statewide dashboards.</w:t>
      </w:r>
    </w:p>
    <w:p w14:paraId="108AF2B8" w14:textId="77777777" w:rsidR="002D67B9" w:rsidRDefault="002D67B9" w:rsidP="002D67B9">
      <w:pPr>
        <w:spacing w:after="200" w:line="276" w:lineRule="auto"/>
        <w:rPr>
          <w:color w:val="4472C4"/>
          <w:sz w:val="22"/>
          <w:szCs w:val="22"/>
        </w:rPr>
      </w:pPr>
      <w:r>
        <w:rPr>
          <w:color w:val="4472C4"/>
          <w:sz w:val="22"/>
          <w:szCs w:val="22"/>
        </w:rPr>
        <w:t>Grouper Transition (RY 2028)</w:t>
      </w:r>
    </w:p>
    <w:p w14:paraId="3D8E350A" w14:textId="77777777" w:rsidR="002D67B9" w:rsidRDefault="002D67B9" w:rsidP="002D67B9">
      <w:pPr>
        <w:spacing w:after="200" w:line="276" w:lineRule="auto"/>
        <w:rPr>
          <w:sz w:val="22"/>
          <w:szCs w:val="22"/>
        </w:rPr>
      </w:pPr>
      <w:r>
        <w:rPr>
          <w:sz w:val="22"/>
          <w:szCs w:val="22"/>
        </w:rPr>
        <w:t xml:space="preserve">Updates were provided on the shift to </w:t>
      </w:r>
      <w:proofErr w:type="spellStart"/>
      <w:r>
        <w:rPr>
          <w:sz w:val="22"/>
          <w:szCs w:val="22"/>
        </w:rPr>
        <w:t>Solventum</w:t>
      </w:r>
      <w:r>
        <w:rPr>
          <w:sz w:val="22"/>
          <w:szCs w:val="22"/>
          <w:vertAlign w:val="superscript"/>
        </w:rPr>
        <w:t>TM</w:t>
      </w:r>
      <w:proofErr w:type="spellEnd"/>
      <w:r>
        <w:rPr>
          <w:sz w:val="22"/>
          <w:szCs w:val="22"/>
        </w:rPr>
        <w:t xml:space="preserve"> APR/PPC Version 43 for quality programs, including timelines for base years, performance periods, and implementation dates.</w:t>
      </w:r>
    </w:p>
    <w:p w14:paraId="1395A351" w14:textId="77777777" w:rsidR="002D67B9" w:rsidRDefault="002D67B9" w:rsidP="002D67B9">
      <w:pPr>
        <w:spacing w:line="276" w:lineRule="auto"/>
        <w:rPr>
          <w:color w:val="4472C4"/>
          <w:sz w:val="22"/>
          <w:szCs w:val="22"/>
        </w:rPr>
      </w:pPr>
      <w:r>
        <w:br w:type="page"/>
      </w:r>
    </w:p>
    <w:p w14:paraId="6EA7165E" w14:textId="77777777" w:rsidR="002D67B9" w:rsidRDefault="002D67B9" w:rsidP="002D67B9">
      <w:pPr>
        <w:spacing w:after="200" w:line="276" w:lineRule="auto"/>
        <w:rPr>
          <w:color w:val="4472C4"/>
          <w:sz w:val="22"/>
          <w:szCs w:val="22"/>
        </w:rPr>
      </w:pPr>
      <w:r>
        <w:rPr>
          <w:color w:val="4472C4"/>
          <w:sz w:val="22"/>
          <w:szCs w:val="22"/>
        </w:rPr>
        <w:lastRenderedPageBreak/>
        <w:t>Alignment Prioritization</w:t>
      </w:r>
    </w:p>
    <w:p w14:paraId="1B11F9FB" w14:textId="77777777" w:rsidR="002D67B9" w:rsidRDefault="002D67B9" w:rsidP="002D67B9">
      <w:pPr>
        <w:spacing w:after="200" w:line="276" w:lineRule="auto"/>
        <w:rPr>
          <w:sz w:val="22"/>
          <w:szCs w:val="22"/>
        </w:rPr>
      </w:pPr>
      <w:r>
        <w:rPr>
          <w:sz w:val="22"/>
          <w:szCs w:val="22"/>
        </w:rPr>
        <w:t>Staff outlined the approach for alignment across QBR, MHAC, and RRIP, including measure updates, domain weighting, and digital measures reporting incentives.</w:t>
      </w:r>
    </w:p>
    <w:p w14:paraId="1BAFBFF8" w14:textId="77777777" w:rsidR="002D67B9" w:rsidRDefault="002D67B9" w:rsidP="002D67B9">
      <w:pPr>
        <w:spacing w:after="200" w:line="276" w:lineRule="auto"/>
        <w:rPr>
          <w:color w:val="4472C4"/>
          <w:sz w:val="22"/>
          <w:szCs w:val="22"/>
        </w:rPr>
      </w:pPr>
      <w:r>
        <w:rPr>
          <w:color w:val="4472C4"/>
          <w:sz w:val="22"/>
          <w:szCs w:val="22"/>
        </w:rPr>
        <w:t>ED LOS Update</w:t>
      </w:r>
    </w:p>
    <w:p w14:paraId="40643FE5" w14:textId="77777777" w:rsidR="002D67B9" w:rsidRDefault="002D67B9" w:rsidP="002D67B9">
      <w:pPr>
        <w:spacing w:after="200" w:line="276" w:lineRule="auto"/>
        <w:rPr>
          <w:sz w:val="22"/>
          <w:szCs w:val="22"/>
        </w:rPr>
      </w:pPr>
      <w:r>
        <w:rPr>
          <w:sz w:val="22"/>
          <w:szCs w:val="22"/>
        </w:rPr>
        <w:t xml:space="preserve">Staff reviewed performance data for CY 2025, </w:t>
      </w:r>
      <w:proofErr w:type="gramStart"/>
      <w:r>
        <w:rPr>
          <w:sz w:val="22"/>
          <w:szCs w:val="22"/>
        </w:rPr>
        <w:t>noting</w:t>
      </w:r>
      <w:proofErr w:type="gramEnd"/>
      <w:r>
        <w:rPr>
          <w:sz w:val="22"/>
          <w:szCs w:val="22"/>
        </w:rPr>
        <w:t xml:space="preserve"> final CY 2025 data will be available in April 2026.</w:t>
      </w:r>
    </w:p>
    <w:p w14:paraId="60F413E0" w14:textId="77777777" w:rsidR="002D67B9" w:rsidRDefault="002D67B9" w:rsidP="002D67B9">
      <w:pPr>
        <w:spacing w:after="200" w:line="276" w:lineRule="auto"/>
        <w:rPr>
          <w:sz w:val="22"/>
          <w:szCs w:val="22"/>
        </w:rPr>
      </w:pPr>
      <w:r>
        <w:rPr>
          <w:sz w:val="22"/>
          <w:szCs w:val="22"/>
        </w:rPr>
        <w:t>Key points included:</w:t>
      </w:r>
    </w:p>
    <w:p w14:paraId="0EAB507E" w14:textId="77777777" w:rsidR="002D67B9" w:rsidRDefault="002D67B9" w:rsidP="002D67B9">
      <w:pPr>
        <w:numPr>
          <w:ilvl w:val="0"/>
          <w:numId w:val="3"/>
        </w:numPr>
        <w:spacing w:line="276" w:lineRule="auto"/>
        <w:rPr>
          <w:sz w:val="22"/>
          <w:szCs w:val="22"/>
        </w:rPr>
      </w:pPr>
      <w:r>
        <w:rPr>
          <w:sz w:val="22"/>
          <w:szCs w:val="22"/>
        </w:rPr>
        <w:t>Improvement goals for RYs 2027 and 2028 will remain consistent with prior years.</w:t>
      </w:r>
    </w:p>
    <w:p w14:paraId="5D3BBCA0" w14:textId="77777777" w:rsidR="002D67B9" w:rsidRDefault="002D67B9" w:rsidP="002D67B9">
      <w:pPr>
        <w:numPr>
          <w:ilvl w:val="0"/>
          <w:numId w:val="3"/>
        </w:numPr>
        <w:spacing w:line="276" w:lineRule="auto"/>
        <w:rPr>
          <w:sz w:val="22"/>
          <w:szCs w:val="22"/>
        </w:rPr>
      </w:pPr>
      <w:r>
        <w:rPr>
          <w:sz w:val="22"/>
          <w:szCs w:val="22"/>
        </w:rPr>
        <w:t>Risk‑adjustment methodology will not be implemented for RY 2027–2028.</w:t>
      </w:r>
    </w:p>
    <w:p w14:paraId="57C03192" w14:textId="77777777" w:rsidR="002D67B9" w:rsidRDefault="002D67B9" w:rsidP="002D67B9">
      <w:pPr>
        <w:numPr>
          <w:ilvl w:val="0"/>
          <w:numId w:val="3"/>
        </w:numPr>
        <w:spacing w:after="200" w:line="276" w:lineRule="auto"/>
        <w:rPr>
          <w:sz w:val="22"/>
          <w:szCs w:val="22"/>
        </w:rPr>
      </w:pPr>
      <w:r>
        <w:rPr>
          <w:sz w:val="22"/>
          <w:szCs w:val="22"/>
        </w:rPr>
        <w:t>Development of an ED LOS dashboard is ongoing, with Version 1 expected in April/May 2026.</w:t>
      </w:r>
    </w:p>
    <w:p w14:paraId="033A9A04" w14:textId="77777777" w:rsidR="002D67B9" w:rsidRDefault="002D67B9" w:rsidP="002D67B9">
      <w:pPr>
        <w:spacing w:after="200" w:line="276" w:lineRule="auto"/>
        <w:rPr>
          <w:b/>
          <w:bCs/>
          <w:color w:val="4472C4"/>
          <w:sz w:val="24"/>
          <w:szCs w:val="24"/>
        </w:rPr>
      </w:pPr>
      <w:r>
        <w:rPr>
          <w:b/>
          <w:bCs/>
          <w:color w:val="4472C4"/>
          <w:sz w:val="24"/>
          <w:szCs w:val="24"/>
        </w:rPr>
        <w:t>Audit and Integrity Update</w:t>
      </w:r>
    </w:p>
    <w:p w14:paraId="7A33351C" w14:textId="77777777" w:rsidR="002D67B9" w:rsidRDefault="002D67B9" w:rsidP="002D67B9">
      <w:pPr>
        <w:spacing w:after="200" w:line="276" w:lineRule="auto"/>
        <w:rPr>
          <w:color w:val="4472C4"/>
          <w:sz w:val="22"/>
          <w:szCs w:val="22"/>
        </w:rPr>
      </w:pPr>
      <w:r>
        <w:rPr>
          <w:color w:val="4472C4"/>
          <w:sz w:val="22"/>
          <w:szCs w:val="22"/>
        </w:rPr>
        <w:t>Labor &amp; Delivery Rate Center RVU Workgroup</w:t>
      </w:r>
    </w:p>
    <w:p w14:paraId="19897314" w14:textId="77777777" w:rsidR="002D67B9" w:rsidRDefault="002D67B9" w:rsidP="002D67B9">
      <w:pPr>
        <w:spacing w:after="200" w:line="276" w:lineRule="auto"/>
        <w:rPr>
          <w:sz w:val="22"/>
          <w:szCs w:val="22"/>
        </w:rPr>
      </w:pPr>
      <w:r>
        <w:rPr>
          <w:sz w:val="22"/>
          <w:szCs w:val="22"/>
        </w:rPr>
        <w:t>A technical workgroup convened in November 2025 to review potential updates to Relative Value Units (RVUs) for the Labor &amp; Delivery Rate Center. Updates are intended to remain revenue‑neutral. Hospital clinicians or reimbursement staff wishing to participate were encouraged to contact HSCRC.</w:t>
      </w:r>
    </w:p>
    <w:p w14:paraId="49109311" w14:textId="77777777" w:rsidR="002D67B9" w:rsidRDefault="002D67B9" w:rsidP="002D67B9">
      <w:pPr>
        <w:spacing w:after="200" w:line="276" w:lineRule="auto"/>
        <w:rPr>
          <w:color w:val="4472C4"/>
          <w:sz w:val="22"/>
          <w:szCs w:val="22"/>
        </w:rPr>
      </w:pPr>
      <w:r>
        <w:rPr>
          <w:color w:val="4472C4"/>
          <w:sz w:val="22"/>
          <w:szCs w:val="22"/>
        </w:rPr>
        <w:t>Updated Regulations for Hospital Financial Assistance</w:t>
      </w:r>
    </w:p>
    <w:p w14:paraId="1BE6D3FC" w14:textId="77777777" w:rsidR="002D67B9" w:rsidRDefault="002D67B9" w:rsidP="002D67B9">
      <w:pPr>
        <w:spacing w:after="200" w:line="276" w:lineRule="auto"/>
        <w:rPr>
          <w:sz w:val="22"/>
          <w:szCs w:val="22"/>
        </w:rPr>
      </w:pPr>
      <w:r>
        <w:rPr>
          <w:sz w:val="22"/>
          <w:szCs w:val="22"/>
        </w:rPr>
        <w:t>New regulations were promulgated December 11, 2025, requiring updated financial assistance policies by April 30, 2026. Revisions include expanded eligibility regardless of citizenship status and updated forms available on the HSCRC website.</w:t>
      </w:r>
    </w:p>
    <w:p w14:paraId="015F381A" w14:textId="77777777" w:rsidR="002D67B9" w:rsidRDefault="002D67B9" w:rsidP="002D67B9">
      <w:pPr>
        <w:spacing w:after="200" w:line="276" w:lineRule="auto"/>
        <w:rPr>
          <w:b/>
          <w:bCs/>
          <w:color w:val="4472C4"/>
          <w:sz w:val="24"/>
          <w:szCs w:val="24"/>
        </w:rPr>
      </w:pPr>
      <w:r>
        <w:rPr>
          <w:b/>
          <w:bCs/>
          <w:color w:val="4472C4"/>
          <w:sz w:val="24"/>
          <w:szCs w:val="24"/>
        </w:rPr>
        <w:t>Financial Data Update</w:t>
      </w:r>
    </w:p>
    <w:p w14:paraId="3CF7F0D9" w14:textId="77777777" w:rsidR="002D67B9" w:rsidRDefault="002D67B9" w:rsidP="002D67B9">
      <w:pPr>
        <w:pBdr>
          <w:top w:val="nil"/>
          <w:left w:val="nil"/>
          <w:bottom w:val="nil"/>
          <w:right w:val="nil"/>
          <w:between w:val="nil"/>
        </w:pBdr>
        <w:spacing w:after="200" w:line="276" w:lineRule="auto"/>
        <w:rPr>
          <w:color w:val="4472C4"/>
          <w:sz w:val="22"/>
          <w:szCs w:val="22"/>
        </w:rPr>
      </w:pPr>
      <w:r>
        <w:rPr>
          <w:color w:val="4472C4"/>
          <w:sz w:val="22"/>
          <w:szCs w:val="22"/>
        </w:rPr>
        <w:t>Kaiser Permanente (KP) &amp; Medicaid Variables</w:t>
      </w:r>
    </w:p>
    <w:p w14:paraId="0EDF7F8A"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Staff introduced new variable requirements in response to KP patient volume redistribution and the AHEAD model.  Hospitals must report new data elements beginning with January–February 2026 submissions, due March 30, 2026.  Additionally, FY 2026 Q3 reconciliation reports (due June 8, 2026) must incorporate the new variables.</w:t>
      </w:r>
    </w:p>
    <w:p w14:paraId="2F2C93BF" w14:textId="77777777" w:rsidR="002D67B9" w:rsidRDefault="002D67B9" w:rsidP="002D67B9">
      <w:pPr>
        <w:spacing w:after="200" w:line="276" w:lineRule="auto"/>
        <w:rPr>
          <w:b/>
          <w:bCs/>
          <w:color w:val="4472C4"/>
          <w:sz w:val="24"/>
          <w:szCs w:val="24"/>
        </w:rPr>
      </w:pPr>
      <w:r>
        <w:br w:type="page"/>
      </w:r>
    </w:p>
    <w:p w14:paraId="5C2CCC38" w14:textId="77777777" w:rsidR="002D67B9" w:rsidRDefault="002D67B9" w:rsidP="002D67B9">
      <w:pPr>
        <w:spacing w:after="200" w:line="276" w:lineRule="auto"/>
        <w:rPr>
          <w:b/>
          <w:bCs/>
          <w:color w:val="4472C4"/>
          <w:sz w:val="24"/>
          <w:szCs w:val="24"/>
        </w:rPr>
      </w:pPr>
      <w:r>
        <w:rPr>
          <w:b/>
          <w:bCs/>
          <w:color w:val="4472C4"/>
          <w:sz w:val="24"/>
          <w:szCs w:val="24"/>
        </w:rPr>
        <w:lastRenderedPageBreak/>
        <w:t>Reminders</w:t>
      </w:r>
    </w:p>
    <w:p w14:paraId="3DA36546"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Several program reminders were reviewed:</w:t>
      </w:r>
    </w:p>
    <w:p w14:paraId="4070FB9B" w14:textId="77777777" w:rsidR="002D67B9" w:rsidRDefault="002D67B9" w:rsidP="002D67B9">
      <w:pPr>
        <w:numPr>
          <w:ilvl w:val="0"/>
          <w:numId w:val="2"/>
        </w:numPr>
        <w:pBdr>
          <w:top w:val="nil"/>
          <w:left w:val="nil"/>
          <w:bottom w:val="nil"/>
          <w:right w:val="nil"/>
          <w:between w:val="nil"/>
        </w:pBdr>
        <w:spacing w:line="276" w:lineRule="auto"/>
        <w:rPr>
          <w:sz w:val="22"/>
          <w:szCs w:val="22"/>
        </w:rPr>
      </w:pPr>
      <w:r>
        <w:rPr>
          <w:sz w:val="22"/>
          <w:szCs w:val="22"/>
        </w:rPr>
        <w:t>CDS‑A report is available on the CRISP portal for proactive error resolution.</w:t>
      </w:r>
    </w:p>
    <w:p w14:paraId="49714698" w14:textId="77777777" w:rsidR="002D67B9" w:rsidRDefault="002D67B9" w:rsidP="002D67B9">
      <w:pPr>
        <w:numPr>
          <w:ilvl w:val="0"/>
          <w:numId w:val="2"/>
        </w:numPr>
        <w:pBdr>
          <w:top w:val="nil"/>
          <w:left w:val="nil"/>
          <w:bottom w:val="nil"/>
          <w:right w:val="nil"/>
          <w:between w:val="nil"/>
        </w:pBdr>
        <w:spacing w:line="276" w:lineRule="auto"/>
        <w:rPr>
          <w:sz w:val="22"/>
          <w:szCs w:val="22"/>
        </w:rPr>
      </w:pPr>
      <w:r>
        <w:rPr>
          <w:sz w:val="22"/>
          <w:szCs w:val="22"/>
        </w:rPr>
        <w:t>Complete the Data Forum survey distributed via SurveyMonkey.</w:t>
      </w:r>
    </w:p>
    <w:p w14:paraId="19AE1488" w14:textId="77777777" w:rsidR="002D67B9" w:rsidRDefault="002D67B9" w:rsidP="002D67B9">
      <w:pPr>
        <w:numPr>
          <w:ilvl w:val="0"/>
          <w:numId w:val="2"/>
        </w:numPr>
        <w:pBdr>
          <w:top w:val="nil"/>
          <w:left w:val="nil"/>
          <w:bottom w:val="nil"/>
          <w:right w:val="nil"/>
          <w:between w:val="nil"/>
        </w:pBdr>
        <w:spacing w:after="200" w:line="276" w:lineRule="auto"/>
        <w:rPr>
          <w:sz w:val="22"/>
          <w:szCs w:val="22"/>
        </w:rPr>
      </w:pPr>
      <w:r>
        <w:rPr>
          <w:sz w:val="22"/>
          <w:szCs w:val="22"/>
        </w:rPr>
        <w:t>FY 2025 Annual Filing (Schedule CCS) requirements and deadlines were reiterated.</w:t>
      </w:r>
    </w:p>
    <w:p w14:paraId="46565AAE" w14:textId="77777777" w:rsidR="002D67B9" w:rsidRDefault="002D67B9" w:rsidP="002D67B9">
      <w:pPr>
        <w:pBdr>
          <w:top w:val="nil"/>
          <w:left w:val="nil"/>
          <w:bottom w:val="nil"/>
          <w:right w:val="nil"/>
          <w:between w:val="nil"/>
        </w:pBdr>
        <w:spacing w:after="200" w:line="276" w:lineRule="auto"/>
        <w:rPr>
          <w:b/>
          <w:bCs/>
          <w:color w:val="4472C4"/>
          <w:sz w:val="24"/>
          <w:szCs w:val="24"/>
        </w:rPr>
      </w:pPr>
      <w:r>
        <w:rPr>
          <w:b/>
          <w:bCs/>
          <w:color w:val="4472C4"/>
          <w:sz w:val="24"/>
          <w:szCs w:val="24"/>
        </w:rPr>
        <w:t>Insurance Denials Workgroup Update</w:t>
      </w:r>
    </w:p>
    <w:p w14:paraId="79E1A4AB"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The subgroup met multiple times between October 2025 and February 2026. Consensus was reached on:</w:t>
      </w:r>
    </w:p>
    <w:p w14:paraId="60771DB2" w14:textId="77777777" w:rsidR="002D67B9" w:rsidRDefault="002D67B9" w:rsidP="002D67B9">
      <w:pPr>
        <w:numPr>
          <w:ilvl w:val="0"/>
          <w:numId w:val="1"/>
        </w:numPr>
        <w:pBdr>
          <w:top w:val="nil"/>
          <w:left w:val="nil"/>
          <w:bottom w:val="nil"/>
          <w:right w:val="nil"/>
          <w:between w:val="nil"/>
        </w:pBdr>
        <w:spacing w:line="276" w:lineRule="auto"/>
        <w:rPr>
          <w:sz w:val="22"/>
          <w:szCs w:val="22"/>
        </w:rPr>
      </w:pPr>
      <w:r>
        <w:rPr>
          <w:sz w:val="22"/>
          <w:szCs w:val="22"/>
        </w:rPr>
        <w:t>Initial vs. final denial definitions</w:t>
      </w:r>
    </w:p>
    <w:p w14:paraId="54BB0CF4" w14:textId="77777777" w:rsidR="002D67B9" w:rsidRDefault="002D67B9" w:rsidP="002D67B9">
      <w:pPr>
        <w:numPr>
          <w:ilvl w:val="0"/>
          <w:numId w:val="1"/>
        </w:numPr>
        <w:pBdr>
          <w:top w:val="nil"/>
          <w:left w:val="nil"/>
          <w:bottom w:val="nil"/>
          <w:right w:val="nil"/>
          <w:between w:val="nil"/>
        </w:pBdr>
        <w:spacing w:line="276" w:lineRule="auto"/>
        <w:rPr>
          <w:sz w:val="22"/>
          <w:szCs w:val="22"/>
        </w:rPr>
      </w:pPr>
      <w:r>
        <w:rPr>
          <w:sz w:val="22"/>
          <w:szCs w:val="22"/>
        </w:rPr>
        <w:t>Denial reason categories</w:t>
      </w:r>
    </w:p>
    <w:p w14:paraId="26ECDDEF" w14:textId="77777777" w:rsidR="002D67B9" w:rsidRDefault="002D67B9" w:rsidP="002D67B9">
      <w:pPr>
        <w:numPr>
          <w:ilvl w:val="0"/>
          <w:numId w:val="1"/>
        </w:numPr>
        <w:pBdr>
          <w:top w:val="nil"/>
          <w:left w:val="nil"/>
          <w:bottom w:val="nil"/>
          <w:right w:val="nil"/>
          <w:between w:val="nil"/>
        </w:pBdr>
        <w:spacing w:line="276" w:lineRule="auto"/>
        <w:rPr>
          <w:sz w:val="22"/>
          <w:szCs w:val="22"/>
        </w:rPr>
      </w:pPr>
      <w:r>
        <w:rPr>
          <w:sz w:val="22"/>
          <w:szCs w:val="22"/>
        </w:rPr>
        <w:t>Revised reporting template</w:t>
      </w:r>
    </w:p>
    <w:p w14:paraId="680AE5E0" w14:textId="77777777" w:rsidR="002D67B9" w:rsidRDefault="002D67B9" w:rsidP="002D67B9">
      <w:pPr>
        <w:numPr>
          <w:ilvl w:val="0"/>
          <w:numId w:val="1"/>
        </w:numPr>
        <w:pBdr>
          <w:top w:val="nil"/>
          <w:left w:val="nil"/>
          <w:bottom w:val="nil"/>
          <w:right w:val="nil"/>
          <w:between w:val="nil"/>
        </w:pBdr>
        <w:spacing w:after="200" w:line="276" w:lineRule="auto"/>
        <w:rPr>
          <w:sz w:val="22"/>
          <w:szCs w:val="22"/>
        </w:rPr>
      </w:pPr>
      <w:r>
        <w:rPr>
          <w:sz w:val="22"/>
          <w:szCs w:val="22"/>
        </w:rPr>
        <w:t>Timeline for historical data submissions and FY 2027 routine reporting</w:t>
      </w:r>
    </w:p>
    <w:p w14:paraId="0521AA3B"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A detailed data element description and sample template were reviewed.</w:t>
      </w:r>
    </w:p>
    <w:p w14:paraId="778C4377" w14:textId="77777777" w:rsidR="002D67B9" w:rsidRDefault="002D67B9" w:rsidP="002D67B9">
      <w:pPr>
        <w:pBdr>
          <w:top w:val="nil"/>
          <w:left w:val="nil"/>
          <w:bottom w:val="nil"/>
          <w:right w:val="nil"/>
          <w:between w:val="nil"/>
        </w:pBdr>
        <w:spacing w:after="200" w:line="276" w:lineRule="auto"/>
        <w:rPr>
          <w:b/>
          <w:bCs/>
          <w:color w:val="4472C4"/>
          <w:sz w:val="24"/>
          <w:szCs w:val="24"/>
        </w:rPr>
      </w:pPr>
      <w:r>
        <w:rPr>
          <w:b/>
          <w:bCs/>
          <w:color w:val="4472C4"/>
          <w:sz w:val="24"/>
          <w:szCs w:val="24"/>
        </w:rPr>
        <w:t>Data Processing Update</w:t>
      </w:r>
    </w:p>
    <w:p w14:paraId="5B05289C"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Beginning January 1, 2026:</w:t>
      </w:r>
    </w:p>
    <w:p w14:paraId="6FF3D697" w14:textId="77777777" w:rsidR="002D67B9" w:rsidRDefault="002D67B9" w:rsidP="002D67B9">
      <w:pPr>
        <w:numPr>
          <w:ilvl w:val="0"/>
          <w:numId w:val="6"/>
        </w:numPr>
        <w:pBdr>
          <w:top w:val="nil"/>
          <w:left w:val="nil"/>
          <w:bottom w:val="nil"/>
          <w:right w:val="nil"/>
          <w:between w:val="nil"/>
        </w:pBdr>
        <w:spacing w:line="276" w:lineRule="auto"/>
        <w:rPr>
          <w:sz w:val="22"/>
          <w:szCs w:val="22"/>
        </w:rPr>
      </w:pPr>
      <w:r>
        <w:rPr>
          <w:sz w:val="22"/>
          <w:szCs w:val="22"/>
        </w:rPr>
        <w:t>New file naming rules apply for Experience, FSA, and FSB submissions.</w:t>
      </w:r>
    </w:p>
    <w:p w14:paraId="787C4A99" w14:textId="77777777" w:rsidR="002D67B9" w:rsidRDefault="002D67B9" w:rsidP="002D67B9">
      <w:pPr>
        <w:numPr>
          <w:ilvl w:val="0"/>
          <w:numId w:val="6"/>
        </w:numPr>
        <w:pBdr>
          <w:top w:val="nil"/>
          <w:left w:val="nil"/>
          <w:bottom w:val="nil"/>
          <w:right w:val="nil"/>
          <w:between w:val="nil"/>
        </w:pBdr>
        <w:spacing w:line="276" w:lineRule="auto"/>
        <w:rPr>
          <w:sz w:val="22"/>
          <w:szCs w:val="22"/>
        </w:rPr>
      </w:pPr>
      <w:r>
        <w:rPr>
          <w:sz w:val="22"/>
          <w:szCs w:val="22"/>
        </w:rPr>
        <w:t>Metadata must match file names exactly; beginning March 12, 2026, mismatches will trigger file rejection.</w:t>
      </w:r>
    </w:p>
    <w:p w14:paraId="5346D793" w14:textId="77777777" w:rsidR="002D67B9" w:rsidRDefault="002D67B9" w:rsidP="002D67B9">
      <w:pPr>
        <w:numPr>
          <w:ilvl w:val="0"/>
          <w:numId w:val="6"/>
        </w:numPr>
        <w:pBdr>
          <w:top w:val="nil"/>
          <w:left w:val="nil"/>
          <w:bottom w:val="nil"/>
          <w:right w:val="nil"/>
          <w:between w:val="nil"/>
        </w:pBdr>
        <w:spacing w:line="276" w:lineRule="auto"/>
        <w:rPr>
          <w:sz w:val="22"/>
          <w:szCs w:val="22"/>
        </w:rPr>
      </w:pPr>
      <w:r>
        <w:rPr>
          <w:sz w:val="22"/>
          <w:szCs w:val="22"/>
        </w:rPr>
        <w:t>Automated file rejection notices are now being issued for common errors (naming, submission channel, data integrity, metadata issues).</w:t>
      </w:r>
    </w:p>
    <w:p w14:paraId="5FC91651" w14:textId="77777777" w:rsidR="002D67B9" w:rsidRDefault="002D67B9" w:rsidP="002D67B9">
      <w:pPr>
        <w:numPr>
          <w:ilvl w:val="0"/>
          <w:numId w:val="6"/>
        </w:numPr>
        <w:pBdr>
          <w:top w:val="nil"/>
          <w:left w:val="nil"/>
          <w:bottom w:val="nil"/>
          <w:right w:val="nil"/>
          <w:between w:val="nil"/>
        </w:pBdr>
        <w:spacing w:line="276" w:lineRule="auto"/>
        <w:rPr>
          <w:sz w:val="22"/>
          <w:szCs w:val="22"/>
        </w:rPr>
      </w:pPr>
      <w:r>
        <w:rPr>
          <w:sz w:val="22"/>
          <w:szCs w:val="22"/>
        </w:rPr>
        <w:t>New validation checks apply to all submissions for FY 2026 forward.</w:t>
      </w:r>
    </w:p>
    <w:p w14:paraId="4069FB31" w14:textId="77777777" w:rsidR="002D67B9" w:rsidRDefault="002D67B9" w:rsidP="002D67B9">
      <w:pPr>
        <w:numPr>
          <w:ilvl w:val="0"/>
          <w:numId w:val="6"/>
        </w:numPr>
        <w:pBdr>
          <w:top w:val="nil"/>
          <w:left w:val="nil"/>
          <w:bottom w:val="nil"/>
          <w:right w:val="nil"/>
          <w:between w:val="nil"/>
        </w:pBdr>
        <w:spacing w:after="200" w:line="276" w:lineRule="auto"/>
        <w:rPr>
          <w:sz w:val="22"/>
          <w:szCs w:val="22"/>
        </w:rPr>
      </w:pPr>
      <w:r>
        <w:rPr>
          <w:sz w:val="22"/>
          <w:szCs w:val="22"/>
        </w:rPr>
        <w:t>2‑Factor Authentication (2FA) will be implemented platform‑wide by Q3 2026.</w:t>
      </w:r>
    </w:p>
    <w:p w14:paraId="3CD65181" w14:textId="77777777" w:rsidR="002D67B9" w:rsidRDefault="002D67B9" w:rsidP="002D67B9">
      <w:pPr>
        <w:pBdr>
          <w:top w:val="nil"/>
          <w:left w:val="nil"/>
          <w:bottom w:val="nil"/>
          <w:right w:val="nil"/>
          <w:between w:val="nil"/>
        </w:pBdr>
        <w:spacing w:after="200" w:line="276" w:lineRule="auto"/>
        <w:rPr>
          <w:color w:val="4472C4"/>
          <w:sz w:val="22"/>
          <w:szCs w:val="22"/>
        </w:rPr>
      </w:pPr>
      <w:r>
        <w:rPr>
          <w:color w:val="4472C4"/>
          <w:sz w:val="22"/>
          <w:szCs w:val="22"/>
        </w:rPr>
        <w:t>Data Processing Reminders</w:t>
      </w:r>
    </w:p>
    <w:p w14:paraId="05019F61" w14:textId="77777777" w:rsidR="002D67B9" w:rsidRDefault="002D67B9" w:rsidP="002D67B9">
      <w:pPr>
        <w:numPr>
          <w:ilvl w:val="0"/>
          <w:numId w:val="5"/>
        </w:numPr>
        <w:pBdr>
          <w:top w:val="nil"/>
          <w:left w:val="nil"/>
          <w:bottom w:val="nil"/>
          <w:right w:val="nil"/>
          <w:between w:val="nil"/>
        </w:pBdr>
        <w:spacing w:line="276" w:lineRule="auto"/>
        <w:rPr>
          <w:sz w:val="22"/>
          <w:szCs w:val="22"/>
        </w:rPr>
      </w:pPr>
      <w:r>
        <w:rPr>
          <w:sz w:val="22"/>
          <w:szCs w:val="22"/>
        </w:rPr>
        <w:t>Rate Center Trend Monitoring Report is now available in Case Mix error reports.</w:t>
      </w:r>
    </w:p>
    <w:p w14:paraId="2A4BF3BA" w14:textId="77777777" w:rsidR="002D67B9" w:rsidRDefault="002D67B9" w:rsidP="002D67B9">
      <w:pPr>
        <w:numPr>
          <w:ilvl w:val="0"/>
          <w:numId w:val="5"/>
        </w:numPr>
        <w:pBdr>
          <w:top w:val="nil"/>
          <w:left w:val="nil"/>
          <w:bottom w:val="nil"/>
          <w:right w:val="nil"/>
          <w:between w:val="nil"/>
        </w:pBdr>
        <w:spacing w:line="276" w:lineRule="auto"/>
        <w:rPr>
          <w:sz w:val="22"/>
          <w:szCs w:val="22"/>
        </w:rPr>
      </w:pPr>
      <w:r>
        <w:rPr>
          <w:sz w:val="22"/>
          <w:szCs w:val="22"/>
        </w:rPr>
        <w:t>EHR Survey updates are required every six months via DAVE.</w:t>
      </w:r>
    </w:p>
    <w:p w14:paraId="3ED1F5D8" w14:textId="77777777" w:rsidR="002D67B9" w:rsidRDefault="002D67B9" w:rsidP="002D67B9">
      <w:pPr>
        <w:numPr>
          <w:ilvl w:val="0"/>
          <w:numId w:val="5"/>
        </w:numPr>
        <w:pBdr>
          <w:top w:val="nil"/>
          <w:left w:val="nil"/>
          <w:bottom w:val="nil"/>
          <w:right w:val="nil"/>
          <w:between w:val="nil"/>
        </w:pBdr>
        <w:spacing w:after="200" w:line="276" w:lineRule="auto"/>
        <w:rPr>
          <w:sz w:val="22"/>
          <w:szCs w:val="22"/>
        </w:rPr>
      </w:pPr>
      <w:r>
        <w:rPr>
          <w:sz w:val="22"/>
          <w:szCs w:val="22"/>
        </w:rPr>
        <w:t xml:space="preserve">Hospitals should maintain current DAVE user access through </w:t>
      </w:r>
      <w:proofErr w:type="spellStart"/>
      <w:r>
        <w:rPr>
          <w:sz w:val="22"/>
          <w:szCs w:val="22"/>
        </w:rPr>
        <w:t>hMetrix</w:t>
      </w:r>
      <w:proofErr w:type="spellEnd"/>
      <w:r>
        <w:rPr>
          <w:sz w:val="22"/>
          <w:szCs w:val="22"/>
        </w:rPr>
        <w:t>.</w:t>
      </w:r>
    </w:p>
    <w:p w14:paraId="17D1400E" w14:textId="77777777" w:rsidR="002D67B9" w:rsidRDefault="002D67B9" w:rsidP="002D67B9">
      <w:pPr>
        <w:spacing w:after="200" w:line="276" w:lineRule="auto"/>
        <w:rPr>
          <w:b/>
          <w:bCs/>
          <w:color w:val="4472C4"/>
          <w:sz w:val="24"/>
          <w:szCs w:val="24"/>
        </w:rPr>
      </w:pPr>
      <w:r>
        <w:rPr>
          <w:b/>
          <w:bCs/>
          <w:color w:val="4472C4"/>
          <w:sz w:val="24"/>
          <w:szCs w:val="24"/>
        </w:rPr>
        <w:t>Case Mix Audit Update</w:t>
      </w:r>
    </w:p>
    <w:p w14:paraId="519311BB"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Staff highlighted ongoing reminders:</w:t>
      </w:r>
    </w:p>
    <w:p w14:paraId="121C1910" w14:textId="77777777" w:rsidR="002D67B9" w:rsidRDefault="002D67B9" w:rsidP="002D67B9">
      <w:pPr>
        <w:numPr>
          <w:ilvl w:val="0"/>
          <w:numId w:val="4"/>
        </w:numPr>
        <w:pBdr>
          <w:top w:val="nil"/>
          <w:left w:val="nil"/>
          <w:bottom w:val="nil"/>
          <w:right w:val="nil"/>
          <w:between w:val="nil"/>
        </w:pBdr>
        <w:spacing w:line="276" w:lineRule="auto"/>
        <w:rPr>
          <w:sz w:val="22"/>
          <w:szCs w:val="22"/>
        </w:rPr>
      </w:pPr>
      <w:r>
        <w:rPr>
          <w:sz w:val="22"/>
          <w:szCs w:val="22"/>
        </w:rPr>
        <w:lastRenderedPageBreak/>
        <w:t xml:space="preserve">Attention to new July 1, </w:t>
      </w:r>
      <w:proofErr w:type="gramStart"/>
      <w:r>
        <w:rPr>
          <w:sz w:val="22"/>
          <w:szCs w:val="22"/>
        </w:rPr>
        <w:t>2024</w:t>
      </w:r>
      <w:proofErr w:type="gramEnd"/>
      <w:r>
        <w:rPr>
          <w:sz w:val="22"/>
          <w:szCs w:val="22"/>
        </w:rPr>
        <w:t xml:space="preserve"> variables (e.g., ED arrival/departure times, inpatient arrival).</w:t>
      </w:r>
    </w:p>
    <w:p w14:paraId="5AFA4464" w14:textId="77777777" w:rsidR="002D67B9" w:rsidRDefault="002D67B9" w:rsidP="002D67B9">
      <w:pPr>
        <w:numPr>
          <w:ilvl w:val="0"/>
          <w:numId w:val="4"/>
        </w:numPr>
        <w:pBdr>
          <w:top w:val="nil"/>
          <w:left w:val="nil"/>
          <w:bottom w:val="nil"/>
          <w:right w:val="nil"/>
          <w:between w:val="nil"/>
        </w:pBdr>
        <w:spacing w:after="200" w:line="276" w:lineRule="auto"/>
        <w:rPr>
          <w:sz w:val="22"/>
          <w:szCs w:val="22"/>
        </w:rPr>
      </w:pPr>
      <w:r>
        <w:rPr>
          <w:sz w:val="22"/>
          <w:szCs w:val="22"/>
        </w:rPr>
        <w:t>Monitoring of ED duration and NPI accuracy.</w:t>
      </w:r>
    </w:p>
    <w:p w14:paraId="4E1E9867"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These elements continue to be focus areas for audit and compliance reviews.</w:t>
      </w:r>
    </w:p>
    <w:p w14:paraId="06C98CBA" w14:textId="77777777" w:rsidR="002D67B9" w:rsidRDefault="002D67B9" w:rsidP="002D67B9">
      <w:pPr>
        <w:spacing w:after="200" w:line="276" w:lineRule="auto"/>
        <w:rPr>
          <w:b/>
          <w:bCs/>
          <w:color w:val="4472C4"/>
          <w:sz w:val="24"/>
          <w:szCs w:val="24"/>
        </w:rPr>
      </w:pPr>
      <w:r>
        <w:rPr>
          <w:b/>
          <w:bCs/>
          <w:color w:val="4472C4"/>
          <w:sz w:val="24"/>
          <w:szCs w:val="24"/>
        </w:rPr>
        <w:t>Upcoming Workgroups</w:t>
      </w:r>
    </w:p>
    <w:p w14:paraId="7D285EDC"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Staff provided timelines and next meeting dates for:</w:t>
      </w:r>
    </w:p>
    <w:p w14:paraId="10CC0CF8" w14:textId="77777777" w:rsidR="002D67B9" w:rsidRDefault="002D67B9" w:rsidP="002D67B9">
      <w:pPr>
        <w:numPr>
          <w:ilvl w:val="0"/>
          <w:numId w:val="8"/>
        </w:numPr>
        <w:pBdr>
          <w:top w:val="nil"/>
          <w:left w:val="nil"/>
          <w:bottom w:val="nil"/>
          <w:right w:val="nil"/>
          <w:between w:val="nil"/>
        </w:pBdr>
        <w:spacing w:line="276" w:lineRule="auto"/>
        <w:rPr>
          <w:sz w:val="22"/>
          <w:szCs w:val="22"/>
        </w:rPr>
      </w:pPr>
      <w:r>
        <w:rPr>
          <w:sz w:val="22"/>
          <w:szCs w:val="22"/>
        </w:rPr>
        <w:t>AHEAD All‑Payer TCOC TAC</w:t>
      </w:r>
    </w:p>
    <w:p w14:paraId="7F1A410F" w14:textId="77777777" w:rsidR="002D67B9" w:rsidRDefault="002D67B9" w:rsidP="002D67B9">
      <w:pPr>
        <w:numPr>
          <w:ilvl w:val="0"/>
          <w:numId w:val="8"/>
        </w:numPr>
        <w:pBdr>
          <w:top w:val="nil"/>
          <w:left w:val="nil"/>
          <w:bottom w:val="nil"/>
          <w:right w:val="nil"/>
          <w:between w:val="nil"/>
        </w:pBdr>
        <w:spacing w:line="276" w:lineRule="auto"/>
        <w:rPr>
          <w:sz w:val="22"/>
          <w:szCs w:val="22"/>
        </w:rPr>
      </w:pPr>
      <w:r>
        <w:rPr>
          <w:sz w:val="22"/>
          <w:szCs w:val="22"/>
        </w:rPr>
        <w:t>Insurance Denials Workgroup</w:t>
      </w:r>
    </w:p>
    <w:p w14:paraId="2D3EDAC8" w14:textId="77777777" w:rsidR="002D67B9" w:rsidRDefault="002D67B9" w:rsidP="002D67B9">
      <w:pPr>
        <w:numPr>
          <w:ilvl w:val="0"/>
          <w:numId w:val="8"/>
        </w:numPr>
        <w:pBdr>
          <w:top w:val="nil"/>
          <w:left w:val="nil"/>
          <w:bottom w:val="nil"/>
          <w:right w:val="nil"/>
          <w:between w:val="nil"/>
        </w:pBdr>
        <w:spacing w:line="276" w:lineRule="auto"/>
        <w:rPr>
          <w:sz w:val="22"/>
          <w:szCs w:val="22"/>
        </w:rPr>
      </w:pPr>
      <w:r>
        <w:rPr>
          <w:sz w:val="22"/>
          <w:szCs w:val="22"/>
        </w:rPr>
        <w:t>Payment Models Workgroup</w:t>
      </w:r>
    </w:p>
    <w:p w14:paraId="5F5BE7B9" w14:textId="77777777" w:rsidR="002D67B9" w:rsidRDefault="002D67B9" w:rsidP="002D67B9">
      <w:pPr>
        <w:numPr>
          <w:ilvl w:val="0"/>
          <w:numId w:val="8"/>
        </w:numPr>
        <w:pBdr>
          <w:top w:val="nil"/>
          <w:left w:val="nil"/>
          <w:bottom w:val="nil"/>
          <w:right w:val="nil"/>
          <w:between w:val="nil"/>
        </w:pBdr>
        <w:spacing w:line="276" w:lineRule="auto"/>
        <w:rPr>
          <w:sz w:val="22"/>
          <w:szCs w:val="22"/>
        </w:rPr>
      </w:pPr>
      <w:r>
        <w:rPr>
          <w:sz w:val="22"/>
          <w:szCs w:val="22"/>
        </w:rPr>
        <w:t>Performance Measurement Workgroup (including subgroups)</w:t>
      </w:r>
    </w:p>
    <w:p w14:paraId="63D57F78" w14:textId="77777777" w:rsidR="002D67B9" w:rsidRDefault="002D67B9" w:rsidP="002D67B9">
      <w:pPr>
        <w:numPr>
          <w:ilvl w:val="0"/>
          <w:numId w:val="8"/>
        </w:numPr>
        <w:pBdr>
          <w:top w:val="nil"/>
          <w:left w:val="nil"/>
          <w:bottom w:val="nil"/>
          <w:right w:val="nil"/>
          <w:between w:val="nil"/>
        </w:pBdr>
        <w:spacing w:line="276" w:lineRule="auto"/>
        <w:rPr>
          <w:sz w:val="22"/>
          <w:szCs w:val="22"/>
        </w:rPr>
      </w:pPr>
      <w:r>
        <w:rPr>
          <w:sz w:val="22"/>
          <w:szCs w:val="22"/>
        </w:rPr>
        <w:t>Total Cost of Care Workgroup</w:t>
      </w:r>
    </w:p>
    <w:p w14:paraId="10880194" w14:textId="77777777" w:rsidR="002D67B9" w:rsidRDefault="002D67B9" w:rsidP="002D67B9">
      <w:pPr>
        <w:numPr>
          <w:ilvl w:val="0"/>
          <w:numId w:val="8"/>
        </w:numPr>
        <w:pBdr>
          <w:top w:val="nil"/>
          <w:left w:val="nil"/>
          <w:bottom w:val="nil"/>
          <w:right w:val="nil"/>
          <w:between w:val="nil"/>
        </w:pBdr>
        <w:spacing w:after="200" w:line="276" w:lineRule="auto"/>
        <w:rPr>
          <w:sz w:val="22"/>
          <w:szCs w:val="22"/>
        </w:rPr>
      </w:pPr>
      <w:r>
        <w:rPr>
          <w:sz w:val="22"/>
          <w:szCs w:val="22"/>
        </w:rPr>
        <w:t>Volume Technical Subgroup</w:t>
      </w:r>
    </w:p>
    <w:p w14:paraId="4CB13C38" w14:textId="77777777" w:rsidR="002D67B9" w:rsidRDefault="002D67B9" w:rsidP="002D67B9">
      <w:pPr>
        <w:pBdr>
          <w:top w:val="nil"/>
          <w:left w:val="nil"/>
          <w:bottom w:val="nil"/>
          <w:right w:val="nil"/>
          <w:between w:val="nil"/>
        </w:pBdr>
        <w:spacing w:after="200" w:line="276" w:lineRule="auto"/>
        <w:rPr>
          <w:sz w:val="22"/>
          <w:szCs w:val="22"/>
        </w:rPr>
      </w:pPr>
      <w:r>
        <w:rPr>
          <w:sz w:val="22"/>
          <w:szCs w:val="22"/>
        </w:rPr>
        <w:t>Meeting schedule details and contact information were provided.</w:t>
      </w:r>
    </w:p>
    <w:p w14:paraId="466005B0" w14:textId="77777777" w:rsidR="002D67B9" w:rsidRDefault="002D67B9" w:rsidP="002D67B9">
      <w:pPr>
        <w:spacing w:after="200" w:line="276" w:lineRule="auto"/>
        <w:rPr>
          <w:b/>
          <w:bCs/>
          <w:color w:val="4472C4"/>
          <w:sz w:val="24"/>
          <w:szCs w:val="24"/>
        </w:rPr>
      </w:pPr>
      <w:r>
        <w:rPr>
          <w:b/>
          <w:bCs/>
          <w:color w:val="4472C4"/>
          <w:sz w:val="24"/>
          <w:szCs w:val="24"/>
        </w:rPr>
        <w:t>Next Meeting</w:t>
      </w:r>
    </w:p>
    <w:p w14:paraId="6CC70681" w14:textId="77777777" w:rsidR="002D67B9" w:rsidRDefault="002D67B9" w:rsidP="002D67B9">
      <w:pPr>
        <w:spacing w:after="200" w:line="276" w:lineRule="auto"/>
        <w:rPr>
          <w:sz w:val="22"/>
          <w:szCs w:val="22"/>
        </w:rPr>
      </w:pPr>
      <w:r>
        <w:rPr>
          <w:sz w:val="22"/>
          <w:szCs w:val="22"/>
        </w:rPr>
        <w:t xml:space="preserve">The next Quarterly Data Forum is scheduled for </w:t>
      </w:r>
      <w:r>
        <w:rPr>
          <w:b/>
          <w:bCs/>
          <w:sz w:val="22"/>
          <w:szCs w:val="22"/>
        </w:rPr>
        <w:t xml:space="preserve">June 12, 2026.  </w:t>
      </w:r>
      <w:r>
        <w:rPr>
          <w:sz w:val="22"/>
          <w:szCs w:val="22"/>
        </w:rPr>
        <w:t xml:space="preserve">Meeting materials and slides will be posted to the HSCRC website. If you have any agenda items, please send them to Nancy, Curtis, or </w:t>
      </w:r>
      <w:proofErr w:type="gramStart"/>
      <w:r>
        <w:rPr>
          <w:sz w:val="22"/>
          <w:szCs w:val="22"/>
        </w:rPr>
        <w:t>myself</w:t>
      </w:r>
      <w:proofErr w:type="gramEnd"/>
      <w:r>
        <w:rPr>
          <w:sz w:val="22"/>
          <w:szCs w:val="22"/>
        </w:rPr>
        <w:t xml:space="preserve"> by </w:t>
      </w:r>
      <w:r>
        <w:rPr>
          <w:b/>
          <w:bCs/>
          <w:i/>
          <w:iCs/>
          <w:sz w:val="22"/>
          <w:szCs w:val="22"/>
          <w:u w:val="single"/>
        </w:rPr>
        <w:t>June 3, 2026</w:t>
      </w:r>
      <w:r>
        <w:rPr>
          <w:sz w:val="22"/>
          <w:szCs w:val="22"/>
        </w:rPr>
        <w:t>. If you have any questions or concerns about the topics discussed above, please contact Claudine Williams (Claudine.Williams@maryland.gov), Nancy Chiles Shaffer (nancy.shaffer@maryland.gov), or Curtis Wills (</w:t>
      </w:r>
      <w:hyperlink r:id="rId8">
        <w:r>
          <w:rPr>
            <w:color w:val="1155CC"/>
            <w:sz w:val="22"/>
            <w:szCs w:val="22"/>
            <w:u w:val="single"/>
          </w:rPr>
          <w:t>Curtis.Wills@maryland.gov</w:t>
        </w:r>
      </w:hyperlink>
      <w:r>
        <w:rPr>
          <w:sz w:val="22"/>
          <w:szCs w:val="22"/>
        </w:rPr>
        <w:t>).</w:t>
      </w:r>
    </w:p>
    <w:p w14:paraId="2A516D57" w14:textId="77777777" w:rsidR="002D67B9" w:rsidRDefault="002D67B9" w:rsidP="002D67B9">
      <w:pPr>
        <w:spacing w:after="200" w:line="276" w:lineRule="auto"/>
        <w:rPr>
          <w:b/>
          <w:bCs/>
          <w:color w:val="4472C4"/>
          <w:sz w:val="24"/>
          <w:szCs w:val="24"/>
        </w:rPr>
      </w:pPr>
      <w:r>
        <w:rPr>
          <w:b/>
          <w:bCs/>
          <w:color w:val="4472C4"/>
          <w:sz w:val="24"/>
          <w:szCs w:val="24"/>
        </w:rPr>
        <w:t>Q &amp; A from the Data Forum</w:t>
      </w:r>
    </w:p>
    <w:p w14:paraId="10DC5A6E" w14:textId="77777777" w:rsidR="002D67B9" w:rsidRDefault="002D67B9" w:rsidP="002D67B9">
      <w:pPr>
        <w:numPr>
          <w:ilvl w:val="0"/>
          <w:numId w:val="9"/>
        </w:numPr>
        <w:spacing w:line="276" w:lineRule="auto"/>
        <w:rPr>
          <w:sz w:val="22"/>
          <w:szCs w:val="22"/>
        </w:rPr>
      </w:pPr>
      <w:r>
        <w:rPr>
          <w:b/>
          <w:bCs/>
          <w:sz w:val="22"/>
          <w:szCs w:val="22"/>
        </w:rPr>
        <w:t>Q:</w:t>
      </w:r>
      <w:r>
        <w:rPr>
          <w:sz w:val="22"/>
          <w:szCs w:val="22"/>
        </w:rPr>
        <w:t xml:space="preserve"> When do you expect the RY 2028 QBR Calculator Workbook to be made available in CRISP?</w:t>
      </w:r>
    </w:p>
    <w:p w14:paraId="7085EDCC" w14:textId="77777777" w:rsidR="002D67B9" w:rsidRDefault="002D67B9" w:rsidP="002D67B9">
      <w:pPr>
        <w:numPr>
          <w:ilvl w:val="1"/>
          <w:numId w:val="9"/>
        </w:numPr>
        <w:spacing w:line="276" w:lineRule="auto"/>
        <w:rPr>
          <w:sz w:val="22"/>
          <w:szCs w:val="22"/>
        </w:rPr>
      </w:pPr>
      <w:r>
        <w:rPr>
          <w:b/>
          <w:bCs/>
          <w:sz w:val="22"/>
          <w:szCs w:val="22"/>
        </w:rPr>
        <w:t>A:</w:t>
      </w:r>
      <w:r>
        <w:rPr>
          <w:sz w:val="22"/>
          <w:szCs w:val="22"/>
        </w:rPr>
        <w:t xml:space="preserve"> A workbook with preliminary performance standards will be made available on 4/10/2026. </w:t>
      </w:r>
    </w:p>
    <w:p w14:paraId="5D00A205" w14:textId="77777777" w:rsidR="002D67B9" w:rsidRDefault="002D67B9" w:rsidP="002D67B9">
      <w:pPr>
        <w:numPr>
          <w:ilvl w:val="0"/>
          <w:numId w:val="9"/>
        </w:numPr>
        <w:spacing w:after="160" w:line="276" w:lineRule="auto"/>
        <w:rPr>
          <w:sz w:val="22"/>
          <w:szCs w:val="22"/>
        </w:rPr>
      </w:pPr>
      <w:r>
        <w:rPr>
          <w:b/>
          <w:bCs/>
          <w:sz w:val="24"/>
          <w:szCs w:val="24"/>
        </w:rPr>
        <w:t>Q:</w:t>
      </w:r>
      <w:r>
        <w:rPr>
          <w:sz w:val="24"/>
          <w:szCs w:val="24"/>
        </w:rPr>
        <w:t xml:space="preserve"> This document (Denials Report Timeline FY2026.docx) has 7/31/26 as the due date for Q4 and not 7/30/26.</w:t>
      </w:r>
    </w:p>
    <w:p w14:paraId="7C547DD8" w14:textId="77777777" w:rsidR="002D67B9" w:rsidRDefault="002D67B9" w:rsidP="002D67B9">
      <w:pPr>
        <w:spacing w:after="160" w:line="276" w:lineRule="auto"/>
        <w:rPr>
          <w:sz w:val="24"/>
          <w:szCs w:val="24"/>
        </w:rPr>
      </w:pPr>
      <w:r>
        <w:rPr>
          <w:noProof/>
          <w:sz w:val="24"/>
          <w:szCs w:val="24"/>
        </w:rPr>
        <w:lastRenderedPageBreak/>
        <w:drawing>
          <wp:inline distT="0" distB="0" distL="0" distR="0" wp14:anchorId="7546A50F" wp14:editId="32371933">
            <wp:extent cx="5943600" cy="1271905"/>
            <wp:effectExtent l="0" t="0" r="0" b="0"/>
            <wp:docPr id="1768114048" name="image2.png" descr="[image_0]"/>
            <wp:cNvGraphicFramePr/>
            <a:graphic xmlns:a="http://schemas.openxmlformats.org/drawingml/2006/main">
              <a:graphicData uri="http://schemas.openxmlformats.org/drawingml/2006/picture">
                <pic:pic xmlns:pic="http://schemas.openxmlformats.org/drawingml/2006/picture">
                  <pic:nvPicPr>
                    <pic:cNvPr id="0" name="image2.png" descr="[image_0]"/>
                    <pic:cNvPicPr preferRelativeResize="0"/>
                  </pic:nvPicPr>
                  <pic:blipFill>
                    <a:blip r:embed="rId9"/>
                    <a:srcRect/>
                    <a:stretch>
                      <a:fillRect/>
                    </a:stretch>
                  </pic:blipFill>
                  <pic:spPr>
                    <a:xfrm>
                      <a:off x="0" y="0"/>
                      <a:ext cx="5943600" cy="1271905"/>
                    </a:xfrm>
                    <a:prstGeom prst="rect">
                      <a:avLst/>
                    </a:prstGeom>
                    <a:ln/>
                  </pic:spPr>
                </pic:pic>
              </a:graphicData>
            </a:graphic>
          </wp:inline>
        </w:drawing>
      </w:r>
    </w:p>
    <w:p w14:paraId="506CB41D" w14:textId="77777777" w:rsidR="002D67B9" w:rsidRDefault="002D67B9" w:rsidP="002D67B9">
      <w:pPr>
        <w:numPr>
          <w:ilvl w:val="0"/>
          <w:numId w:val="7"/>
        </w:numPr>
        <w:spacing w:after="160" w:line="276" w:lineRule="auto"/>
        <w:rPr>
          <w:b/>
          <w:bCs/>
          <w:sz w:val="24"/>
          <w:szCs w:val="24"/>
        </w:rPr>
      </w:pPr>
      <w:sdt>
        <w:sdtPr>
          <w:tag w:val="goog_rdk_4"/>
          <w:id w:val="-762837279"/>
        </w:sdtPr>
        <w:sdtContent/>
      </w:sdt>
      <w:r>
        <w:rPr>
          <w:b/>
          <w:bCs/>
          <w:sz w:val="24"/>
          <w:szCs w:val="24"/>
        </w:rPr>
        <w:t>A: The timeline has been updated to reflect the correct due date.</w:t>
      </w:r>
    </w:p>
    <w:p w14:paraId="13F20495" w14:textId="2FAB41E2" w:rsidR="008C2226" w:rsidRPr="000B2E9A" w:rsidRDefault="008C2226" w:rsidP="0047572F"/>
    <w:sectPr w:rsidR="008C2226" w:rsidRPr="000B2E9A">
      <w:headerReference w:type="even" r:id="rId10"/>
      <w:headerReference w:type="default" r:id="rId11"/>
      <w:footerReference w:type="even" r:id="rId12"/>
      <w:footerReference w:type="default" r:id="rId13"/>
      <w:headerReference w:type="first" r:id="rId14"/>
      <w:footerReference w:type="first" r:id="rId15"/>
      <w:pgSz w:w="12240" w:h="15840"/>
      <w:pgMar w:top="2322" w:right="1440" w:bottom="220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1748" w14:textId="77777777" w:rsidR="006334A7" w:rsidRDefault="006334A7">
      <w:r>
        <w:separator/>
      </w:r>
    </w:p>
  </w:endnote>
  <w:endnote w:type="continuationSeparator" w:id="0">
    <w:p w14:paraId="47A3D1DF" w14:textId="77777777" w:rsidR="006334A7" w:rsidRDefault="0063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Raleway Medium">
    <w:altName w:val="Raleway Medium"/>
    <w:charset w:val="00"/>
    <w:family w:val="auto"/>
    <w:pitch w:val="variable"/>
    <w:sig w:usb0="A00002FF" w:usb1="5000205B" w:usb2="00000000" w:usb3="00000000" w:csb0="00000197"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9B0A" w14:textId="77777777" w:rsidR="007267EF"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91EBE5B" w14:textId="77777777" w:rsidR="007267EF" w:rsidRDefault="007267E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F0F3" w14:textId="1B44A8DE" w:rsidR="007267EF" w:rsidRDefault="00000000">
    <w:pPr>
      <w:pBdr>
        <w:top w:val="nil"/>
        <w:left w:val="nil"/>
        <w:bottom w:val="nil"/>
        <w:right w:val="nil"/>
        <w:between w:val="nil"/>
      </w:pBdr>
      <w:tabs>
        <w:tab w:val="center" w:pos="4680"/>
        <w:tab w:val="right" w:pos="9360"/>
      </w:tabs>
      <w:rPr>
        <w:rFonts w:ascii="Raleway Medium" w:eastAsia="Raleway Medium" w:hAnsi="Raleway Medium" w:cs="Raleway Medium"/>
        <w:color w:val="003889"/>
        <w:sz w:val="16"/>
        <w:szCs w:val="16"/>
      </w:rPr>
    </w:pPr>
    <w:r>
      <w:rPr>
        <w:rFonts w:ascii="Raleway Medium" w:eastAsia="Raleway Medium" w:hAnsi="Raleway Medium" w:cs="Raleway Medium"/>
        <w:color w:val="003889"/>
        <w:sz w:val="16"/>
        <w:szCs w:val="16"/>
      </w:rPr>
      <w:fldChar w:fldCharType="begin"/>
    </w:r>
    <w:r>
      <w:rPr>
        <w:rFonts w:ascii="Raleway Medium" w:eastAsia="Raleway Medium" w:hAnsi="Raleway Medium" w:cs="Raleway Medium"/>
        <w:color w:val="003889"/>
        <w:sz w:val="16"/>
        <w:szCs w:val="16"/>
      </w:rPr>
      <w:instrText>PAGE</w:instrText>
    </w:r>
    <w:r>
      <w:rPr>
        <w:rFonts w:ascii="Raleway Medium" w:eastAsia="Raleway Medium" w:hAnsi="Raleway Medium" w:cs="Raleway Medium"/>
        <w:color w:val="003889"/>
        <w:sz w:val="16"/>
        <w:szCs w:val="16"/>
      </w:rPr>
      <w:fldChar w:fldCharType="separate"/>
    </w:r>
    <w:r w:rsidR="008C2226">
      <w:rPr>
        <w:rFonts w:ascii="Raleway Medium" w:eastAsia="Raleway Medium" w:hAnsi="Raleway Medium" w:cs="Raleway Medium"/>
        <w:noProof/>
        <w:color w:val="003889"/>
        <w:sz w:val="16"/>
        <w:szCs w:val="16"/>
      </w:rPr>
      <w:t>2</w:t>
    </w:r>
    <w:r>
      <w:rPr>
        <w:rFonts w:ascii="Raleway Medium" w:eastAsia="Raleway Medium" w:hAnsi="Raleway Medium" w:cs="Raleway Medium"/>
        <w:color w:val="003889"/>
        <w:sz w:val="16"/>
        <w:szCs w:val="16"/>
      </w:rPr>
      <w:fldChar w:fldCharType="end"/>
    </w:r>
  </w:p>
  <w:p w14:paraId="422B893F" w14:textId="77777777" w:rsidR="007267EF" w:rsidRDefault="00000000">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55168" behindDoc="0" locked="0" layoutInCell="1" hidden="0" allowOverlap="1" wp14:anchorId="75EA3D58" wp14:editId="3640622A">
          <wp:simplePos x="0" y="0"/>
          <wp:positionH relativeFrom="column">
            <wp:posOffset>6038950</wp:posOffset>
          </wp:positionH>
          <wp:positionV relativeFrom="paragraph">
            <wp:posOffset>-105409</wp:posOffset>
          </wp:positionV>
          <wp:extent cx="279400" cy="114300"/>
          <wp:effectExtent l="0" t="0" r="0" b="0"/>
          <wp:wrapSquare wrapText="bothSides" distT="0" distB="0" distL="114300" distR="114300"/>
          <wp:docPr id="6218320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p w14:paraId="1B3D102E" w14:textId="77777777" w:rsidR="007267EF" w:rsidRDefault="007267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07C3" w14:textId="77777777" w:rsidR="007267EF" w:rsidRDefault="00000000">
    <w:pPr>
      <w:pBdr>
        <w:top w:val="nil"/>
        <w:left w:val="nil"/>
        <w:bottom w:val="nil"/>
        <w:right w:val="nil"/>
        <w:between w:val="nil"/>
      </w:pBdr>
      <w:tabs>
        <w:tab w:val="center" w:pos="4680"/>
        <w:tab w:val="right" w:pos="9360"/>
        <w:tab w:val="right" w:pos="2819"/>
      </w:tabs>
      <w:rPr>
        <w:color w:val="000000"/>
      </w:rPr>
    </w:pPr>
    <w:r>
      <w:rPr>
        <w:noProof/>
      </w:rPr>
      <mc:AlternateContent>
        <mc:Choice Requires="wps">
          <w:drawing>
            <wp:anchor distT="0" distB="0" distL="0" distR="0" simplePos="0" relativeHeight="251656192" behindDoc="1" locked="0" layoutInCell="1" hidden="0" allowOverlap="1" wp14:anchorId="1E8BD2FC" wp14:editId="7529E0F0">
              <wp:simplePos x="0" y="0"/>
              <wp:positionH relativeFrom="column">
                <wp:posOffset>-901699</wp:posOffset>
              </wp:positionH>
              <wp:positionV relativeFrom="paragraph">
                <wp:posOffset>-279399</wp:posOffset>
              </wp:positionV>
              <wp:extent cx="7767955" cy="499745"/>
              <wp:effectExtent l="0" t="0" r="0" b="0"/>
              <wp:wrapNone/>
              <wp:docPr id="40" name="Rectangle 40"/>
              <wp:cNvGraphicFramePr/>
              <a:graphic xmlns:a="http://schemas.openxmlformats.org/drawingml/2006/main">
                <a:graphicData uri="http://schemas.microsoft.com/office/word/2010/wordprocessingShape">
                  <wps:wsp>
                    <wps:cNvSpPr/>
                    <wps:spPr>
                      <a:xfrm>
                        <a:off x="1466785" y="3534890"/>
                        <a:ext cx="7758430" cy="490220"/>
                      </a:xfrm>
                      <a:prstGeom prst="rect">
                        <a:avLst/>
                      </a:prstGeom>
                      <a:noFill/>
                      <a:ln>
                        <a:noFill/>
                      </a:ln>
                    </wps:spPr>
                    <wps:txbx>
                      <w:txbxContent>
                        <w:p w14:paraId="5569FF68" w14:textId="77777777" w:rsidR="007267EF" w:rsidRDefault="00000000">
                          <w:pPr>
                            <w:spacing w:after="60"/>
                            <w:jc w:val="center"/>
                            <w:textDirection w:val="btLr"/>
                          </w:pPr>
                          <w:r>
                            <w:rPr>
                              <w:b/>
                              <w:color w:val="003889"/>
                              <w:sz w:val="17"/>
                            </w:rPr>
                            <w:t>The Health Services Cost Review Commission is an independent agency of the State of Maryland</w:t>
                          </w:r>
                        </w:p>
                        <w:p w14:paraId="5E781EE8" w14:textId="77777777" w:rsidR="007267EF" w:rsidRDefault="00000000">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w:t>
                          </w:r>
                          <w:proofErr w:type="gramStart"/>
                          <w:r>
                            <w:rPr>
                              <w:color w:val="003889"/>
                              <w:sz w:val="17"/>
                            </w:rPr>
                            <w:t>Avenue  |</w:t>
                          </w:r>
                          <w:proofErr w:type="gramEnd"/>
                          <w:r>
                            <w:rPr>
                              <w:color w:val="003889"/>
                              <w:sz w:val="17"/>
                            </w:rPr>
                            <w:t xml:space="preserve">  Baltimore, MD 21215          hscrc.maryland.gov</w:t>
                          </w:r>
                        </w:p>
                        <w:p w14:paraId="41469A39" w14:textId="77777777" w:rsidR="007267EF" w:rsidRDefault="007267EF">
                          <w:pPr>
                            <w:textDirection w:val="btLr"/>
                          </w:pPr>
                        </w:p>
                      </w:txbxContent>
                    </wps:txbx>
                    <wps:bodyPr spcFirstLastPara="1" wrap="square" lIns="1097275" tIns="91425" rIns="1097275" bIns="45700" anchor="t" anchorCtr="0">
                      <a:noAutofit/>
                    </wps:bodyPr>
                  </wps:wsp>
                </a:graphicData>
              </a:graphic>
            </wp:anchor>
          </w:drawing>
        </mc:Choice>
        <mc:Fallback>
          <w:pict>
            <v:rect w14:anchorId="1E8BD2FC" id="Rectangle 40" o:spid="_x0000_s1029" style="position:absolute;margin-left:-71pt;margin-top:-22pt;width:611.65pt;height:39.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" filled="f" stroked="f">
              <v:textbox inset="30.47986mm,2.53958mm,30.47986mm,1.2694mm">
                <w:txbxContent>
                  <w:p w14:paraId="5569FF68" w14:textId="77777777" w:rsidR="007267EF" w:rsidRDefault="00000000">
                    <w:pPr>
                      <w:spacing w:after="60"/>
                      <w:jc w:val="center"/>
                      <w:textDirection w:val="btLr"/>
                    </w:pPr>
                    <w:r>
                      <w:rPr>
                        <w:b/>
                        <w:color w:val="003889"/>
                        <w:sz w:val="17"/>
                      </w:rPr>
                      <w:t>The Health Services Cost Review Commission is an independent agency of the State of Maryland</w:t>
                    </w:r>
                  </w:p>
                  <w:p w14:paraId="5E781EE8" w14:textId="77777777" w:rsidR="007267EF" w:rsidRDefault="00000000">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w:t>
                    </w:r>
                    <w:proofErr w:type="gramStart"/>
                    <w:r>
                      <w:rPr>
                        <w:color w:val="003889"/>
                        <w:sz w:val="17"/>
                      </w:rPr>
                      <w:t>Avenue  |</w:t>
                    </w:r>
                    <w:proofErr w:type="gramEnd"/>
                    <w:r>
                      <w:rPr>
                        <w:color w:val="003889"/>
                        <w:sz w:val="17"/>
                      </w:rPr>
                      <w:t xml:space="preserve">  Baltimore, MD 21215          hscrc.maryland.gov</w:t>
                    </w:r>
                  </w:p>
                  <w:p w14:paraId="41469A39" w14:textId="77777777" w:rsidR="007267EF" w:rsidRDefault="007267EF">
                    <w:pPr>
                      <w:textDirection w:val="btLr"/>
                    </w:pPr>
                  </w:p>
                </w:txbxContent>
              </v:textbox>
            </v:rect>
          </w:pict>
        </mc:Fallback>
      </mc:AlternateContent>
    </w:r>
    <w:r>
      <w:rPr>
        <w:noProof/>
      </w:rPr>
      <w:drawing>
        <wp:anchor distT="0" distB="0" distL="114300" distR="114300" simplePos="0" relativeHeight="251657216" behindDoc="0" locked="0" layoutInCell="1" hidden="0" allowOverlap="1" wp14:anchorId="62A75DC2" wp14:editId="49C4BE02">
          <wp:simplePos x="0" y="0"/>
          <wp:positionH relativeFrom="column">
            <wp:posOffset>1936361</wp:posOffset>
          </wp:positionH>
          <wp:positionV relativeFrom="paragraph">
            <wp:posOffset>-15874</wp:posOffset>
          </wp:positionV>
          <wp:extent cx="279400" cy="114300"/>
          <wp:effectExtent l="0" t="0" r="0" b="0"/>
          <wp:wrapSquare wrapText="bothSides" distT="0" distB="0" distL="114300" distR="114300"/>
          <wp:docPr id="363752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1BBA2719" wp14:editId="4F7AB1CA">
          <wp:simplePos x="0" y="0"/>
          <wp:positionH relativeFrom="column">
            <wp:posOffset>4516755</wp:posOffset>
          </wp:positionH>
          <wp:positionV relativeFrom="paragraph">
            <wp:posOffset>-15239</wp:posOffset>
          </wp:positionV>
          <wp:extent cx="279400" cy="114300"/>
          <wp:effectExtent l="0" t="0" r="0" b="0"/>
          <wp:wrapSquare wrapText="bothSides" distT="0" distB="0" distL="114300" distR="114300"/>
          <wp:docPr id="1768114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F43F" w14:textId="77777777" w:rsidR="006334A7" w:rsidRDefault="006334A7">
      <w:r>
        <w:separator/>
      </w:r>
    </w:p>
  </w:footnote>
  <w:footnote w:type="continuationSeparator" w:id="0">
    <w:p w14:paraId="2923FBBC" w14:textId="77777777" w:rsidR="006334A7" w:rsidRDefault="0063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BACA" w14:textId="77777777" w:rsidR="007267EF" w:rsidRDefault="00000000">
    <w:pPr>
      <w:pBdr>
        <w:top w:val="nil"/>
        <w:left w:val="nil"/>
        <w:bottom w:val="nil"/>
        <w:right w:val="nil"/>
        <w:between w:val="nil"/>
      </w:pBdr>
      <w:tabs>
        <w:tab w:val="center" w:pos="4680"/>
        <w:tab w:val="right" w:pos="9360"/>
      </w:tabs>
      <w:rPr>
        <w:color w:val="000000"/>
      </w:rPr>
    </w:pPr>
    <w:r>
      <w:rPr>
        <w:color w:val="000000"/>
      </w:rPr>
      <w:pict w14:anchorId="572AE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95pt;height:792.95pt;z-index:-25165516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6B4E" w14:textId="77777777" w:rsidR="007267EF" w:rsidRDefault="00000000">
    <w:pPr>
      <w:pBdr>
        <w:top w:val="nil"/>
        <w:left w:val="nil"/>
        <w:bottom w:val="nil"/>
        <w:right w:val="nil"/>
        <w:between w:val="nil"/>
      </w:pBdr>
      <w:tabs>
        <w:tab w:val="center" w:pos="4680"/>
        <w:tab w:val="right" w:pos="9360"/>
      </w:tabs>
      <w:ind w:hanging="720"/>
      <w:rPr>
        <w:color w:val="000000"/>
      </w:rPr>
    </w:pPr>
    <w:r>
      <w:rPr>
        <w:color w:val="000000"/>
      </w:rPr>
      <w:pict w14:anchorId="248DF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12.95pt;height:792.95pt;z-index:-25165721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B342" w14:textId="4FFE6CDB" w:rsidR="007267EF" w:rsidRDefault="000B2E9A">
    <w:pPr>
      <w:pBdr>
        <w:top w:val="nil"/>
        <w:left w:val="nil"/>
        <w:bottom w:val="nil"/>
        <w:right w:val="nil"/>
        <w:between w:val="nil"/>
      </w:pBdr>
      <w:tabs>
        <w:tab w:val="center" w:pos="4680"/>
        <w:tab w:val="right" w:pos="9360"/>
        <w:tab w:val="left" w:pos="8115"/>
      </w:tabs>
      <w:ind w:hanging="720"/>
      <w:rPr>
        <w:color w:val="000000"/>
      </w:rPr>
    </w:pPr>
    <w:r>
      <w:rPr>
        <w:noProof/>
        <w:color w:val="000000"/>
      </w:rPr>
      <mc:AlternateContent>
        <mc:Choice Requires="wpg">
          <w:drawing>
            <wp:anchor distT="0" distB="0" distL="114300" distR="114300" simplePos="0" relativeHeight="251653120" behindDoc="0" locked="0" layoutInCell="1" allowOverlap="1" wp14:anchorId="6EA2F82E" wp14:editId="12F2D926">
              <wp:simplePos x="0" y="0"/>
              <wp:positionH relativeFrom="column">
                <wp:posOffset>4791075</wp:posOffset>
              </wp:positionH>
              <wp:positionV relativeFrom="paragraph">
                <wp:posOffset>1009650</wp:posOffset>
              </wp:positionV>
              <wp:extent cx="1876425" cy="3971925"/>
              <wp:effectExtent l="0" t="0" r="0" b="9525"/>
              <wp:wrapSquare wrapText="bothSides"/>
              <wp:docPr id="1035857277" name="Group 3"/>
              <wp:cNvGraphicFramePr/>
              <a:graphic xmlns:a="http://schemas.openxmlformats.org/drawingml/2006/main">
                <a:graphicData uri="http://schemas.microsoft.com/office/word/2010/wordprocessingGroup">
                  <wpg:wgp>
                    <wpg:cNvGrpSpPr/>
                    <wpg:grpSpPr>
                      <a:xfrm>
                        <a:off x="0" y="0"/>
                        <a:ext cx="1876425" cy="3971925"/>
                        <a:chOff x="0" y="0"/>
                        <a:chExt cx="1876425" cy="4110908"/>
                      </a:xfrm>
                    </wpg:grpSpPr>
                    <wps:wsp>
                      <wps:cNvPr id="1358228655" name="Rectangle 803201653"/>
                      <wps:cNvSpPr/>
                      <wps:spPr>
                        <a:xfrm>
                          <a:off x="0" y="0"/>
                          <a:ext cx="1876425" cy="4110908"/>
                        </a:xfrm>
                        <a:prstGeom prst="rect">
                          <a:avLst/>
                        </a:prstGeom>
                        <a:noFill/>
                        <a:ln>
                          <a:noFill/>
                        </a:ln>
                      </wps:spPr>
                      <wps:txbx>
                        <w:txbxContent>
                          <w:p w14:paraId="0B5A44CD" w14:textId="77777777" w:rsidR="001E3A00" w:rsidRDefault="001E3A00" w:rsidP="001E3A00">
                            <w:pPr>
                              <w:textDirection w:val="btLr"/>
                            </w:pPr>
                            <w:r>
                              <w:rPr>
                                <w:b/>
                                <w:color w:val="003889"/>
                                <w:sz w:val="14"/>
                              </w:rPr>
                              <w:t>Joshua Sharfstein, MD</w:t>
                            </w:r>
                          </w:p>
                          <w:p w14:paraId="5B7B4E7C" w14:textId="77777777" w:rsidR="001E3A00" w:rsidRDefault="001E3A00" w:rsidP="001E3A00">
                            <w:pPr>
                              <w:textDirection w:val="btLr"/>
                            </w:pPr>
                            <w:r>
                              <w:rPr>
                                <w:color w:val="003889"/>
                                <w:sz w:val="14"/>
                              </w:rPr>
                              <w:t>Chairman</w:t>
                            </w:r>
                          </w:p>
                          <w:p w14:paraId="247ED8E5" w14:textId="77777777" w:rsidR="001E3A00" w:rsidRDefault="001E3A00" w:rsidP="001E3A00">
                            <w:pPr>
                              <w:textDirection w:val="btLr"/>
                            </w:pPr>
                          </w:p>
                          <w:p w14:paraId="2CAB009F" w14:textId="77777777" w:rsidR="001E3A00" w:rsidRDefault="001E3A00" w:rsidP="001E3A00">
                            <w:pPr>
                              <w:textDirection w:val="btLr"/>
                              <w:rPr>
                                <w:b/>
                                <w:color w:val="003889"/>
                                <w:sz w:val="14"/>
                              </w:rPr>
                            </w:pPr>
                            <w:r>
                              <w:rPr>
                                <w:b/>
                                <w:color w:val="003889"/>
                                <w:sz w:val="14"/>
                              </w:rPr>
                              <w:t>James N. Elliott, MD</w:t>
                            </w:r>
                          </w:p>
                          <w:p w14:paraId="039C79F2" w14:textId="39011D3A" w:rsidR="000A5388" w:rsidRDefault="000A5388" w:rsidP="000A5388">
                            <w:pPr>
                              <w:textDirection w:val="btLr"/>
                            </w:pPr>
                            <w:r>
                              <w:rPr>
                                <w:color w:val="003889"/>
                                <w:sz w:val="14"/>
                              </w:rPr>
                              <w:t>Vice-Chairman</w:t>
                            </w:r>
                          </w:p>
                          <w:p w14:paraId="37439720" w14:textId="77777777" w:rsidR="001E3A00" w:rsidRDefault="001E3A00" w:rsidP="001E3A00">
                            <w:pPr>
                              <w:textDirection w:val="btLr"/>
                            </w:pPr>
                          </w:p>
                          <w:p w14:paraId="129F8F56" w14:textId="1B2DF6FF" w:rsidR="00185268" w:rsidRDefault="00185268" w:rsidP="001E3A00">
                            <w:pPr>
                              <w:textDirection w:val="btLr"/>
                              <w:rPr>
                                <w:b/>
                                <w:color w:val="003889"/>
                                <w:sz w:val="14"/>
                              </w:rPr>
                            </w:pPr>
                            <w:r>
                              <w:rPr>
                                <w:b/>
                                <w:color w:val="003889"/>
                                <w:sz w:val="14"/>
                              </w:rPr>
                              <w:t>Jonathan Bl</w:t>
                            </w:r>
                            <w:r w:rsidR="005124B0">
                              <w:rPr>
                                <w:b/>
                                <w:color w:val="003889"/>
                                <w:sz w:val="14"/>
                              </w:rPr>
                              <w:t>u</w:t>
                            </w:r>
                            <w:r>
                              <w:rPr>
                                <w:b/>
                                <w:color w:val="003889"/>
                                <w:sz w:val="14"/>
                              </w:rPr>
                              <w:t>m, MPP</w:t>
                            </w:r>
                          </w:p>
                          <w:p w14:paraId="5C2D8E0A" w14:textId="77777777" w:rsidR="00185268" w:rsidRDefault="00185268" w:rsidP="001E3A00">
                            <w:pPr>
                              <w:textDirection w:val="btLr"/>
                              <w:rPr>
                                <w:b/>
                                <w:color w:val="003889"/>
                                <w:sz w:val="14"/>
                              </w:rPr>
                            </w:pPr>
                          </w:p>
                          <w:p w14:paraId="3709656A" w14:textId="0E4A8719" w:rsidR="001E3A00" w:rsidRDefault="001E3A00" w:rsidP="001E3A00">
                            <w:pPr>
                              <w:textDirection w:val="btLr"/>
                            </w:pPr>
                            <w:r>
                              <w:rPr>
                                <w:b/>
                                <w:color w:val="003889"/>
                                <w:sz w:val="14"/>
                              </w:rPr>
                              <w:t>Ricardo R. Johnson</w:t>
                            </w:r>
                          </w:p>
                          <w:p w14:paraId="7E847596" w14:textId="77777777" w:rsidR="001E3A00" w:rsidRDefault="001E3A00" w:rsidP="001E3A00">
                            <w:pPr>
                              <w:textDirection w:val="btLr"/>
                            </w:pPr>
                          </w:p>
                          <w:p w14:paraId="25319CBA" w14:textId="48239DB8" w:rsidR="001E3A00" w:rsidRDefault="00182A8B" w:rsidP="001E3A00">
                            <w:pPr>
                              <w:textDirection w:val="btLr"/>
                              <w:rPr>
                                <w:b/>
                                <w:color w:val="003889"/>
                                <w:sz w:val="14"/>
                              </w:rPr>
                            </w:pPr>
                            <w:r w:rsidRPr="00182A8B">
                              <w:rPr>
                                <w:b/>
                                <w:color w:val="003889"/>
                                <w:sz w:val="14"/>
                              </w:rPr>
                              <w:t>David N. Maine</w:t>
                            </w:r>
                            <w:r w:rsidR="002E20A7">
                              <w:rPr>
                                <w:b/>
                                <w:color w:val="003889"/>
                                <w:sz w:val="14"/>
                              </w:rPr>
                              <w:t xml:space="preserve">, </w:t>
                            </w:r>
                            <w:r w:rsidRPr="00182A8B">
                              <w:rPr>
                                <w:b/>
                                <w:color w:val="003889"/>
                                <w:sz w:val="14"/>
                              </w:rPr>
                              <w:t>MD</w:t>
                            </w:r>
                          </w:p>
                          <w:p w14:paraId="05C8DA01" w14:textId="77777777" w:rsidR="00182A8B" w:rsidRDefault="00182A8B" w:rsidP="001E3A00">
                            <w:pPr>
                              <w:textDirection w:val="btLr"/>
                            </w:pPr>
                          </w:p>
                          <w:p w14:paraId="7B565CA4" w14:textId="77777777" w:rsidR="001E3A00" w:rsidRDefault="001E3A00" w:rsidP="001E3A00">
                            <w:pPr>
                              <w:textDirection w:val="btLr"/>
                              <w:rPr>
                                <w:b/>
                                <w:color w:val="003889"/>
                                <w:sz w:val="14"/>
                              </w:rPr>
                            </w:pPr>
                            <w:r>
                              <w:rPr>
                                <w:b/>
                                <w:color w:val="003889"/>
                                <w:sz w:val="14"/>
                              </w:rPr>
                              <w:t>Nicki McCann, JD</w:t>
                            </w:r>
                          </w:p>
                          <w:p w14:paraId="138C707F" w14:textId="77777777" w:rsidR="000B2E9A" w:rsidRDefault="000B2E9A" w:rsidP="001E3A00">
                            <w:pPr>
                              <w:textDirection w:val="btLr"/>
                              <w:rPr>
                                <w:b/>
                                <w:color w:val="003889"/>
                                <w:sz w:val="14"/>
                              </w:rPr>
                            </w:pPr>
                          </w:p>
                          <w:p w14:paraId="426CE2B3" w14:textId="466674A0" w:rsidR="000B2E9A" w:rsidRPr="000B2E9A" w:rsidRDefault="000B2E9A" w:rsidP="001E3A00">
                            <w:pPr>
                              <w:textDirection w:val="btLr"/>
                              <w:rPr>
                                <w:b/>
                                <w:color w:val="003889"/>
                                <w:sz w:val="14"/>
                              </w:rPr>
                            </w:pPr>
                            <w:r w:rsidRPr="000B2E9A">
                              <w:rPr>
                                <w:b/>
                                <w:color w:val="003889"/>
                                <w:sz w:val="14"/>
                              </w:rPr>
                              <w:t>Farzaneh Sabi, MD</w:t>
                            </w:r>
                          </w:p>
                          <w:p w14:paraId="3B2CEDF3" w14:textId="77777777" w:rsidR="001E3A00" w:rsidRDefault="001E3A00" w:rsidP="001E3A00">
                            <w:pPr>
                              <w:textDirection w:val="btLr"/>
                            </w:pPr>
                          </w:p>
                          <w:p w14:paraId="376484CB" w14:textId="77777777" w:rsidR="000B2E9A" w:rsidRDefault="000B2E9A" w:rsidP="001E3A00">
                            <w:pPr>
                              <w:textDirection w:val="btLr"/>
                              <w:rPr>
                                <w:b/>
                                <w:color w:val="003889"/>
                                <w:sz w:val="14"/>
                              </w:rPr>
                            </w:pPr>
                          </w:p>
                          <w:p w14:paraId="1F2888EE" w14:textId="6A0FCC90" w:rsidR="001E3A00" w:rsidRDefault="001E3A00" w:rsidP="001E3A00">
                            <w:pPr>
                              <w:textDirection w:val="btLr"/>
                            </w:pPr>
                            <w:r>
                              <w:rPr>
                                <w:b/>
                                <w:color w:val="003889"/>
                                <w:sz w:val="14"/>
                              </w:rPr>
                              <w:t>Jonathan Kromm, PhD</w:t>
                            </w:r>
                          </w:p>
                          <w:p w14:paraId="7119DE5C" w14:textId="77777777" w:rsidR="001E3A00" w:rsidRDefault="001E3A00" w:rsidP="001E3A00">
                            <w:pPr>
                              <w:textDirection w:val="btLr"/>
                            </w:pPr>
                            <w:r>
                              <w:rPr>
                                <w:color w:val="003889"/>
                                <w:sz w:val="14"/>
                              </w:rPr>
                              <w:t>Executive Director</w:t>
                            </w:r>
                          </w:p>
                          <w:p w14:paraId="08746FB4" w14:textId="77777777" w:rsidR="001E3A00" w:rsidRDefault="001E3A00" w:rsidP="001E3A00">
                            <w:pPr>
                              <w:textDirection w:val="btLr"/>
                            </w:pPr>
                          </w:p>
                          <w:p w14:paraId="75EDFEAA" w14:textId="77777777" w:rsidR="001E3A00" w:rsidRDefault="001E3A00" w:rsidP="001E3A00">
                            <w:pPr>
                              <w:textDirection w:val="btLr"/>
                            </w:pPr>
                            <w:r>
                              <w:rPr>
                                <w:b/>
                                <w:color w:val="003889"/>
                                <w:sz w:val="14"/>
                              </w:rPr>
                              <w:t>William Henderson</w:t>
                            </w:r>
                          </w:p>
                          <w:p w14:paraId="464FBB64" w14:textId="77777777" w:rsidR="001E3A00" w:rsidRDefault="001E3A00" w:rsidP="001E3A00">
                            <w:pPr>
                              <w:textDirection w:val="btLr"/>
                            </w:pPr>
                            <w:r>
                              <w:rPr>
                                <w:color w:val="003889"/>
                                <w:sz w:val="14"/>
                              </w:rPr>
                              <w:t>Director</w:t>
                            </w:r>
                          </w:p>
                          <w:p w14:paraId="7BD4BA13" w14:textId="77777777" w:rsidR="001E3A00" w:rsidRDefault="001E3A00" w:rsidP="001E3A00">
                            <w:pPr>
                              <w:textDirection w:val="btLr"/>
                            </w:pPr>
                            <w:r>
                              <w:rPr>
                                <w:color w:val="003889"/>
                                <w:sz w:val="14"/>
                              </w:rPr>
                              <w:t>Medical Economics &amp; Data Analytics</w:t>
                            </w:r>
                          </w:p>
                          <w:p w14:paraId="2AF3676F" w14:textId="77777777" w:rsidR="001E3A00" w:rsidRDefault="001E3A00" w:rsidP="001E3A00">
                            <w:pPr>
                              <w:textDirection w:val="btLr"/>
                            </w:pPr>
                          </w:p>
                          <w:p w14:paraId="3C66D153" w14:textId="77777777" w:rsidR="001E3A00" w:rsidRDefault="001E3A00" w:rsidP="001E3A00">
                            <w:pPr>
                              <w:textDirection w:val="btLr"/>
                            </w:pPr>
                            <w:r>
                              <w:rPr>
                                <w:b/>
                                <w:color w:val="003889"/>
                                <w:sz w:val="14"/>
                              </w:rPr>
                              <w:t>Gerard J. Schmith</w:t>
                            </w:r>
                          </w:p>
                          <w:p w14:paraId="4F792C20" w14:textId="77777777" w:rsidR="001E3A00" w:rsidRDefault="001E3A00" w:rsidP="001E3A00">
                            <w:pPr>
                              <w:textDirection w:val="btLr"/>
                            </w:pPr>
                            <w:r>
                              <w:rPr>
                                <w:color w:val="003889"/>
                                <w:sz w:val="14"/>
                              </w:rPr>
                              <w:t>Director</w:t>
                            </w:r>
                          </w:p>
                          <w:p w14:paraId="769EB2B2" w14:textId="77777777" w:rsidR="001E3A00" w:rsidRDefault="001E3A00" w:rsidP="001E3A00">
                            <w:pPr>
                              <w:textDirection w:val="btLr"/>
                            </w:pPr>
                            <w:r>
                              <w:rPr>
                                <w:color w:val="003889"/>
                                <w:sz w:val="14"/>
                              </w:rPr>
                              <w:t>Revenue &amp; Regulation Compliance</w:t>
                            </w:r>
                          </w:p>
                          <w:p w14:paraId="413A4628" w14:textId="77777777" w:rsidR="001E3A00" w:rsidRDefault="001E3A00" w:rsidP="001E3A00">
                            <w:pPr>
                              <w:textDirection w:val="btLr"/>
                            </w:pPr>
                          </w:p>
                          <w:p w14:paraId="73A25128" w14:textId="77777777" w:rsidR="001E3A00" w:rsidRDefault="001E3A00" w:rsidP="001E3A00">
                            <w:pPr>
                              <w:textDirection w:val="btLr"/>
                            </w:pPr>
                            <w:r>
                              <w:rPr>
                                <w:b/>
                                <w:color w:val="003889"/>
                                <w:sz w:val="14"/>
                              </w:rPr>
                              <w:t>Claudine Williams</w:t>
                            </w:r>
                          </w:p>
                          <w:p w14:paraId="35106990" w14:textId="77777777" w:rsidR="001E3A00" w:rsidRDefault="001E3A00" w:rsidP="001E3A00">
                            <w:pPr>
                              <w:textDirection w:val="btLr"/>
                            </w:pPr>
                            <w:r>
                              <w:rPr>
                                <w:color w:val="003889"/>
                                <w:sz w:val="14"/>
                              </w:rPr>
                              <w:t>Director</w:t>
                            </w:r>
                          </w:p>
                          <w:p w14:paraId="51AE80DE" w14:textId="77777777" w:rsidR="001E3A00" w:rsidRDefault="001E3A00" w:rsidP="001E3A00">
                            <w:pPr>
                              <w:textDirection w:val="btLr"/>
                            </w:pPr>
                            <w:r>
                              <w:rPr>
                                <w:color w:val="003889"/>
                                <w:sz w:val="14"/>
                              </w:rPr>
                              <w:t>Healthcare Data Management &amp; Integrity</w:t>
                            </w:r>
                          </w:p>
                          <w:p w14:paraId="385FDA7D" w14:textId="77777777" w:rsidR="007267EF" w:rsidRDefault="007267EF">
                            <w:pPr>
                              <w:textDirection w:val="btLr"/>
                            </w:pPr>
                          </w:p>
                          <w:p w14:paraId="504DBB43" w14:textId="77777777" w:rsidR="007267EF" w:rsidRDefault="007267EF">
                            <w:pPr>
                              <w:textDirection w:val="btLr"/>
                            </w:pPr>
                          </w:p>
                          <w:p w14:paraId="5115C89D" w14:textId="77777777" w:rsidR="007267EF" w:rsidRDefault="007267EF">
                            <w:pPr>
                              <w:textDirection w:val="btLr"/>
                            </w:pPr>
                          </w:p>
                        </w:txbxContent>
                      </wps:txbx>
                      <wps:bodyPr spcFirstLastPara="1" wrap="square" lIns="91425" tIns="45700" rIns="91425" bIns="45700" anchor="t" anchorCtr="0">
                        <a:noAutofit/>
                      </wps:bodyPr>
                    </wps:wsp>
                    <pic:pic xmlns:pic="http://schemas.openxmlformats.org/drawingml/2006/picture">
                      <pic:nvPicPr>
                        <pic:cNvPr id="1808809000" name="Shape 3"/>
                        <pic:cNvPicPr/>
                      </pic:nvPicPr>
                      <pic:blipFill>
                        <a:blip r:embed="rId1">
                          <a:alphaModFix/>
                        </a:blip>
                        <a:stretch>
                          <a:fillRect/>
                        </a:stretch>
                      </pic:blipFill>
                      <pic:spPr>
                        <a:xfrm>
                          <a:off x="85725" y="1800225"/>
                          <a:ext cx="1407795" cy="143510"/>
                        </a:xfrm>
                        <a:prstGeom prst="rect">
                          <a:avLst/>
                        </a:prstGeom>
                        <a:noFill/>
                        <a:ln>
                          <a:noFill/>
                        </a:ln>
                      </pic:spPr>
                    </pic:pic>
                  </wpg:wgp>
                </a:graphicData>
              </a:graphic>
              <wp14:sizeRelV relativeFrom="margin">
                <wp14:pctHeight>0</wp14:pctHeight>
              </wp14:sizeRelV>
            </wp:anchor>
          </w:drawing>
        </mc:Choice>
        <mc:Fallback>
          <w:pict>
            <v:group w14:anchorId="6EA2F82E" id="Group 3" o:spid="_x0000_s1026" style="position:absolute;margin-left:377.25pt;margin-top:79.5pt;width:147.75pt;height:312.75pt;z-index:251653120;mso-height-relative:margin" coordsize="18764,41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">
              <v:rect id="Rectangle 803201653" o:spid="_x0000_s1027" style="position:absolute;width:18764;height:4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" filled="f" stroked="f">
                <v:textbox inset="2.53958mm,1.2694mm,2.53958mm,1.2694mm">
                  <w:txbxContent>
                    <w:p w14:paraId="0B5A44CD" w14:textId="77777777" w:rsidR="001E3A00" w:rsidRDefault="001E3A00" w:rsidP="001E3A00">
                      <w:pPr>
                        <w:textDirection w:val="btLr"/>
                      </w:pPr>
                      <w:r>
                        <w:rPr>
                          <w:b/>
                          <w:color w:val="003889"/>
                          <w:sz w:val="14"/>
                        </w:rPr>
                        <w:t>Joshua Sharfstein, MD</w:t>
                      </w:r>
                    </w:p>
                    <w:p w14:paraId="5B7B4E7C" w14:textId="77777777" w:rsidR="001E3A00" w:rsidRDefault="001E3A00" w:rsidP="001E3A00">
                      <w:pPr>
                        <w:textDirection w:val="btLr"/>
                      </w:pPr>
                      <w:r>
                        <w:rPr>
                          <w:color w:val="003889"/>
                          <w:sz w:val="14"/>
                        </w:rPr>
                        <w:t>Chairman</w:t>
                      </w:r>
                    </w:p>
                    <w:p w14:paraId="247ED8E5" w14:textId="77777777" w:rsidR="001E3A00" w:rsidRDefault="001E3A00" w:rsidP="001E3A00">
                      <w:pPr>
                        <w:textDirection w:val="btLr"/>
                      </w:pPr>
                    </w:p>
                    <w:p w14:paraId="2CAB009F" w14:textId="77777777" w:rsidR="001E3A00" w:rsidRDefault="001E3A00" w:rsidP="001E3A00">
                      <w:pPr>
                        <w:textDirection w:val="btLr"/>
                        <w:rPr>
                          <w:b/>
                          <w:color w:val="003889"/>
                          <w:sz w:val="14"/>
                        </w:rPr>
                      </w:pPr>
                      <w:r>
                        <w:rPr>
                          <w:b/>
                          <w:color w:val="003889"/>
                          <w:sz w:val="14"/>
                        </w:rPr>
                        <w:t>James N. Elliott, MD</w:t>
                      </w:r>
                    </w:p>
                    <w:p w14:paraId="039C79F2" w14:textId="39011D3A" w:rsidR="000A5388" w:rsidRDefault="000A5388" w:rsidP="000A5388">
                      <w:pPr>
                        <w:textDirection w:val="btLr"/>
                      </w:pPr>
                      <w:r>
                        <w:rPr>
                          <w:color w:val="003889"/>
                          <w:sz w:val="14"/>
                        </w:rPr>
                        <w:t>Vice-Chairman</w:t>
                      </w:r>
                    </w:p>
                    <w:p w14:paraId="37439720" w14:textId="77777777" w:rsidR="001E3A00" w:rsidRDefault="001E3A00" w:rsidP="001E3A00">
                      <w:pPr>
                        <w:textDirection w:val="btLr"/>
                      </w:pPr>
                    </w:p>
                    <w:p w14:paraId="129F8F56" w14:textId="1B2DF6FF" w:rsidR="00185268" w:rsidRDefault="00185268" w:rsidP="001E3A00">
                      <w:pPr>
                        <w:textDirection w:val="btLr"/>
                        <w:rPr>
                          <w:b/>
                          <w:color w:val="003889"/>
                          <w:sz w:val="14"/>
                        </w:rPr>
                      </w:pPr>
                      <w:r>
                        <w:rPr>
                          <w:b/>
                          <w:color w:val="003889"/>
                          <w:sz w:val="14"/>
                        </w:rPr>
                        <w:t>Jonathan Bl</w:t>
                      </w:r>
                      <w:r w:rsidR="005124B0">
                        <w:rPr>
                          <w:b/>
                          <w:color w:val="003889"/>
                          <w:sz w:val="14"/>
                        </w:rPr>
                        <w:t>u</w:t>
                      </w:r>
                      <w:r>
                        <w:rPr>
                          <w:b/>
                          <w:color w:val="003889"/>
                          <w:sz w:val="14"/>
                        </w:rPr>
                        <w:t>m, MPP</w:t>
                      </w:r>
                    </w:p>
                    <w:p w14:paraId="5C2D8E0A" w14:textId="77777777" w:rsidR="00185268" w:rsidRDefault="00185268" w:rsidP="001E3A00">
                      <w:pPr>
                        <w:textDirection w:val="btLr"/>
                        <w:rPr>
                          <w:b/>
                          <w:color w:val="003889"/>
                          <w:sz w:val="14"/>
                        </w:rPr>
                      </w:pPr>
                    </w:p>
                    <w:p w14:paraId="3709656A" w14:textId="0E4A8719" w:rsidR="001E3A00" w:rsidRDefault="001E3A00" w:rsidP="001E3A00">
                      <w:pPr>
                        <w:textDirection w:val="btLr"/>
                      </w:pPr>
                      <w:r>
                        <w:rPr>
                          <w:b/>
                          <w:color w:val="003889"/>
                          <w:sz w:val="14"/>
                        </w:rPr>
                        <w:t>Ricardo R. Johnson</w:t>
                      </w:r>
                    </w:p>
                    <w:p w14:paraId="7E847596" w14:textId="77777777" w:rsidR="001E3A00" w:rsidRDefault="001E3A00" w:rsidP="001E3A00">
                      <w:pPr>
                        <w:textDirection w:val="btLr"/>
                      </w:pPr>
                    </w:p>
                    <w:p w14:paraId="25319CBA" w14:textId="48239DB8" w:rsidR="001E3A00" w:rsidRDefault="00182A8B" w:rsidP="001E3A00">
                      <w:pPr>
                        <w:textDirection w:val="btLr"/>
                        <w:rPr>
                          <w:b/>
                          <w:color w:val="003889"/>
                          <w:sz w:val="14"/>
                        </w:rPr>
                      </w:pPr>
                      <w:r w:rsidRPr="00182A8B">
                        <w:rPr>
                          <w:b/>
                          <w:color w:val="003889"/>
                          <w:sz w:val="14"/>
                        </w:rPr>
                        <w:t>David N. Maine</w:t>
                      </w:r>
                      <w:r w:rsidR="002E20A7">
                        <w:rPr>
                          <w:b/>
                          <w:color w:val="003889"/>
                          <w:sz w:val="14"/>
                        </w:rPr>
                        <w:t xml:space="preserve">, </w:t>
                      </w:r>
                      <w:r w:rsidRPr="00182A8B">
                        <w:rPr>
                          <w:b/>
                          <w:color w:val="003889"/>
                          <w:sz w:val="14"/>
                        </w:rPr>
                        <w:t>MD</w:t>
                      </w:r>
                    </w:p>
                    <w:p w14:paraId="05C8DA01" w14:textId="77777777" w:rsidR="00182A8B" w:rsidRDefault="00182A8B" w:rsidP="001E3A00">
                      <w:pPr>
                        <w:textDirection w:val="btLr"/>
                      </w:pPr>
                    </w:p>
                    <w:p w14:paraId="7B565CA4" w14:textId="77777777" w:rsidR="001E3A00" w:rsidRDefault="001E3A00" w:rsidP="001E3A00">
                      <w:pPr>
                        <w:textDirection w:val="btLr"/>
                        <w:rPr>
                          <w:b/>
                          <w:color w:val="003889"/>
                          <w:sz w:val="14"/>
                        </w:rPr>
                      </w:pPr>
                      <w:r>
                        <w:rPr>
                          <w:b/>
                          <w:color w:val="003889"/>
                          <w:sz w:val="14"/>
                        </w:rPr>
                        <w:t>Nicki McCann, JD</w:t>
                      </w:r>
                    </w:p>
                    <w:p w14:paraId="138C707F" w14:textId="77777777" w:rsidR="000B2E9A" w:rsidRDefault="000B2E9A" w:rsidP="001E3A00">
                      <w:pPr>
                        <w:textDirection w:val="btLr"/>
                        <w:rPr>
                          <w:b/>
                          <w:color w:val="003889"/>
                          <w:sz w:val="14"/>
                        </w:rPr>
                      </w:pPr>
                    </w:p>
                    <w:p w14:paraId="426CE2B3" w14:textId="466674A0" w:rsidR="000B2E9A" w:rsidRPr="000B2E9A" w:rsidRDefault="000B2E9A" w:rsidP="001E3A00">
                      <w:pPr>
                        <w:textDirection w:val="btLr"/>
                        <w:rPr>
                          <w:b/>
                          <w:color w:val="003889"/>
                          <w:sz w:val="14"/>
                        </w:rPr>
                      </w:pPr>
                      <w:r w:rsidRPr="000B2E9A">
                        <w:rPr>
                          <w:b/>
                          <w:color w:val="003889"/>
                          <w:sz w:val="14"/>
                        </w:rPr>
                        <w:t>Farzaneh Sabi, MD</w:t>
                      </w:r>
                    </w:p>
                    <w:p w14:paraId="3B2CEDF3" w14:textId="77777777" w:rsidR="001E3A00" w:rsidRDefault="001E3A00" w:rsidP="001E3A00">
                      <w:pPr>
                        <w:textDirection w:val="btLr"/>
                      </w:pPr>
                    </w:p>
                    <w:p w14:paraId="376484CB" w14:textId="77777777" w:rsidR="000B2E9A" w:rsidRDefault="000B2E9A" w:rsidP="001E3A00">
                      <w:pPr>
                        <w:textDirection w:val="btLr"/>
                        <w:rPr>
                          <w:b/>
                          <w:color w:val="003889"/>
                          <w:sz w:val="14"/>
                        </w:rPr>
                      </w:pPr>
                    </w:p>
                    <w:p w14:paraId="1F2888EE" w14:textId="6A0FCC90" w:rsidR="001E3A00" w:rsidRDefault="001E3A00" w:rsidP="001E3A00">
                      <w:pPr>
                        <w:textDirection w:val="btLr"/>
                      </w:pPr>
                      <w:r>
                        <w:rPr>
                          <w:b/>
                          <w:color w:val="003889"/>
                          <w:sz w:val="14"/>
                        </w:rPr>
                        <w:t>Jonathan Kromm, PhD</w:t>
                      </w:r>
                    </w:p>
                    <w:p w14:paraId="7119DE5C" w14:textId="77777777" w:rsidR="001E3A00" w:rsidRDefault="001E3A00" w:rsidP="001E3A00">
                      <w:pPr>
                        <w:textDirection w:val="btLr"/>
                      </w:pPr>
                      <w:r>
                        <w:rPr>
                          <w:color w:val="003889"/>
                          <w:sz w:val="14"/>
                        </w:rPr>
                        <w:t>Executive Director</w:t>
                      </w:r>
                    </w:p>
                    <w:p w14:paraId="08746FB4" w14:textId="77777777" w:rsidR="001E3A00" w:rsidRDefault="001E3A00" w:rsidP="001E3A00">
                      <w:pPr>
                        <w:textDirection w:val="btLr"/>
                      </w:pPr>
                    </w:p>
                    <w:p w14:paraId="75EDFEAA" w14:textId="77777777" w:rsidR="001E3A00" w:rsidRDefault="001E3A00" w:rsidP="001E3A00">
                      <w:pPr>
                        <w:textDirection w:val="btLr"/>
                      </w:pPr>
                      <w:r>
                        <w:rPr>
                          <w:b/>
                          <w:color w:val="003889"/>
                          <w:sz w:val="14"/>
                        </w:rPr>
                        <w:t>William Henderson</w:t>
                      </w:r>
                    </w:p>
                    <w:p w14:paraId="464FBB64" w14:textId="77777777" w:rsidR="001E3A00" w:rsidRDefault="001E3A00" w:rsidP="001E3A00">
                      <w:pPr>
                        <w:textDirection w:val="btLr"/>
                      </w:pPr>
                      <w:r>
                        <w:rPr>
                          <w:color w:val="003889"/>
                          <w:sz w:val="14"/>
                        </w:rPr>
                        <w:t>Director</w:t>
                      </w:r>
                    </w:p>
                    <w:p w14:paraId="7BD4BA13" w14:textId="77777777" w:rsidR="001E3A00" w:rsidRDefault="001E3A00" w:rsidP="001E3A00">
                      <w:pPr>
                        <w:textDirection w:val="btLr"/>
                      </w:pPr>
                      <w:r>
                        <w:rPr>
                          <w:color w:val="003889"/>
                          <w:sz w:val="14"/>
                        </w:rPr>
                        <w:t>Medical Economics &amp; Data Analytics</w:t>
                      </w:r>
                    </w:p>
                    <w:p w14:paraId="2AF3676F" w14:textId="77777777" w:rsidR="001E3A00" w:rsidRDefault="001E3A00" w:rsidP="001E3A00">
                      <w:pPr>
                        <w:textDirection w:val="btLr"/>
                      </w:pPr>
                    </w:p>
                    <w:p w14:paraId="3C66D153" w14:textId="77777777" w:rsidR="001E3A00" w:rsidRDefault="001E3A00" w:rsidP="001E3A00">
                      <w:pPr>
                        <w:textDirection w:val="btLr"/>
                      </w:pPr>
                      <w:r>
                        <w:rPr>
                          <w:b/>
                          <w:color w:val="003889"/>
                          <w:sz w:val="14"/>
                        </w:rPr>
                        <w:t>Gerard J. Schmith</w:t>
                      </w:r>
                    </w:p>
                    <w:p w14:paraId="4F792C20" w14:textId="77777777" w:rsidR="001E3A00" w:rsidRDefault="001E3A00" w:rsidP="001E3A00">
                      <w:pPr>
                        <w:textDirection w:val="btLr"/>
                      </w:pPr>
                      <w:r>
                        <w:rPr>
                          <w:color w:val="003889"/>
                          <w:sz w:val="14"/>
                        </w:rPr>
                        <w:t>Director</w:t>
                      </w:r>
                    </w:p>
                    <w:p w14:paraId="769EB2B2" w14:textId="77777777" w:rsidR="001E3A00" w:rsidRDefault="001E3A00" w:rsidP="001E3A00">
                      <w:pPr>
                        <w:textDirection w:val="btLr"/>
                      </w:pPr>
                      <w:r>
                        <w:rPr>
                          <w:color w:val="003889"/>
                          <w:sz w:val="14"/>
                        </w:rPr>
                        <w:t>Revenue &amp; Regulation Compliance</w:t>
                      </w:r>
                    </w:p>
                    <w:p w14:paraId="413A4628" w14:textId="77777777" w:rsidR="001E3A00" w:rsidRDefault="001E3A00" w:rsidP="001E3A00">
                      <w:pPr>
                        <w:textDirection w:val="btLr"/>
                      </w:pPr>
                    </w:p>
                    <w:p w14:paraId="73A25128" w14:textId="77777777" w:rsidR="001E3A00" w:rsidRDefault="001E3A00" w:rsidP="001E3A00">
                      <w:pPr>
                        <w:textDirection w:val="btLr"/>
                      </w:pPr>
                      <w:r>
                        <w:rPr>
                          <w:b/>
                          <w:color w:val="003889"/>
                          <w:sz w:val="14"/>
                        </w:rPr>
                        <w:t>Claudine Williams</w:t>
                      </w:r>
                    </w:p>
                    <w:p w14:paraId="35106990" w14:textId="77777777" w:rsidR="001E3A00" w:rsidRDefault="001E3A00" w:rsidP="001E3A00">
                      <w:pPr>
                        <w:textDirection w:val="btLr"/>
                      </w:pPr>
                      <w:r>
                        <w:rPr>
                          <w:color w:val="003889"/>
                          <w:sz w:val="14"/>
                        </w:rPr>
                        <w:t>Director</w:t>
                      </w:r>
                    </w:p>
                    <w:p w14:paraId="51AE80DE" w14:textId="77777777" w:rsidR="001E3A00" w:rsidRDefault="001E3A00" w:rsidP="001E3A00">
                      <w:pPr>
                        <w:textDirection w:val="btLr"/>
                      </w:pPr>
                      <w:r>
                        <w:rPr>
                          <w:color w:val="003889"/>
                          <w:sz w:val="14"/>
                        </w:rPr>
                        <w:t>Healthcare Data Management &amp; Integrity</w:t>
                      </w:r>
                    </w:p>
                    <w:p w14:paraId="385FDA7D" w14:textId="77777777" w:rsidR="007267EF" w:rsidRDefault="007267EF">
                      <w:pPr>
                        <w:textDirection w:val="btLr"/>
                      </w:pPr>
                    </w:p>
                    <w:p w14:paraId="504DBB43" w14:textId="77777777" w:rsidR="007267EF" w:rsidRDefault="007267EF">
                      <w:pPr>
                        <w:textDirection w:val="btLr"/>
                      </w:pPr>
                    </w:p>
                    <w:p w14:paraId="5115C89D" w14:textId="77777777" w:rsidR="007267EF" w:rsidRDefault="007267E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8" type="#_x0000_t75" style="position:absolute;left:857;top:18002;width:14078;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">
                <v:imagedata r:id="rId2" o:title=""/>
              </v:shape>
              <w10:wrap type="square"/>
            </v:group>
          </w:pict>
        </mc:Fallback>
      </mc:AlternateContent>
    </w:r>
    <w:r w:rsidR="00000000">
      <w:rPr>
        <w:color w:val="000000"/>
      </w:rPr>
      <w:pict w14:anchorId="5F02AF36">
        <v:shape id="WordPictureWatermark3" o:spid="_x0000_s1026" type="#_x0000_t75" alt="" style="position:absolute;margin-left:0;margin-top:0;width:612.95pt;height:792.95pt;z-index:-251656192;mso-position-horizontal:center;mso-position-horizontal-relative:margin;mso-position-vertical:center;mso-position-vertical-relative:margin">
          <v:imagedata r:id="rId3" o:title="image2"/>
          <w10:wrap anchorx="margin" anchory="margin"/>
        </v:shape>
      </w:pict>
    </w:r>
    <w:r w:rsidR="001E3A00">
      <w:rPr>
        <w:noProof/>
        <w:color w:val="000000"/>
      </w:rPr>
      <w:drawing>
        <wp:inline distT="0" distB="0" distL="0" distR="0" wp14:anchorId="05088F2D" wp14:editId="34695BAF">
          <wp:extent cx="2425700" cy="533400"/>
          <wp:effectExtent l="0" t="0" r="0" b="0"/>
          <wp:docPr id="5216725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2425700" cy="533400"/>
                  </a:xfrm>
                  <a:prstGeom prst="rect">
                    <a:avLst/>
                  </a:prstGeom>
                  <a:ln/>
                </pic:spPr>
              </pic:pic>
            </a:graphicData>
          </a:graphic>
        </wp:inline>
      </w:drawing>
    </w:r>
    <w:r w:rsidR="001E3A00">
      <w:rPr>
        <w:color w:val="000000"/>
      </w:rPr>
      <w:tab/>
    </w:r>
    <w:bookmarkStart w:id="0" w:name="_heading=h.gjdgxs" w:colFirst="0" w:colLast="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65D"/>
    <w:multiLevelType w:val="multilevel"/>
    <w:tmpl w:val="357E7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70E3E"/>
    <w:multiLevelType w:val="multilevel"/>
    <w:tmpl w:val="04523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A11743"/>
    <w:multiLevelType w:val="multilevel"/>
    <w:tmpl w:val="2C3A1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2C3B80"/>
    <w:multiLevelType w:val="multilevel"/>
    <w:tmpl w:val="A87AC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2968F4"/>
    <w:multiLevelType w:val="multilevel"/>
    <w:tmpl w:val="6A060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9976D5"/>
    <w:multiLevelType w:val="multilevel"/>
    <w:tmpl w:val="3BCC8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B46DB5"/>
    <w:multiLevelType w:val="multilevel"/>
    <w:tmpl w:val="2EA49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8B1098"/>
    <w:multiLevelType w:val="multilevel"/>
    <w:tmpl w:val="AE4C4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B62132"/>
    <w:multiLevelType w:val="multilevel"/>
    <w:tmpl w:val="55D2A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1E1352"/>
    <w:multiLevelType w:val="multilevel"/>
    <w:tmpl w:val="BF48A9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64869500">
    <w:abstractNumId w:val="6"/>
  </w:num>
  <w:num w:numId="2" w16cid:durableId="501818261">
    <w:abstractNumId w:val="4"/>
  </w:num>
  <w:num w:numId="3" w16cid:durableId="1585383693">
    <w:abstractNumId w:val="8"/>
  </w:num>
  <w:num w:numId="4" w16cid:durableId="2035036230">
    <w:abstractNumId w:val="5"/>
  </w:num>
  <w:num w:numId="5" w16cid:durableId="654140265">
    <w:abstractNumId w:val="3"/>
  </w:num>
  <w:num w:numId="6" w16cid:durableId="1919899580">
    <w:abstractNumId w:val="2"/>
  </w:num>
  <w:num w:numId="7" w16cid:durableId="594828419">
    <w:abstractNumId w:val="9"/>
  </w:num>
  <w:num w:numId="8" w16cid:durableId="344675940">
    <w:abstractNumId w:val="0"/>
  </w:num>
  <w:num w:numId="9" w16cid:durableId="191039885">
    <w:abstractNumId w:val="1"/>
  </w:num>
  <w:num w:numId="10" w16cid:durableId="1497113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EF"/>
    <w:rsid w:val="000A5388"/>
    <w:rsid w:val="000B2E9A"/>
    <w:rsid w:val="000B4803"/>
    <w:rsid w:val="000F3040"/>
    <w:rsid w:val="00182A8B"/>
    <w:rsid w:val="00185268"/>
    <w:rsid w:val="001875C4"/>
    <w:rsid w:val="001A00A7"/>
    <w:rsid w:val="001E3A00"/>
    <w:rsid w:val="002119A3"/>
    <w:rsid w:val="002D67B9"/>
    <w:rsid w:val="002E20A7"/>
    <w:rsid w:val="003378CA"/>
    <w:rsid w:val="00362758"/>
    <w:rsid w:val="003646E3"/>
    <w:rsid w:val="00393BC2"/>
    <w:rsid w:val="003F6B5D"/>
    <w:rsid w:val="0043356B"/>
    <w:rsid w:val="004510C2"/>
    <w:rsid w:val="0047572F"/>
    <w:rsid w:val="00483A5A"/>
    <w:rsid w:val="004B09AB"/>
    <w:rsid w:val="005124B0"/>
    <w:rsid w:val="005577A0"/>
    <w:rsid w:val="005B0990"/>
    <w:rsid w:val="0061287C"/>
    <w:rsid w:val="0063244C"/>
    <w:rsid w:val="006334A7"/>
    <w:rsid w:val="00722738"/>
    <w:rsid w:val="007267EF"/>
    <w:rsid w:val="0076495C"/>
    <w:rsid w:val="007D38DD"/>
    <w:rsid w:val="007D4189"/>
    <w:rsid w:val="008C2226"/>
    <w:rsid w:val="008C6E6A"/>
    <w:rsid w:val="009631F8"/>
    <w:rsid w:val="00980709"/>
    <w:rsid w:val="009F4744"/>
    <w:rsid w:val="00A53405"/>
    <w:rsid w:val="00BC50D7"/>
    <w:rsid w:val="00BF04B9"/>
    <w:rsid w:val="00C26520"/>
    <w:rsid w:val="00C8320E"/>
    <w:rsid w:val="00CA0C22"/>
    <w:rsid w:val="00DA1C2B"/>
    <w:rsid w:val="00DF3DF2"/>
    <w:rsid w:val="00E617BC"/>
    <w:rsid w:val="00E910C3"/>
    <w:rsid w:val="00EA3D92"/>
    <w:rsid w:val="00F77017"/>
    <w:rsid w:val="00FE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6D2DC"/>
  <w15:docId w15:val="{8B62452F-CD79-4968-8DC5-286DD62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noProof/>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style>
  <w:style w:type="paragraph" w:styleId="BalloonText">
    <w:name w:val="Balloon Text"/>
    <w:basedOn w:val="Normal"/>
    <w:link w:val="BalloonTextChar"/>
    <w:uiPriority w:val="99"/>
    <w:semiHidden/>
    <w:unhideWhenUsed/>
    <w:rsid w:val="0051663C"/>
    <w:rPr>
      <w:rFonts w:ascii="Times New Roman" w:hAnsi="Times New Roman" w:cs="Times New Roman"/>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A3D92"/>
    <w:rPr>
      <w:color w:val="0563C1" w:themeColor="hyperlink"/>
      <w:u w:val="single"/>
    </w:rPr>
  </w:style>
  <w:style w:type="character" w:styleId="UnresolvedMention">
    <w:name w:val="Unresolved Mention"/>
    <w:basedOn w:val="DefaultParagraphFont"/>
    <w:uiPriority w:val="99"/>
    <w:semiHidden/>
    <w:unhideWhenUsed/>
    <w:rsid w:val="00EA3D92"/>
    <w:rPr>
      <w:color w:val="605E5C"/>
      <w:shd w:val="clear" w:color="auto" w:fill="E1DFDD"/>
    </w:rPr>
  </w:style>
  <w:style w:type="character" w:styleId="FootnoteReference">
    <w:name w:val="footnote reference"/>
    <w:basedOn w:val="DefaultParagraphFont"/>
    <w:uiPriority w:val="99"/>
    <w:semiHidden/>
    <w:unhideWhenUsed/>
    <w:rsid w:val="008C2226"/>
    <w:rPr>
      <w:vertAlign w:val="superscript"/>
    </w:rPr>
  </w:style>
  <w:style w:type="table" w:styleId="GridTable5Dark-Accent1">
    <w:name w:val="Grid Table 5 Dark Accent 1"/>
    <w:basedOn w:val="TableNormal"/>
    <w:uiPriority w:val="50"/>
    <w:rsid w:val="008C2226"/>
    <w:rPr>
      <w:rFonts w:asciiTheme="minorHAnsi" w:eastAsia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CommentReference">
    <w:name w:val="annotation reference"/>
    <w:basedOn w:val="DefaultParagraphFont"/>
    <w:uiPriority w:val="99"/>
    <w:semiHidden/>
    <w:unhideWhenUsed/>
    <w:rsid w:val="002D67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tis.Wills@maryland.gov"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3OJL8b0msUUe6Kn+yKiINqJHQ==">AMUW2mXHBprXcpGHUwblPtxY+iWhgrF0wuJHjNbIcbBYe+xJ185ccgnV3pc/dzSOmStjW60iOdGHXzahQbukKG25wqi1o+/OYNerphRY6S2KSRLWalASzAfphE54hWZ5RE/qA0mA9zXj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38C472-93BB-4822-9D2A-BB71F388767D}"/>
</file>

<file path=customXml/itemProps3.xml><?xml version="1.0" encoding="utf-8"?>
<ds:datastoreItem xmlns:ds="http://schemas.openxmlformats.org/officeDocument/2006/customXml" ds:itemID="{B6795F82-5BE1-4CEE-A003-E35BDF814E48}"/>
</file>

<file path=customXml/itemProps4.xml><?xml version="1.0" encoding="utf-8"?>
<ds:datastoreItem xmlns:ds="http://schemas.openxmlformats.org/officeDocument/2006/customXml" ds:itemID="{E516CFFE-C160-4E19-A0AE-EE0234214559}"/>
</file>

<file path=docProps/app.xml><?xml version="1.0" encoding="utf-8"?>
<Properties xmlns="http://schemas.openxmlformats.org/officeDocument/2006/extended-properties" xmlns:vt="http://schemas.openxmlformats.org/officeDocument/2006/docPropsVTypes">
  <Template>Normal.dotm</Template>
  <TotalTime>2</TotalTime>
  <Pages>5</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Lin</dc:creator>
  <cp:lastModifiedBy>Curtis Wills</cp:lastModifiedBy>
  <cp:revision>2</cp:revision>
  <dcterms:created xsi:type="dcterms:W3CDTF">2026-06-17T14:08:00Z</dcterms:created>
  <dcterms:modified xsi:type="dcterms:W3CDTF">2026-06-17T14:08:00Z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