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20D46" w14:textId="77777777" w:rsidR="009C5EBC" w:rsidRDefault="00E67B14" w:rsidP="00547224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imes New Roman TUR" w:hAnsi="Times New Roman TUR" w:cs="Times New Roman TUR"/>
          <w:b w:val="0"/>
          <w:bCs w:val="0"/>
          <w:vanish/>
        </w:rPr>
        <w:sectPr w:rsidR="009C5EBC" w:rsidSect="00382567">
          <w:footerReference w:type="default" r:id="rId8"/>
          <w:footerReference w:type="first" r:id="rId9"/>
          <w:pgSz w:w="12240" w:h="15840" w:code="1"/>
          <w:pgMar w:top="4896" w:right="1440" w:bottom="720" w:left="1440" w:header="4608" w:footer="432" w:gutter="0"/>
          <w:pgNumType w:start="1"/>
          <w:cols w:space="720"/>
          <w:formProt w:val="0"/>
          <w:noEndnote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704447D1" wp14:editId="3E01C71C">
                <wp:simplePos x="0" y="0"/>
                <wp:positionH relativeFrom="margin">
                  <wp:posOffset>-429895</wp:posOffset>
                </wp:positionH>
                <wp:positionV relativeFrom="margin">
                  <wp:posOffset>-2344420</wp:posOffset>
                </wp:positionV>
                <wp:extent cx="1554480" cy="2221992"/>
                <wp:effectExtent l="0" t="0" r="7620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22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B6E4" w14:textId="797E366D" w:rsidR="00E63CA4" w:rsidRDefault="000516C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Adam Kane</w:t>
                            </w:r>
                          </w:p>
                          <w:p w14:paraId="38E11136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Chairman</w:t>
                            </w:r>
                          </w:p>
                          <w:p w14:paraId="2D5E09ED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BAFA39D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Joseph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Antos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PhD</w:t>
                            </w:r>
                          </w:p>
                          <w:p w14:paraId="6C2481B1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Vice-Chairman</w:t>
                            </w:r>
                          </w:p>
                          <w:p w14:paraId="4F906454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165BC42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Victoria W. Bayless</w:t>
                            </w:r>
                          </w:p>
                          <w:p w14:paraId="66F436B2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1E33B48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3126C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James N. Elliott, M.D.</w:t>
                            </w:r>
                          </w:p>
                          <w:p w14:paraId="45661338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FC31EB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John M.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Colmers</w:t>
                            </w:r>
                            <w:proofErr w:type="spellEnd"/>
                          </w:p>
                          <w:p w14:paraId="2113F7C3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5F3539C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2DB7418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8019030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F05689C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D8B2D85" w14:textId="77777777" w:rsidR="00E63CA4" w:rsidRDefault="00E63CA4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447D1" id="Rectangle 2" o:spid="_x0000_s1026" style="position:absolute;margin-left:-33.85pt;margin-top:-184.6pt;width:122.4pt;height:17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" o:allowincell="f" filled="f" stroked="f" strokeweight="0">
                <v:textbox inset="0,0,0,0">
                  <w:txbxContent>
                    <w:p w14:paraId="0D5CB6E4" w14:textId="797E366D" w:rsidR="00E63CA4" w:rsidRDefault="000516C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Adam Kane</w:t>
                      </w:r>
                    </w:p>
                    <w:p w14:paraId="38E11136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Chairman</w:t>
                      </w:r>
                    </w:p>
                    <w:p w14:paraId="2D5E09ED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0BAFA39D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Joseph Antos, PhD</w:t>
                      </w:r>
                    </w:p>
                    <w:p w14:paraId="6C2481B1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Vice-Chairman</w:t>
                      </w:r>
                    </w:p>
                    <w:p w14:paraId="4F906454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7165BC42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Victoria W. Bayless</w:t>
                      </w:r>
                    </w:p>
                    <w:p w14:paraId="66F436B2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41E33B48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 w:rsidRPr="0043126C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James N. Elliott, M.D.</w:t>
                      </w:r>
                    </w:p>
                    <w:p w14:paraId="45661338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77FC31EB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John M. Colmers</w:t>
                      </w:r>
                    </w:p>
                    <w:p w14:paraId="2113F7C3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65F3539C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42DB7418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78019030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6F05689C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3D8B2D85" w14:textId="77777777" w:rsidR="00E63CA4" w:rsidRDefault="00E63CA4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153BCE4A" wp14:editId="0364684B">
                <wp:simplePos x="0" y="0"/>
                <wp:positionH relativeFrom="margin">
                  <wp:posOffset>4906010</wp:posOffset>
                </wp:positionH>
                <wp:positionV relativeFrom="margin">
                  <wp:posOffset>-2346960</wp:posOffset>
                </wp:positionV>
                <wp:extent cx="1463040" cy="2225040"/>
                <wp:effectExtent l="0" t="0" r="381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5DE70" w14:textId="77777777" w:rsidR="00E63CA4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Katie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Wunderlich</w:t>
                            </w:r>
                            <w:proofErr w:type="spellEnd"/>
                          </w:p>
                          <w:p w14:paraId="06A346BB" w14:textId="77777777" w:rsidR="00E63CA4" w:rsidRDefault="00E63CA4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14:paraId="40DD37D2" w14:textId="77777777" w:rsidR="00E63CA4" w:rsidRDefault="00E63CA4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1B33C80" w14:textId="77777777" w:rsidR="00E63CA4" w:rsidRDefault="00E63CA4" w:rsidP="002824C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Allan Pack, Director</w:t>
                            </w:r>
                          </w:p>
                          <w:p w14:paraId="5424995F" w14:textId="77777777" w:rsidR="00E63CA4" w:rsidRDefault="00E63CA4" w:rsidP="002824C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Population Based Methodologies</w:t>
                            </w:r>
                          </w:p>
                          <w:p w14:paraId="1B1CA510" w14:textId="77777777" w:rsidR="00E63CA4" w:rsidRDefault="00E63CA4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4F50F3C" w14:textId="77777777" w:rsidR="00E63CA4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Chris Peterson, Director</w:t>
                            </w:r>
                          </w:p>
                          <w:p w14:paraId="38564205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Payment Reform and Provider Alignment</w:t>
                            </w:r>
                          </w:p>
                          <w:p w14:paraId="602F8FC2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BAAEC6E" w14:textId="77777777" w:rsidR="00E63CA4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Gerard J.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Schmith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Director</w:t>
                            </w:r>
                          </w:p>
                          <w:p w14:paraId="073D0178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Revenue &amp; Regulation Compliance</w:t>
                            </w:r>
                          </w:p>
                          <w:p w14:paraId="4A6E1356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BE8B3AA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William Henderson, Director Medical Economics and Data Analytics</w:t>
                            </w:r>
                          </w:p>
                          <w:p w14:paraId="29417067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E81EBC5" w14:textId="77777777" w:rsidR="00E63CA4" w:rsidRDefault="00E63CA4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93EC1ED" w14:textId="77777777" w:rsidR="00E63CA4" w:rsidRPr="00F51FC0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CE4A" id="Rectangle 3" o:spid="_x0000_s1027" style="position:absolute;margin-left:386.3pt;margin-top:-184.8pt;width:115.2pt;height:175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" o:allowincell="f" filled="f" stroked="f" strokeweight="0">
                <v:textbox inset="0,0,0,0">
                  <w:txbxContent>
                    <w:p w14:paraId="2D35DE70" w14:textId="77777777" w:rsidR="00E63CA4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Katie Wunderlich</w:t>
                      </w:r>
                    </w:p>
                    <w:p w14:paraId="06A346BB" w14:textId="77777777" w:rsidR="00E63CA4" w:rsidRDefault="00E63CA4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Executive Director</w:t>
                      </w:r>
                    </w:p>
                    <w:p w14:paraId="40DD37D2" w14:textId="77777777" w:rsidR="00E63CA4" w:rsidRDefault="00E63CA4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01B33C80" w14:textId="77777777" w:rsidR="00E63CA4" w:rsidRDefault="00E63CA4" w:rsidP="002824C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Allan Pack, Director</w:t>
                      </w:r>
                    </w:p>
                    <w:p w14:paraId="5424995F" w14:textId="77777777" w:rsidR="00E63CA4" w:rsidRDefault="00E63CA4" w:rsidP="002824C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Population Based Methodologies</w:t>
                      </w:r>
                    </w:p>
                    <w:p w14:paraId="1B1CA510" w14:textId="77777777" w:rsidR="00E63CA4" w:rsidRDefault="00E63CA4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34F50F3C" w14:textId="77777777" w:rsidR="00E63CA4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Chris Peterson, Director</w:t>
                      </w:r>
                    </w:p>
                    <w:p w14:paraId="38564205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Payment Reform and Provider Alignment</w:t>
                      </w:r>
                    </w:p>
                    <w:p w14:paraId="602F8FC2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1BAAEC6E" w14:textId="77777777" w:rsidR="00E63CA4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Gerard J. Schmith, Director</w:t>
                      </w:r>
                    </w:p>
                    <w:p w14:paraId="073D0178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Revenue &amp; Regulation Compliance</w:t>
                      </w:r>
                    </w:p>
                    <w:p w14:paraId="4A6E1356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7BE8B3AA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William Henderson, Director Medical Economics and Data Analytics</w:t>
                      </w:r>
                    </w:p>
                    <w:p w14:paraId="29417067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4E81EBC5" w14:textId="77777777" w:rsidR="00E63CA4" w:rsidRDefault="00E63CA4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14:paraId="693EC1ED" w14:textId="77777777" w:rsidR="00E63CA4" w:rsidRPr="00F51FC0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02693CB5" wp14:editId="1A4A956B">
                <wp:simplePos x="0" y="0"/>
                <wp:positionH relativeFrom="margin">
                  <wp:posOffset>1185545</wp:posOffset>
                </wp:positionH>
                <wp:positionV relativeFrom="margin">
                  <wp:posOffset>-914400</wp:posOffset>
                </wp:positionV>
                <wp:extent cx="3583940" cy="670560"/>
                <wp:effectExtent l="4445" t="3810" r="254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39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04565" w14:textId="77777777" w:rsidR="00E63CA4" w:rsidRDefault="00E63CA4">
                            <w:pPr>
                              <w:pStyle w:val="WP9Heading"/>
                              <w:keepLines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sz w:val="24"/>
                                <w:szCs w:val="24"/>
                              </w:rPr>
                              <w:t>Health Services Cost Review Commission</w:t>
                            </w:r>
                          </w:p>
                          <w:p w14:paraId="53E2ED29" w14:textId="77777777" w:rsidR="00E63CA4" w:rsidRDefault="00E63CA4">
                            <w:pPr>
                              <w:keepLines/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4160 Patterson Avenue, Baltimore, Maryland 21215</w:t>
                            </w:r>
                          </w:p>
                          <w:p w14:paraId="43B123F2" w14:textId="77777777" w:rsidR="00E63CA4" w:rsidRDefault="00E63CA4" w:rsidP="001059E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Phone: 410-764-2605 · Fax: 410-358-6217</w:t>
                            </w:r>
                          </w:p>
                          <w:p w14:paraId="7DBCE3E3" w14:textId="77777777" w:rsidR="00E63CA4" w:rsidRDefault="00E63CA4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Toll Free: 1-888-287-3229</w:t>
                            </w:r>
                          </w:p>
                          <w:p w14:paraId="527F67A9" w14:textId="77777777" w:rsidR="00E63CA4" w:rsidRPr="001C6448" w:rsidRDefault="00E63CA4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0" w:history="1">
                              <w:r w:rsidRPr="001C6448">
                                <w:rPr>
                                  <w:rStyle w:val="Hyperlink"/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  <w:u w:val="none"/>
                                </w:rPr>
                                <w:t>hscrc.maryland.gov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93CB5" id="Rectangle 4" o:spid="_x0000_s1028" style="position:absolute;margin-left:93.35pt;margin-top:-1in;width:282.2pt;height:52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" o:allowincell="f" filled="f" stroked="f" strokeweight="0">
                <v:textbox inset="0,0,0,0">
                  <w:txbxContent>
                    <w:p w14:paraId="21304565" w14:textId="77777777" w:rsidR="00E63CA4" w:rsidRDefault="00E63CA4">
                      <w:pPr>
                        <w:pStyle w:val="WP9Heading"/>
                        <w:keepLines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sz w:val="20"/>
                          <w:szCs w:val="20"/>
                        </w:rPr>
                      </w:pPr>
                      <w:r w:rsidRPr="00EE4A5D">
                        <w:rPr>
                          <w:sz w:val="24"/>
                          <w:szCs w:val="24"/>
                        </w:rPr>
                        <w:t>Health Services Cost Review Commission</w:t>
                      </w:r>
                    </w:p>
                    <w:p w14:paraId="53E2ED29" w14:textId="77777777" w:rsidR="00E63CA4" w:rsidRDefault="00E63CA4">
                      <w:pPr>
                        <w:keepLines/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4160 Patterson Avenue, Baltimore, Maryland 21215</w:t>
                      </w:r>
                    </w:p>
                    <w:p w14:paraId="43B123F2" w14:textId="77777777" w:rsidR="00E63CA4" w:rsidRDefault="00E63CA4" w:rsidP="001059E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Phone: 410-764-2605 · Fax: 410-358-6217</w:t>
                      </w:r>
                    </w:p>
                    <w:p w14:paraId="7DBCE3E3" w14:textId="77777777" w:rsidR="00E63CA4" w:rsidRDefault="00E63CA4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Toll Free: 1-888-287-3229</w:t>
                      </w:r>
                    </w:p>
                    <w:p w14:paraId="527F67A9" w14:textId="77777777" w:rsidR="00E63CA4" w:rsidRPr="001C6448" w:rsidRDefault="00E63CA4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hyperlink r:id="rId11" w:history="1">
                        <w:r w:rsidRPr="001C6448">
                          <w:rPr>
                            <w:rStyle w:val="Hyperlink"/>
                            <w:rFonts w:ascii="Arial" w:hAnsi="Arial" w:cs="Arial"/>
                            <w:color w:val="000080"/>
                            <w:sz w:val="16"/>
                            <w:szCs w:val="16"/>
                            <w:u w:val="none"/>
                          </w:rPr>
                          <w:t>hscrc.maryland.gov</w:t>
                        </w:r>
                      </w:hyperlink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3A52DD0D" wp14:editId="188AD56A">
                <wp:simplePos x="0" y="0"/>
                <wp:positionH relativeFrom="margin">
                  <wp:posOffset>1332230</wp:posOffset>
                </wp:positionH>
                <wp:positionV relativeFrom="margin">
                  <wp:posOffset>-2670810</wp:posOffset>
                </wp:positionV>
                <wp:extent cx="3279140" cy="323850"/>
                <wp:effectExtent l="0" t="0" r="1651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7454" w14:textId="77777777" w:rsidR="00E63CA4" w:rsidRPr="00EE4A5D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State of Maryland</w:t>
                            </w:r>
                          </w:p>
                          <w:p w14:paraId="0CA197F4" w14:textId="77777777" w:rsidR="00E63CA4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Department of Health</w:t>
                            </w:r>
                          </w:p>
                          <w:p w14:paraId="2E4F3286" w14:textId="77777777" w:rsidR="00E63CA4" w:rsidRDefault="00E63CA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DD0D" id="Rectangle 5" o:spid="_x0000_s1029" style="position:absolute;margin-left:104.9pt;margin-top:-210.3pt;width:258.2pt;height:2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1qrAIAAKQFAAAOAAAAZHJzL2Uyb0RvYy54bWysVNuO2yAQfa/Uf0C8e32Jc7G1zmo3jqtK&#10;23bVbT+A2DhGxeACibOt+u8dcJxs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" o:allowincell="f" filled="f" stroked="f" strokeweight="0">
                <v:textbox inset="0,0,0,0">
                  <w:txbxContent>
                    <w:p w14:paraId="525E7454" w14:textId="77777777" w:rsidR="00E63CA4" w:rsidRPr="00EE4A5D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State of Maryland</w:t>
                      </w:r>
                    </w:p>
                    <w:p w14:paraId="0CA197F4" w14:textId="77777777" w:rsidR="00E63CA4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Department of Health</w:t>
                      </w:r>
                    </w:p>
                    <w:p w14:paraId="2E4F3286" w14:textId="77777777" w:rsidR="00E63CA4" w:rsidRDefault="00E63CA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14:paraId="10A4021C" w14:textId="77777777" w:rsidR="00B26662" w:rsidRDefault="00E67B14">
      <w:pPr>
        <w:framePr w:w="3766" w:h="2154" w:hRule="exact" w:hSpace="240" w:vSpace="240" w:wrap="auto" w:vAnchor="page" w:hAnchor="page" w:x="4199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noProof/>
        </w:rPr>
        <w:drawing>
          <wp:inline distT="0" distB="0" distL="0" distR="0" wp14:anchorId="7B0EDD7C" wp14:editId="0453D1F7">
            <wp:extent cx="254508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5" t="-1604" r="-1465" b="-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1B12D" w14:textId="77777777" w:rsidR="00B26662" w:rsidRDefault="00E67B14">
      <w:pPr>
        <w:framePr w:w="4002" w:h="2154" w:hRule="exact" w:vSpace="240" w:wrap="auto" w:vAnchor="page" w:hAnchor="page" w:x="4081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 TUR" w:hAnsi="Times New Roman TUR" w:cs="Times New Roman TUR"/>
          <w:b/>
          <w:bCs/>
        </w:rPr>
      </w:pPr>
      <w:r>
        <w:rPr>
          <w:noProof/>
        </w:rPr>
        <w:drawing>
          <wp:anchor distT="0" distB="0" distL="114300" distR="114300" simplePos="0" relativeHeight="251655680" behindDoc="0" locked="1" layoutInCell="1" allowOverlap="1" wp14:anchorId="1EAAA435" wp14:editId="5961320A">
            <wp:simplePos x="0" y="0"/>
            <wp:positionH relativeFrom="page">
              <wp:posOffset>-54610</wp:posOffset>
            </wp:positionH>
            <wp:positionV relativeFrom="page">
              <wp:posOffset>-33655</wp:posOffset>
            </wp:positionV>
            <wp:extent cx="2541905" cy="1368425"/>
            <wp:effectExtent l="0" t="0" r="0" b="3175"/>
            <wp:wrapTight wrapText="bothSides">
              <wp:wrapPolygon edited="0">
                <wp:start x="0" y="0"/>
                <wp:lineTo x="0" y="21349"/>
                <wp:lineTo x="21368" y="21349"/>
                <wp:lineTo x="21368" y="0"/>
                <wp:lineTo x="0" y="0"/>
              </wp:wrapPolygon>
            </wp:wrapTight>
            <wp:docPr id="6" name="Picture 7" descr="DHMH ALternative Seal - Reflex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MH ALternative Seal - Reflex Blu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716B8" w14:textId="77777777" w:rsidR="00F7472C" w:rsidRDefault="00F7472C" w:rsidP="00B851CE">
      <w:pPr>
        <w:widowControl/>
        <w:jc w:val="center"/>
        <w:rPr>
          <w:sz w:val="22"/>
          <w:szCs w:val="22"/>
        </w:rPr>
      </w:pPr>
    </w:p>
    <w:p w14:paraId="0B9F3EA1" w14:textId="5FC05703" w:rsidR="00662ACB" w:rsidRPr="00D94430" w:rsidRDefault="00662ACB" w:rsidP="00662A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To:</w:t>
      </w:r>
      <w:r w:rsidRPr="00D94430">
        <w:rPr>
          <w:rFonts w:asciiTheme="minorHAnsi" w:hAnsiTheme="minorHAnsi" w:cstheme="minorHAnsi"/>
          <w:sz w:val="22"/>
          <w:szCs w:val="22"/>
        </w:rPr>
        <w:t xml:space="preserve"> </w:t>
      </w:r>
      <w:r w:rsidR="004F2316" w:rsidRPr="00D94430">
        <w:rPr>
          <w:rFonts w:asciiTheme="minorHAnsi" w:hAnsiTheme="minorHAnsi" w:cstheme="minorHAnsi"/>
          <w:sz w:val="22"/>
          <w:szCs w:val="22"/>
        </w:rPr>
        <w:tab/>
      </w:r>
      <w:r w:rsidR="00811607" w:rsidRPr="00D94430">
        <w:rPr>
          <w:rFonts w:asciiTheme="minorHAnsi" w:hAnsiTheme="minorHAnsi" w:cstheme="minorHAnsi"/>
          <w:sz w:val="22"/>
          <w:szCs w:val="22"/>
        </w:rPr>
        <w:t>Hospital Case Mix Liaisons</w:t>
      </w:r>
    </w:p>
    <w:p w14:paraId="77325949" w14:textId="70D6EC1F" w:rsidR="00662ACB" w:rsidRPr="00D94430" w:rsidRDefault="00662ACB" w:rsidP="00662A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From:</w:t>
      </w:r>
      <w:r w:rsidRPr="00D94430">
        <w:rPr>
          <w:rFonts w:asciiTheme="minorHAnsi" w:hAnsiTheme="minorHAnsi" w:cstheme="minorHAnsi"/>
          <w:sz w:val="22"/>
          <w:szCs w:val="22"/>
        </w:rPr>
        <w:t xml:space="preserve"> </w:t>
      </w:r>
      <w:r w:rsidR="004F2316" w:rsidRPr="00D94430">
        <w:rPr>
          <w:rFonts w:asciiTheme="minorHAnsi" w:hAnsiTheme="minorHAnsi" w:cstheme="minorHAnsi"/>
          <w:sz w:val="22"/>
          <w:szCs w:val="22"/>
        </w:rPr>
        <w:tab/>
      </w:r>
      <w:r w:rsidR="00811607" w:rsidRPr="00D94430">
        <w:rPr>
          <w:rFonts w:asciiTheme="minorHAnsi" w:hAnsiTheme="minorHAnsi" w:cstheme="minorHAnsi"/>
          <w:sz w:val="22"/>
          <w:szCs w:val="22"/>
        </w:rPr>
        <w:t>Claudine Williams</w:t>
      </w:r>
      <w:r w:rsidRPr="00D94430">
        <w:rPr>
          <w:rFonts w:asciiTheme="minorHAnsi" w:hAnsiTheme="minorHAnsi" w:cstheme="minorHAnsi"/>
          <w:sz w:val="22"/>
          <w:szCs w:val="22"/>
        </w:rPr>
        <w:t>, Associate Director</w:t>
      </w:r>
      <w:r w:rsidR="002238A2" w:rsidRPr="00D9443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2238A2" w:rsidRPr="00D94430">
        <w:rPr>
          <w:rFonts w:asciiTheme="minorHAnsi" w:hAnsiTheme="minorHAnsi" w:cstheme="minorHAnsi"/>
          <w:sz w:val="22"/>
          <w:szCs w:val="22"/>
        </w:rPr>
        <w:t>Clinical</w:t>
      </w:r>
      <w:proofErr w:type="gramEnd"/>
      <w:r w:rsidR="002238A2" w:rsidRPr="00D94430">
        <w:rPr>
          <w:rFonts w:asciiTheme="minorHAnsi" w:hAnsiTheme="minorHAnsi" w:cstheme="minorHAnsi"/>
          <w:sz w:val="22"/>
          <w:szCs w:val="22"/>
        </w:rPr>
        <w:t xml:space="preserve"> Data Administration</w:t>
      </w:r>
    </w:p>
    <w:p w14:paraId="61984B91" w14:textId="211A760E" w:rsidR="00662ACB" w:rsidRPr="00D94430" w:rsidRDefault="00662ACB" w:rsidP="00662A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Date:</w:t>
      </w:r>
      <w:r w:rsidRPr="00D94430">
        <w:rPr>
          <w:rFonts w:asciiTheme="minorHAnsi" w:hAnsiTheme="minorHAnsi" w:cstheme="minorHAnsi"/>
          <w:sz w:val="22"/>
          <w:szCs w:val="22"/>
        </w:rPr>
        <w:t xml:space="preserve"> </w:t>
      </w:r>
      <w:r w:rsidR="004F2316" w:rsidRPr="00D94430">
        <w:rPr>
          <w:rFonts w:asciiTheme="minorHAnsi" w:hAnsiTheme="minorHAnsi" w:cstheme="minorHAnsi"/>
          <w:sz w:val="22"/>
          <w:szCs w:val="22"/>
        </w:rPr>
        <w:tab/>
      </w:r>
      <w:r w:rsidR="001E30AF">
        <w:rPr>
          <w:rFonts w:asciiTheme="minorHAnsi" w:hAnsiTheme="minorHAnsi" w:cstheme="minorHAnsi"/>
          <w:sz w:val="22"/>
          <w:szCs w:val="22"/>
        </w:rPr>
        <w:t xml:space="preserve">April </w:t>
      </w:r>
      <w:r w:rsidR="004C5103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1E30AF">
        <w:rPr>
          <w:rFonts w:asciiTheme="minorHAnsi" w:hAnsiTheme="minorHAnsi" w:cstheme="minorHAnsi"/>
          <w:sz w:val="22"/>
          <w:szCs w:val="22"/>
        </w:rPr>
        <w:t>1, 2020</w:t>
      </w:r>
    </w:p>
    <w:p w14:paraId="2A97D1DE" w14:textId="343F9399" w:rsidR="00662ACB" w:rsidRPr="00D94430" w:rsidRDefault="00662ACB" w:rsidP="008F01DF">
      <w:pPr>
        <w:pBdr>
          <w:bottom w:val="single" w:sz="12" w:space="1" w:color="auto"/>
        </w:pBdr>
        <w:spacing w:line="276" w:lineRule="auto"/>
        <w:ind w:left="720" w:hanging="720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Re:</w:t>
      </w:r>
      <w:r w:rsidRPr="00D94430">
        <w:rPr>
          <w:rFonts w:asciiTheme="minorHAnsi" w:hAnsiTheme="minorHAnsi" w:cstheme="minorHAnsi"/>
          <w:sz w:val="22"/>
          <w:szCs w:val="22"/>
        </w:rPr>
        <w:t xml:space="preserve"> </w:t>
      </w:r>
      <w:r w:rsidR="004F2316" w:rsidRPr="00D94430">
        <w:rPr>
          <w:rFonts w:asciiTheme="minorHAnsi" w:hAnsiTheme="minorHAnsi" w:cstheme="minorHAnsi"/>
          <w:sz w:val="22"/>
          <w:szCs w:val="22"/>
        </w:rPr>
        <w:tab/>
      </w:r>
      <w:r w:rsidR="005A30C3" w:rsidRPr="00D94430">
        <w:rPr>
          <w:rFonts w:asciiTheme="minorHAnsi" w:hAnsiTheme="minorHAnsi" w:cstheme="minorHAnsi"/>
          <w:sz w:val="22"/>
          <w:szCs w:val="22"/>
        </w:rPr>
        <w:t>FY 2021</w:t>
      </w:r>
      <w:r w:rsidR="008F01DF" w:rsidRPr="00D94430">
        <w:rPr>
          <w:rFonts w:asciiTheme="minorHAnsi" w:hAnsiTheme="minorHAnsi" w:cstheme="minorHAnsi"/>
          <w:sz w:val="22"/>
          <w:szCs w:val="22"/>
        </w:rPr>
        <w:t xml:space="preserve"> Inpatient, Outpatient and Psychiatric Data Submission Requirements</w:t>
      </w:r>
      <w:r w:rsidR="00861826">
        <w:rPr>
          <w:rFonts w:asciiTheme="minorHAnsi" w:hAnsiTheme="minorHAnsi" w:cstheme="minorHAnsi"/>
          <w:sz w:val="22"/>
          <w:szCs w:val="22"/>
        </w:rPr>
        <w:t xml:space="preserve">, FY 2021 Production Schedule, </w:t>
      </w:r>
      <w:r w:rsidR="00861826" w:rsidRPr="00D94430">
        <w:rPr>
          <w:rFonts w:asciiTheme="minorHAnsi" w:hAnsiTheme="minorHAnsi" w:cstheme="minorHAnsi"/>
          <w:sz w:val="22"/>
          <w:szCs w:val="22"/>
        </w:rPr>
        <w:t>Error Threshold Reduction</w:t>
      </w:r>
      <w:r w:rsidR="00861826">
        <w:rPr>
          <w:rFonts w:asciiTheme="minorHAnsi" w:hAnsiTheme="minorHAnsi" w:cstheme="minorHAnsi"/>
          <w:sz w:val="22"/>
          <w:szCs w:val="22"/>
        </w:rPr>
        <w:t xml:space="preserve"> and partial delay in implementation</w:t>
      </w:r>
      <w:r w:rsidR="007F3B15">
        <w:rPr>
          <w:rFonts w:asciiTheme="minorHAnsi" w:hAnsiTheme="minorHAnsi" w:cstheme="minorHAnsi"/>
          <w:sz w:val="22"/>
          <w:szCs w:val="22"/>
        </w:rPr>
        <w:t>.</w:t>
      </w:r>
    </w:p>
    <w:p w14:paraId="1D5B0379" w14:textId="77777777" w:rsidR="00662ACB" w:rsidRPr="00D94430" w:rsidRDefault="00662ACB" w:rsidP="00662ACB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A0F9EB" w14:textId="77777777" w:rsidR="00662ACB" w:rsidRPr="00D94430" w:rsidRDefault="00662ACB" w:rsidP="00662A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FD636E" w14:textId="2FA12C69" w:rsidR="00A0007A" w:rsidRPr="00D94430" w:rsidRDefault="00662ACB" w:rsidP="00D3089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 xml:space="preserve">This memorandum serves to inform hospitals </w:t>
      </w:r>
      <w:r w:rsidR="008F01DF" w:rsidRPr="00D94430">
        <w:rPr>
          <w:rFonts w:asciiTheme="minorHAnsi" w:hAnsiTheme="minorHAnsi" w:cstheme="minorHAnsi"/>
          <w:sz w:val="22"/>
          <w:szCs w:val="22"/>
        </w:rPr>
        <w:t>of the revision</w:t>
      </w:r>
      <w:r w:rsidR="009B75A6" w:rsidRPr="00D94430">
        <w:rPr>
          <w:rFonts w:asciiTheme="minorHAnsi" w:hAnsiTheme="minorHAnsi" w:cstheme="minorHAnsi"/>
          <w:sz w:val="22"/>
          <w:szCs w:val="22"/>
        </w:rPr>
        <w:t>s</w:t>
      </w:r>
      <w:r w:rsidR="008F01DF" w:rsidRPr="00D94430">
        <w:rPr>
          <w:rFonts w:asciiTheme="minorHAnsi" w:hAnsiTheme="minorHAnsi" w:cstheme="minorHAnsi"/>
          <w:sz w:val="22"/>
          <w:szCs w:val="22"/>
        </w:rPr>
        <w:t xml:space="preserve"> to the Inpatient, Outpatient and Psychiatric Data Submission Requirements (DSR) for FY 202</w:t>
      </w:r>
      <w:r w:rsidR="00A0007A" w:rsidRPr="00D94430">
        <w:rPr>
          <w:rFonts w:asciiTheme="minorHAnsi" w:hAnsiTheme="minorHAnsi" w:cstheme="minorHAnsi"/>
          <w:sz w:val="22"/>
          <w:szCs w:val="22"/>
        </w:rPr>
        <w:t>1</w:t>
      </w:r>
      <w:r w:rsidR="00D30899">
        <w:rPr>
          <w:rFonts w:asciiTheme="minorHAnsi" w:hAnsiTheme="minorHAnsi" w:cstheme="minorHAnsi"/>
          <w:sz w:val="22"/>
          <w:szCs w:val="22"/>
        </w:rPr>
        <w:t>, reductions to the 10 percent e</w:t>
      </w:r>
      <w:r w:rsidR="00861826" w:rsidRPr="00D94430">
        <w:rPr>
          <w:rFonts w:asciiTheme="minorHAnsi" w:hAnsiTheme="minorHAnsi" w:cstheme="minorHAnsi"/>
          <w:sz w:val="22"/>
          <w:szCs w:val="22"/>
        </w:rPr>
        <w:t xml:space="preserve">rror </w:t>
      </w:r>
      <w:r w:rsidR="00D30899">
        <w:rPr>
          <w:rFonts w:asciiTheme="minorHAnsi" w:hAnsiTheme="minorHAnsi" w:cstheme="minorHAnsi"/>
          <w:sz w:val="22"/>
          <w:szCs w:val="22"/>
        </w:rPr>
        <w:t>threshold,</w:t>
      </w:r>
      <w:r w:rsidR="00861826">
        <w:rPr>
          <w:rFonts w:asciiTheme="minorHAnsi" w:hAnsiTheme="minorHAnsi" w:cstheme="minorHAnsi"/>
          <w:sz w:val="22"/>
          <w:szCs w:val="22"/>
        </w:rPr>
        <w:t xml:space="preserve"> </w:t>
      </w:r>
      <w:r w:rsidR="00D30899">
        <w:rPr>
          <w:rFonts w:asciiTheme="minorHAnsi" w:hAnsiTheme="minorHAnsi" w:cstheme="minorHAnsi"/>
          <w:sz w:val="22"/>
          <w:szCs w:val="22"/>
        </w:rPr>
        <w:t xml:space="preserve">and </w:t>
      </w:r>
      <w:r w:rsidR="00D30899" w:rsidRPr="00D94430">
        <w:rPr>
          <w:rFonts w:asciiTheme="minorHAnsi" w:hAnsiTheme="minorHAnsi" w:cstheme="minorHAnsi"/>
          <w:sz w:val="22"/>
          <w:szCs w:val="22"/>
        </w:rPr>
        <w:t>the FY 2021 Production Schedule</w:t>
      </w:r>
      <w:r w:rsidR="00D30899">
        <w:rPr>
          <w:rFonts w:asciiTheme="minorHAnsi" w:hAnsiTheme="minorHAnsi" w:cstheme="minorHAnsi"/>
          <w:sz w:val="22"/>
          <w:szCs w:val="22"/>
        </w:rPr>
        <w:t>.</w:t>
      </w:r>
      <w:r w:rsidR="008F01DF" w:rsidRPr="00D944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A098B9" w14:textId="26E08277" w:rsidR="00662ACB" w:rsidRPr="00D94430" w:rsidRDefault="002B543E" w:rsidP="00D30899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0007A" w:rsidRPr="00D94430">
        <w:rPr>
          <w:rFonts w:asciiTheme="minorHAnsi" w:hAnsiTheme="minorHAnsi" w:cstheme="minorHAnsi"/>
          <w:sz w:val="22"/>
          <w:szCs w:val="22"/>
        </w:rPr>
        <w:t xml:space="preserve">ue to the COVID-19 </w:t>
      </w:r>
      <w:r w:rsidR="00227133" w:rsidRPr="00D94430">
        <w:rPr>
          <w:rFonts w:asciiTheme="minorHAnsi" w:hAnsiTheme="minorHAnsi" w:cstheme="minorHAnsi"/>
          <w:sz w:val="22"/>
          <w:szCs w:val="22"/>
        </w:rPr>
        <w:t xml:space="preserve">emergency, HSCRC will be delaying most of the revisions that were slated to go in effect </w:t>
      </w:r>
      <w:r w:rsidR="00D30899">
        <w:rPr>
          <w:rFonts w:asciiTheme="minorHAnsi" w:hAnsiTheme="minorHAnsi" w:cstheme="minorHAnsi"/>
          <w:sz w:val="22"/>
          <w:szCs w:val="22"/>
        </w:rPr>
        <w:t xml:space="preserve">for </w:t>
      </w:r>
      <w:r w:rsidR="00227133" w:rsidRPr="00D94430">
        <w:rPr>
          <w:rFonts w:asciiTheme="minorHAnsi" w:hAnsiTheme="minorHAnsi" w:cstheme="minorHAnsi"/>
          <w:sz w:val="22"/>
          <w:szCs w:val="22"/>
        </w:rPr>
        <w:t xml:space="preserve">July 2020. </w:t>
      </w:r>
      <w:r w:rsidR="00861826">
        <w:rPr>
          <w:rFonts w:asciiTheme="minorHAnsi" w:hAnsiTheme="minorHAnsi" w:cstheme="minorHAnsi"/>
          <w:sz w:val="22"/>
          <w:szCs w:val="22"/>
        </w:rPr>
        <w:t>T</w:t>
      </w:r>
      <w:r w:rsidR="00227133" w:rsidRPr="00D94430">
        <w:rPr>
          <w:rFonts w:asciiTheme="minorHAnsi" w:hAnsiTheme="minorHAnsi" w:cstheme="minorHAnsi"/>
          <w:sz w:val="22"/>
          <w:szCs w:val="22"/>
        </w:rPr>
        <w:t xml:space="preserve">he changes that will be implemented </w:t>
      </w:r>
      <w:r w:rsidR="00861826">
        <w:rPr>
          <w:rFonts w:asciiTheme="minorHAnsi" w:hAnsiTheme="minorHAnsi" w:cstheme="minorHAnsi"/>
          <w:sz w:val="22"/>
          <w:szCs w:val="22"/>
        </w:rPr>
        <w:t xml:space="preserve">for </w:t>
      </w:r>
      <w:r w:rsidR="00227133" w:rsidRPr="00D94430">
        <w:rPr>
          <w:rFonts w:asciiTheme="minorHAnsi" w:hAnsiTheme="minorHAnsi" w:cstheme="minorHAnsi"/>
          <w:sz w:val="22"/>
          <w:szCs w:val="22"/>
        </w:rPr>
        <w:t>FY 202</w:t>
      </w:r>
      <w:r w:rsidR="00F44E9B">
        <w:rPr>
          <w:rFonts w:asciiTheme="minorHAnsi" w:hAnsiTheme="minorHAnsi" w:cstheme="minorHAnsi"/>
          <w:sz w:val="22"/>
          <w:szCs w:val="22"/>
        </w:rPr>
        <w:t>1</w:t>
      </w:r>
      <w:r w:rsidR="00227133" w:rsidRPr="00D94430">
        <w:rPr>
          <w:rFonts w:asciiTheme="minorHAnsi" w:hAnsiTheme="minorHAnsi" w:cstheme="minorHAnsi"/>
          <w:sz w:val="22"/>
          <w:szCs w:val="22"/>
        </w:rPr>
        <w:t xml:space="preserve"> and the </w:t>
      </w:r>
      <w:r w:rsidR="00861826" w:rsidRPr="00D94430">
        <w:rPr>
          <w:rFonts w:asciiTheme="minorHAnsi" w:hAnsiTheme="minorHAnsi" w:cstheme="minorHAnsi"/>
          <w:sz w:val="22"/>
          <w:szCs w:val="22"/>
        </w:rPr>
        <w:t xml:space="preserve">changes </w:t>
      </w:r>
      <w:r w:rsidR="00227133" w:rsidRPr="00D94430">
        <w:rPr>
          <w:rFonts w:asciiTheme="minorHAnsi" w:hAnsiTheme="minorHAnsi" w:cstheme="minorHAnsi"/>
          <w:sz w:val="22"/>
          <w:szCs w:val="22"/>
        </w:rPr>
        <w:t>that will be delayed until FY 202</w:t>
      </w:r>
      <w:r w:rsidR="00F44E9B">
        <w:rPr>
          <w:rFonts w:asciiTheme="minorHAnsi" w:hAnsiTheme="minorHAnsi" w:cstheme="minorHAnsi"/>
          <w:sz w:val="22"/>
          <w:szCs w:val="22"/>
        </w:rPr>
        <w:t>2</w:t>
      </w:r>
      <w:r w:rsidR="00861826">
        <w:rPr>
          <w:rFonts w:asciiTheme="minorHAnsi" w:hAnsiTheme="minorHAnsi" w:cstheme="minorHAnsi"/>
          <w:sz w:val="22"/>
          <w:szCs w:val="22"/>
        </w:rPr>
        <w:t xml:space="preserve"> are detailed below</w:t>
      </w:r>
      <w:r w:rsidR="00227133" w:rsidRPr="00D94430">
        <w:rPr>
          <w:rFonts w:asciiTheme="minorHAnsi" w:hAnsiTheme="minorHAnsi" w:cstheme="minorHAnsi"/>
          <w:sz w:val="22"/>
          <w:szCs w:val="22"/>
        </w:rPr>
        <w:t>.</w:t>
      </w:r>
    </w:p>
    <w:p w14:paraId="5A2DF644" w14:textId="31C46882" w:rsidR="00662ACB" w:rsidRPr="00C91FB6" w:rsidRDefault="00227133" w:rsidP="00D30899">
      <w:pPr>
        <w:pStyle w:val="Heading1"/>
      </w:pPr>
      <w:r w:rsidRPr="00C91FB6">
        <w:t>FY 2021</w:t>
      </w:r>
      <w:r w:rsidR="008F01DF" w:rsidRPr="00C91FB6">
        <w:t xml:space="preserve"> Data Submission Requirements</w:t>
      </w:r>
    </w:p>
    <w:p w14:paraId="74A918C8" w14:textId="2F4FEB48" w:rsidR="00861826" w:rsidRPr="00C91FB6" w:rsidRDefault="00861826" w:rsidP="008F01D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91FB6">
        <w:rPr>
          <w:rFonts w:asciiTheme="minorHAnsi" w:hAnsiTheme="minorHAnsi" w:cstheme="minorHAnsi"/>
          <w:b/>
          <w:bCs/>
          <w:sz w:val="22"/>
          <w:szCs w:val="22"/>
        </w:rPr>
        <w:t xml:space="preserve">Changes </w:t>
      </w:r>
      <w:r w:rsidR="00D30899">
        <w:rPr>
          <w:rFonts w:asciiTheme="minorHAnsi" w:hAnsiTheme="minorHAnsi" w:cstheme="minorHAnsi"/>
          <w:b/>
          <w:bCs/>
          <w:sz w:val="22"/>
          <w:szCs w:val="22"/>
        </w:rPr>
        <w:t>to be</w:t>
      </w:r>
      <w:r w:rsidRPr="00C91F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0899">
        <w:rPr>
          <w:rFonts w:asciiTheme="minorHAnsi" w:hAnsiTheme="minorHAnsi" w:cstheme="minorHAnsi"/>
          <w:b/>
          <w:bCs/>
          <w:sz w:val="22"/>
          <w:szCs w:val="22"/>
        </w:rPr>
        <w:t>implemented</w:t>
      </w:r>
      <w:r w:rsidRPr="00C91F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0899">
        <w:rPr>
          <w:rFonts w:asciiTheme="minorHAnsi" w:hAnsiTheme="minorHAnsi" w:cstheme="minorHAnsi"/>
          <w:b/>
          <w:bCs/>
          <w:sz w:val="22"/>
          <w:szCs w:val="22"/>
        </w:rPr>
        <w:t>f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or </w:t>
      </w:r>
      <w:r w:rsidRPr="00C91FB6">
        <w:rPr>
          <w:rFonts w:asciiTheme="minorHAnsi" w:hAnsiTheme="minorHAnsi" w:cstheme="minorHAnsi"/>
          <w:b/>
          <w:bCs/>
          <w:sz w:val="22"/>
          <w:szCs w:val="22"/>
        </w:rPr>
        <w:t>FY 2021</w:t>
      </w:r>
    </w:p>
    <w:p w14:paraId="0A702749" w14:textId="1FC7377F" w:rsidR="008F01DF" w:rsidRDefault="00227133" w:rsidP="008F01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D766AA" w:rsidRPr="00D94430">
        <w:rPr>
          <w:rFonts w:asciiTheme="minorHAnsi" w:hAnsiTheme="minorHAnsi" w:cstheme="minorHAnsi"/>
          <w:sz w:val="22"/>
          <w:szCs w:val="22"/>
        </w:rPr>
        <w:t xml:space="preserve">changes </w:t>
      </w:r>
      <w:r w:rsidR="00861826">
        <w:rPr>
          <w:rFonts w:asciiTheme="minorHAnsi" w:hAnsiTheme="minorHAnsi" w:cstheme="minorHAnsi"/>
          <w:sz w:val="22"/>
          <w:szCs w:val="22"/>
        </w:rPr>
        <w:t xml:space="preserve">are </w:t>
      </w:r>
      <w:r w:rsidR="00F44E9B" w:rsidRPr="00D94430">
        <w:rPr>
          <w:rFonts w:asciiTheme="minorHAnsi" w:hAnsiTheme="minorHAnsi" w:cstheme="minorHAnsi"/>
          <w:sz w:val="22"/>
          <w:szCs w:val="22"/>
        </w:rPr>
        <w:t xml:space="preserve">applicable to the Inpatient, Outpatient and Psychiatric datasets </w:t>
      </w:r>
      <w:r w:rsidR="00F44E9B">
        <w:rPr>
          <w:rFonts w:asciiTheme="minorHAnsi" w:hAnsiTheme="minorHAnsi" w:cstheme="minorHAnsi"/>
          <w:sz w:val="22"/>
          <w:szCs w:val="22"/>
        </w:rPr>
        <w:t>and will be implemented for FY 2021</w:t>
      </w:r>
      <w:r w:rsidR="002E7D36" w:rsidRPr="00D94430">
        <w:rPr>
          <w:rFonts w:asciiTheme="minorHAnsi" w:hAnsiTheme="minorHAnsi" w:cstheme="minorHAnsi"/>
          <w:sz w:val="22"/>
          <w:szCs w:val="22"/>
        </w:rPr>
        <w:t>.</w:t>
      </w:r>
    </w:p>
    <w:p w14:paraId="34778FDC" w14:textId="77777777" w:rsidR="00861826" w:rsidRPr="00D94430" w:rsidRDefault="00861826" w:rsidP="008F01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827944" w14:textId="77777777" w:rsidR="008E668C" w:rsidRDefault="002E7D36" w:rsidP="002E7D36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 xml:space="preserve">New Edits: </w:t>
      </w:r>
    </w:p>
    <w:p w14:paraId="7B4E9B49" w14:textId="61355E0A" w:rsidR="00294586" w:rsidRPr="00294586" w:rsidRDefault="00D76615" w:rsidP="008E668C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 xml:space="preserve">All </w:t>
      </w:r>
      <w:r w:rsidR="00D94430">
        <w:rPr>
          <w:rFonts w:asciiTheme="minorHAnsi" w:hAnsiTheme="minorHAnsi" w:cstheme="minorHAnsi"/>
          <w:sz w:val="22"/>
          <w:szCs w:val="22"/>
        </w:rPr>
        <w:t xml:space="preserve">of </w:t>
      </w:r>
      <w:r w:rsidRPr="00D94430">
        <w:rPr>
          <w:rFonts w:asciiTheme="minorHAnsi" w:hAnsiTheme="minorHAnsi" w:cstheme="minorHAnsi"/>
          <w:sz w:val="22"/>
          <w:szCs w:val="22"/>
        </w:rPr>
        <w:t>the newly adopted edits</w:t>
      </w:r>
      <w:r w:rsidR="00CD7F3E">
        <w:rPr>
          <w:rFonts w:asciiTheme="minorHAnsi" w:hAnsiTheme="minorHAnsi" w:cstheme="minorHAnsi"/>
          <w:sz w:val="22"/>
          <w:szCs w:val="22"/>
        </w:rPr>
        <w:t xml:space="preserve"> (except the edits for Expected Payers and Health Plan Payers) </w:t>
      </w:r>
      <w:r w:rsidRPr="00D30899">
        <w:rPr>
          <w:rFonts w:asciiTheme="minorHAnsi" w:hAnsiTheme="minorHAnsi" w:cstheme="minorHAnsi"/>
          <w:sz w:val="22"/>
          <w:szCs w:val="22"/>
        </w:rPr>
        <w:t>are highlight</w:t>
      </w:r>
      <w:r w:rsidR="00D94430" w:rsidRPr="00D30899">
        <w:rPr>
          <w:rFonts w:asciiTheme="minorHAnsi" w:hAnsiTheme="minorHAnsi" w:cstheme="minorHAnsi"/>
          <w:sz w:val="22"/>
          <w:szCs w:val="22"/>
        </w:rPr>
        <w:t>ed in red</w:t>
      </w:r>
      <w:r w:rsidR="004D547C">
        <w:rPr>
          <w:rFonts w:asciiTheme="minorHAnsi" w:hAnsiTheme="minorHAnsi" w:cstheme="minorHAnsi"/>
          <w:sz w:val="22"/>
          <w:szCs w:val="22"/>
        </w:rPr>
        <w:t xml:space="preserve"> in the DSRs</w:t>
      </w:r>
      <w:r w:rsidR="00D94430" w:rsidRPr="00D308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FD9566" w14:textId="7253B234" w:rsidR="00294586" w:rsidRDefault="00294586" w:rsidP="008E668C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 additional edit is being proposed for FY 2021 to address negative charges that are reported in the case mix data:</w:t>
      </w:r>
    </w:p>
    <w:p w14:paraId="5F64E0A9" w14:textId="1ECF8759" w:rsidR="00294586" w:rsidRPr="00294586" w:rsidRDefault="00294586" w:rsidP="00294586">
      <w:pPr>
        <w:pStyle w:val="ListParagraph"/>
        <w:numPr>
          <w:ilvl w:val="2"/>
          <w:numId w:val="21"/>
        </w:num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9458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Record Type 3, Total Charge: </w:t>
      </w:r>
      <w:r w:rsidRPr="00294586">
        <w:rPr>
          <w:rFonts w:asciiTheme="minorHAnsi" w:hAnsiTheme="minorHAnsi" w:cstheme="minorHAnsi"/>
          <w:b/>
          <w:color w:val="FF0000"/>
          <w:sz w:val="22"/>
          <w:szCs w:val="22"/>
        </w:rPr>
        <w:t>Fatal Error: If value is &lt; 0</w:t>
      </w:r>
    </w:p>
    <w:p w14:paraId="21F476EB" w14:textId="77777777" w:rsidR="001E30AF" w:rsidRPr="00694DFF" w:rsidRDefault="001E30AF" w:rsidP="008E668C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Timeline for implementing new edits:</w:t>
      </w:r>
    </w:p>
    <w:p w14:paraId="46B63AA0" w14:textId="72F8FC75" w:rsidR="001E30AF" w:rsidRPr="00694DFF" w:rsidRDefault="001E30AF" w:rsidP="00694DFF">
      <w:pPr>
        <w:pStyle w:val="ListParagraph"/>
        <w:numPr>
          <w:ilvl w:val="2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4DFF">
        <w:rPr>
          <w:rFonts w:asciiTheme="minorHAnsi" w:hAnsiTheme="minorHAnsi" w:cstheme="minorHAnsi"/>
          <w:b/>
          <w:sz w:val="22"/>
          <w:szCs w:val="22"/>
        </w:rPr>
        <w:t>July 1</w:t>
      </w:r>
      <w:r w:rsidR="00694DFF" w:rsidRPr="00694DFF">
        <w:rPr>
          <w:rFonts w:asciiTheme="minorHAnsi" w:hAnsiTheme="minorHAnsi" w:cstheme="minorHAnsi"/>
          <w:b/>
          <w:sz w:val="22"/>
          <w:szCs w:val="22"/>
        </w:rPr>
        <w:t>,</w:t>
      </w:r>
      <w:r w:rsidRPr="00694DFF">
        <w:rPr>
          <w:rFonts w:asciiTheme="minorHAnsi" w:hAnsiTheme="minorHAnsi" w:cstheme="minorHAnsi"/>
          <w:b/>
          <w:sz w:val="22"/>
          <w:szCs w:val="22"/>
        </w:rPr>
        <w:t xml:space="preserve"> 2020</w:t>
      </w:r>
      <w:r w:rsidR="00694DFF" w:rsidRPr="00694DFF">
        <w:rPr>
          <w:rFonts w:asciiTheme="minorHAnsi" w:hAnsiTheme="minorHAnsi" w:cstheme="minorHAnsi"/>
          <w:b/>
          <w:sz w:val="22"/>
          <w:szCs w:val="22"/>
        </w:rPr>
        <w:t>:</w:t>
      </w:r>
      <w:r w:rsidRPr="00694DFF">
        <w:rPr>
          <w:rFonts w:asciiTheme="minorHAnsi" w:hAnsiTheme="minorHAnsi" w:cstheme="minorHAnsi"/>
          <w:sz w:val="22"/>
          <w:szCs w:val="22"/>
        </w:rPr>
        <w:t xml:space="preserve"> Sandbox </w:t>
      </w:r>
      <w:r w:rsidR="00694DFF">
        <w:rPr>
          <w:rFonts w:asciiTheme="minorHAnsi" w:hAnsiTheme="minorHAnsi" w:cstheme="minorHAnsi"/>
          <w:sz w:val="22"/>
          <w:szCs w:val="22"/>
        </w:rPr>
        <w:t xml:space="preserve">in DAVE </w:t>
      </w:r>
      <w:r w:rsidRPr="00694DFF">
        <w:rPr>
          <w:rFonts w:asciiTheme="minorHAnsi" w:hAnsiTheme="minorHAnsi" w:cstheme="minorHAnsi"/>
          <w:sz w:val="22"/>
          <w:szCs w:val="22"/>
        </w:rPr>
        <w:t xml:space="preserve">will be available, </w:t>
      </w:r>
      <w:r w:rsidR="00694DFF">
        <w:rPr>
          <w:rFonts w:asciiTheme="minorHAnsi" w:hAnsiTheme="minorHAnsi" w:cstheme="minorHAnsi"/>
          <w:sz w:val="22"/>
          <w:szCs w:val="22"/>
        </w:rPr>
        <w:t xml:space="preserve">new edits will be </w:t>
      </w:r>
      <w:r w:rsidRPr="00694DFF">
        <w:rPr>
          <w:rFonts w:asciiTheme="minorHAnsi" w:hAnsiTheme="minorHAnsi" w:cstheme="minorHAnsi"/>
          <w:sz w:val="22"/>
          <w:szCs w:val="22"/>
        </w:rPr>
        <w:t>flagg</w:t>
      </w:r>
      <w:r w:rsidR="00694DFF">
        <w:rPr>
          <w:rFonts w:asciiTheme="minorHAnsi" w:hAnsiTheme="minorHAnsi" w:cstheme="minorHAnsi"/>
          <w:sz w:val="22"/>
          <w:szCs w:val="22"/>
        </w:rPr>
        <w:t>ed</w:t>
      </w:r>
      <w:r w:rsidRPr="00694DFF">
        <w:rPr>
          <w:rFonts w:asciiTheme="minorHAnsi" w:hAnsiTheme="minorHAnsi" w:cstheme="minorHAnsi"/>
          <w:sz w:val="22"/>
          <w:szCs w:val="22"/>
        </w:rPr>
        <w:t xml:space="preserve"> as warning</w:t>
      </w:r>
      <w:r w:rsidR="00694DFF">
        <w:rPr>
          <w:rFonts w:asciiTheme="minorHAnsi" w:hAnsiTheme="minorHAnsi" w:cstheme="minorHAnsi"/>
          <w:sz w:val="22"/>
          <w:szCs w:val="22"/>
        </w:rPr>
        <w:t>s</w:t>
      </w:r>
      <w:r w:rsidRPr="00694DF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3DCF9" w14:textId="7E173052" w:rsidR="001E30AF" w:rsidRPr="00694DFF" w:rsidRDefault="001E30AF" w:rsidP="00694DFF">
      <w:pPr>
        <w:pStyle w:val="ListParagraph"/>
        <w:numPr>
          <w:ilvl w:val="2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4DFF">
        <w:rPr>
          <w:rFonts w:asciiTheme="minorHAnsi" w:hAnsiTheme="minorHAnsi" w:cstheme="minorHAnsi"/>
          <w:b/>
          <w:sz w:val="22"/>
          <w:szCs w:val="22"/>
        </w:rPr>
        <w:t>October 1</w:t>
      </w:r>
      <w:r w:rsidR="00694DFF" w:rsidRPr="00694DFF">
        <w:rPr>
          <w:rFonts w:asciiTheme="minorHAnsi" w:hAnsiTheme="minorHAnsi" w:cstheme="minorHAnsi"/>
          <w:b/>
          <w:sz w:val="22"/>
          <w:szCs w:val="22"/>
        </w:rPr>
        <w:t>,</w:t>
      </w:r>
      <w:r w:rsidRPr="00694DFF">
        <w:rPr>
          <w:rFonts w:asciiTheme="minorHAnsi" w:hAnsiTheme="minorHAnsi" w:cstheme="minorHAnsi"/>
          <w:b/>
          <w:sz w:val="22"/>
          <w:szCs w:val="22"/>
        </w:rPr>
        <w:t xml:space="preserve"> 2020</w:t>
      </w:r>
      <w:r w:rsidR="00694DFF" w:rsidRPr="00694DFF">
        <w:rPr>
          <w:rFonts w:asciiTheme="minorHAnsi" w:hAnsiTheme="minorHAnsi" w:cstheme="minorHAnsi"/>
          <w:b/>
          <w:sz w:val="22"/>
          <w:szCs w:val="22"/>
        </w:rPr>
        <w:t>:</w:t>
      </w:r>
      <w:r w:rsidR="00694DFF" w:rsidRPr="00694DFF">
        <w:rPr>
          <w:rFonts w:asciiTheme="minorHAnsi" w:hAnsiTheme="minorHAnsi" w:cstheme="minorHAnsi"/>
          <w:sz w:val="22"/>
          <w:szCs w:val="22"/>
        </w:rPr>
        <w:t xml:space="preserve"> N</w:t>
      </w:r>
      <w:r w:rsidRPr="00694DFF">
        <w:rPr>
          <w:rFonts w:asciiTheme="minorHAnsi" w:hAnsiTheme="minorHAnsi" w:cstheme="minorHAnsi"/>
          <w:sz w:val="22"/>
          <w:szCs w:val="22"/>
        </w:rPr>
        <w:t>ew edits will be displayed as warning in production</w:t>
      </w:r>
    </w:p>
    <w:p w14:paraId="417115EC" w14:textId="1817E3C4" w:rsidR="001E30AF" w:rsidRPr="00694DFF" w:rsidRDefault="001E30AF" w:rsidP="00694DFF">
      <w:pPr>
        <w:pStyle w:val="ListParagraph"/>
        <w:numPr>
          <w:ilvl w:val="2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4DFF">
        <w:rPr>
          <w:rFonts w:asciiTheme="minorHAnsi" w:hAnsiTheme="minorHAnsi" w:cstheme="minorHAnsi"/>
          <w:b/>
          <w:sz w:val="22"/>
          <w:szCs w:val="22"/>
        </w:rPr>
        <w:t>January 1st 2021</w:t>
      </w:r>
      <w:r w:rsidR="00694DFF" w:rsidRPr="00694DFF">
        <w:rPr>
          <w:rFonts w:asciiTheme="minorHAnsi" w:hAnsiTheme="minorHAnsi" w:cstheme="minorHAnsi"/>
          <w:b/>
          <w:sz w:val="22"/>
          <w:szCs w:val="22"/>
        </w:rPr>
        <w:t>:</w:t>
      </w:r>
      <w:r w:rsidRPr="00694DFF">
        <w:rPr>
          <w:rFonts w:asciiTheme="minorHAnsi" w:hAnsiTheme="minorHAnsi" w:cstheme="minorHAnsi"/>
          <w:sz w:val="22"/>
          <w:szCs w:val="22"/>
        </w:rPr>
        <w:t xml:space="preserve"> </w:t>
      </w:r>
      <w:r w:rsidR="00694DFF">
        <w:rPr>
          <w:rFonts w:asciiTheme="minorHAnsi" w:hAnsiTheme="minorHAnsi" w:cstheme="minorHAnsi"/>
          <w:sz w:val="22"/>
          <w:szCs w:val="22"/>
        </w:rPr>
        <w:t xml:space="preserve">New Edits will be </w:t>
      </w:r>
      <w:r w:rsidRPr="00694DFF">
        <w:rPr>
          <w:rFonts w:asciiTheme="minorHAnsi" w:hAnsiTheme="minorHAnsi" w:cstheme="minorHAnsi"/>
          <w:sz w:val="22"/>
          <w:szCs w:val="22"/>
        </w:rPr>
        <w:t>switched to errors</w:t>
      </w:r>
    </w:p>
    <w:p w14:paraId="25FE8C35" w14:textId="73073ECC" w:rsidR="00D76615" w:rsidRPr="00D94430" w:rsidRDefault="00F44E9B" w:rsidP="002E7D36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Patient Zip Code: </w:t>
      </w:r>
      <w:r w:rsidR="00523331" w:rsidRPr="00D94430">
        <w:rPr>
          <w:rFonts w:asciiTheme="minorHAnsi" w:hAnsiTheme="minorHAnsi" w:cstheme="minorHAnsi"/>
          <w:sz w:val="22"/>
          <w:szCs w:val="22"/>
        </w:rPr>
        <w:t xml:space="preserve">Added a usage note </w:t>
      </w:r>
      <w:r w:rsidR="00CD7F3E">
        <w:rPr>
          <w:rFonts w:asciiTheme="minorHAnsi" w:hAnsiTheme="minorHAnsi" w:cstheme="minorHAnsi"/>
          <w:sz w:val="22"/>
          <w:szCs w:val="22"/>
        </w:rPr>
        <w:t xml:space="preserve">to the Homeless code </w:t>
      </w:r>
      <w:r w:rsidR="00523331" w:rsidRPr="00D94430">
        <w:rPr>
          <w:rFonts w:asciiTheme="minorHAnsi" w:hAnsiTheme="minorHAnsi" w:cstheme="minorHAnsi"/>
          <w:sz w:val="22"/>
          <w:szCs w:val="22"/>
        </w:rPr>
        <w:t>with the definition of homelessness from the Department of House and Urban Development (HUD).</w:t>
      </w:r>
    </w:p>
    <w:p w14:paraId="64BE93B2" w14:textId="77777777" w:rsidR="004279CD" w:rsidRPr="00D94430" w:rsidRDefault="00523331" w:rsidP="002E7D36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 xml:space="preserve">Point of Origin: </w:t>
      </w:r>
    </w:p>
    <w:p w14:paraId="0AA4D680" w14:textId="77777777" w:rsidR="00713E5F" w:rsidRPr="00D94430" w:rsidRDefault="00713E5F" w:rsidP="00713E5F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Add new code for Newborn born outside of the hospital (“NO”)</w:t>
      </w:r>
    </w:p>
    <w:p w14:paraId="70C597BB" w14:textId="77777777" w:rsidR="00713E5F" w:rsidRPr="00D94430" w:rsidRDefault="00713E5F" w:rsidP="00713E5F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Revise code for Newborn, born at the hospital (from “NB” to “NI”)</w:t>
      </w:r>
    </w:p>
    <w:p w14:paraId="3CCD84BA" w14:textId="7E351237" w:rsidR="00523331" w:rsidRPr="00D94430" w:rsidRDefault="00523331" w:rsidP="004279CD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Added usage notes to codes</w:t>
      </w:r>
    </w:p>
    <w:p w14:paraId="5508C02A" w14:textId="25B3CF89" w:rsidR="004279CD" w:rsidRPr="00D94430" w:rsidRDefault="004279CD" w:rsidP="004279CD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Removed requirement to provide associated provider ID for transfers from SNFs</w:t>
      </w:r>
    </w:p>
    <w:p w14:paraId="14ED1173" w14:textId="04A254C1" w:rsidR="004505FD" w:rsidRPr="00F323DB" w:rsidRDefault="004505FD" w:rsidP="004505FD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668C">
        <w:rPr>
          <w:rFonts w:asciiTheme="minorHAnsi" w:hAnsiTheme="minorHAnsi" w:cstheme="minorHAnsi"/>
          <w:b/>
          <w:sz w:val="22"/>
          <w:szCs w:val="22"/>
        </w:rPr>
        <w:t xml:space="preserve">Expected Payer Code: </w:t>
      </w:r>
      <w:r w:rsidRPr="008E668C">
        <w:rPr>
          <w:rFonts w:asciiTheme="minorHAnsi" w:hAnsiTheme="minorHAnsi" w:cstheme="minorHAnsi"/>
          <w:sz w:val="22"/>
          <w:szCs w:val="22"/>
        </w:rPr>
        <w:t xml:space="preserve">Reinstate </w:t>
      </w:r>
      <w:r w:rsidR="004279CD" w:rsidRPr="008E668C">
        <w:rPr>
          <w:rFonts w:asciiTheme="minorHAnsi" w:hAnsiTheme="minorHAnsi" w:cstheme="minorHAnsi"/>
          <w:sz w:val="22"/>
          <w:szCs w:val="22"/>
        </w:rPr>
        <w:t xml:space="preserve">code for </w:t>
      </w:r>
      <w:r w:rsidRPr="008E668C">
        <w:rPr>
          <w:rFonts w:asciiTheme="minorHAnsi" w:hAnsiTheme="minorHAnsi" w:cstheme="minorHAnsi"/>
          <w:sz w:val="22"/>
          <w:szCs w:val="22"/>
        </w:rPr>
        <w:t>Not Applicable (77)</w:t>
      </w:r>
      <w:r w:rsidR="008E668C">
        <w:rPr>
          <w:rFonts w:asciiTheme="minorHAnsi" w:hAnsiTheme="minorHAnsi" w:cstheme="minorHAnsi"/>
          <w:sz w:val="22"/>
          <w:szCs w:val="22"/>
        </w:rPr>
        <w:t xml:space="preserve"> (this code was missing in the FY2020 DSR)</w:t>
      </w:r>
    </w:p>
    <w:p w14:paraId="2F784829" w14:textId="1FF3FE0F" w:rsidR="00F323DB" w:rsidRPr="008E668C" w:rsidRDefault="00F323DB" w:rsidP="004505FD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Expected Health Plan Payer: </w:t>
      </w:r>
      <w:r>
        <w:rPr>
          <w:rFonts w:asciiTheme="minorHAnsi" w:hAnsiTheme="minorHAnsi" w:cstheme="minorHAnsi"/>
          <w:sz w:val="22"/>
          <w:szCs w:val="22"/>
        </w:rPr>
        <w:t>Removed terminated health plans</w:t>
      </w:r>
      <w:r w:rsidR="00443EA3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updated names  </w:t>
      </w:r>
    </w:p>
    <w:p w14:paraId="578CF8BD" w14:textId="00FA45AA" w:rsidR="004505FD" w:rsidRPr="00D94430" w:rsidRDefault="00B709E2" w:rsidP="002E7D36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Provider Specific Admission Source:</w:t>
      </w:r>
      <w:r w:rsidR="004279CD" w:rsidRPr="00D94430">
        <w:rPr>
          <w:rFonts w:asciiTheme="minorHAnsi" w:hAnsiTheme="minorHAnsi" w:cstheme="minorHAnsi"/>
          <w:sz w:val="22"/>
          <w:szCs w:val="22"/>
        </w:rPr>
        <w:t xml:space="preserve"> Removed</w:t>
      </w:r>
      <w:r w:rsidRPr="00D94430">
        <w:rPr>
          <w:rFonts w:asciiTheme="minorHAnsi" w:hAnsiTheme="minorHAnsi" w:cstheme="minorHAnsi"/>
          <w:sz w:val="22"/>
          <w:szCs w:val="22"/>
        </w:rPr>
        <w:t xml:space="preserve"> “777777” as a valid code and allowing </w:t>
      </w:r>
      <w:r w:rsidR="004279CD" w:rsidRPr="00D94430">
        <w:rPr>
          <w:rFonts w:asciiTheme="minorHAnsi" w:hAnsiTheme="minorHAnsi" w:cstheme="minorHAnsi"/>
          <w:sz w:val="22"/>
          <w:szCs w:val="22"/>
        </w:rPr>
        <w:t>only blanks for Not Applicable</w:t>
      </w:r>
    </w:p>
    <w:p w14:paraId="24617483" w14:textId="77777777" w:rsidR="004279CD" w:rsidRPr="008E668C" w:rsidRDefault="004279CD" w:rsidP="002E7D36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668C">
        <w:rPr>
          <w:rFonts w:asciiTheme="minorHAnsi" w:hAnsiTheme="minorHAnsi" w:cstheme="minorHAnsi"/>
          <w:b/>
          <w:sz w:val="22"/>
          <w:szCs w:val="22"/>
        </w:rPr>
        <w:t xml:space="preserve">Patient Disposition: </w:t>
      </w:r>
    </w:p>
    <w:p w14:paraId="1F54DC07" w14:textId="49BF7BBA" w:rsidR="004279CD" w:rsidRPr="00D94430" w:rsidRDefault="004279CD" w:rsidP="004279CD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Added usage notes for codes</w:t>
      </w:r>
    </w:p>
    <w:p w14:paraId="51FA5E41" w14:textId="40DE3343" w:rsidR="004279CD" w:rsidRPr="00D94430" w:rsidRDefault="004279CD" w:rsidP="004279CD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Removed code for recurring claims (00)</w:t>
      </w:r>
      <w:r w:rsidR="008E668C">
        <w:rPr>
          <w:rFonts w:asciiTheme="minorHAnsi" w:hAnsiTheme="minorHAnsi" w:cstheme="minorHAnsi"/>
          <w:sz w:val="22"/>
          <w:szCs w:val="22"/>
        </w:rPr>
        <w:t>. HSCRC is no longer tracking recurring claims. Hospitals should report the actual discharge disposition of the patient (i.e., if the patient went home, then report code 01 (Home))</w:t>
      </w:r>
    </w:p>
    <w:p w14:paraId="2F845961" w14:textId="1626ACC4" w:rsidR="004279CD" w:rsidRPr="008E668C" w:rsidRDefault="004279CD" w:rsidP="004279CD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Removed requirement to provide associated provider ID for discharges to Medicare-certified SNF and certified Medicaid nursing facilities.</w:t>
      </w:r>
    </w:p>
    <w:p w14:paraId="201AD696" w14:textId="0B48B6DE" w:rsidR="008E668C" w:rsidRPr="00D94430" w:rsidRDefault="008E668C" w:rsidP="008E668C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668C">
        <w:rPr>
          <w:rFonts w:asciiTheme="minorHAnsi" w:hAnsiTheme="minorHAnsi" w:cstheme="minorHAnsi"/>
          <w:b/>
          <w:sz w:val="22"/>
          <w:szCs w:val="22"/>
        </w:rPr>
        <w:t>Units of Service:</w:t>
      </w:r>
      <w:r>
        <w:rPr>
          <w:rFonts w:asciiTheme="minorHAnsi" w:hAnsiTheme="minorHAnsi" w:cstheme="minorHAnsi"/>
          <w:sz w:val="22"/>
          <w:szCs w:val="22"/>
        </w:rPr>
        <w:t xml:space="preserve"> Expanded max length for Units of Service from 5 to 6.</w:t>
      </w:r>
    </w:p>
    <w:p w14:paraId="2801E3AD" w14:textId="77777777" w:rsidR="00D30899" w:rsidRDefault="00D30899" w:rsidP="0086182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8E86D" w14:textId="045A12CB" w:rsidR="00861826" w:rsidRPr="008A4078" w:rsidRDefault="00861826" w:rsidP="0086182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A4078">
        <w:rPr>
          <w:rFonts w:asciiTheme="minorHAnsi" w:hAnsiTheme="minorHAnsi" w:cstheme="minorHAnsi"/>
          <w:b/>
          <w:bCs/>
          <w:sz w:val="22"/>
          <w:szCs w:val="22"/>
        </w:rPr>
        <w:t xml:space="preserve">Changes </w:t>
      </w:r>
      <w:r w:rsidR="00D30899">
        <w:rPr>
          <w:rFonts w:asciiTheme="minorHAnsi" w:hAnsiTheme="minorHAnsi" w:cstheme="minorHAnsi"/>
          <w:b/>
          <w:bCs/>
          <w:sz w:val="22"/>
          <w:szCs w:val="22"/>
        </w:rPr>
        <w:t xml:space="preserve">to be </w:t>
      </w:r>
      <w:r w:rsidR="00BE5DC1">
        <w:rPr>
          <w:rFonts w:asciiTheme="minorHAnsi" w:hAnsiTheme="minorHAnsi" w:cstheme="minorHAnsi"/>
          <w:b/>
          <w:bCs/>
          <w:sz w:val="22"/>
          <w:szCs w:val="22"/>
        </w:rPr>
        <w:t xml:space="preserve">delayed until </w:t>
      </w:r>
      <w:r w:rsidRPr="008A4078">
        <w:rPr>
          <w:rFonts w:asciiTheme="minorHAnsi" w:hAnsiTheme="minorHAnsi" w:cstheme="minorHAnsi"/>
          <w:b/>
          <w:bCs/>
          <w:sz w:val="22"/>
          <w:szCs w:val="22"/>
        </w:rPr>
        <w:t>FY 202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2355E861" w14:textId="38A8B7E3" w:rsidR="00D76615" w:rsidRDefault="00D94430" w:rsidP="008F01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 xml:space="preserve">The following changes that </w:t>
      </w:r>
      <w:r w:rsidR="00861826">
        <w:rPr>
          <w:rFonts w:asciiTheme="minorHAnsi" w:hAnsiTheme="minorHAnsi" w:cstheme="minorHAnsi"/>
          <w:sz w:val="22"/>
          <w:szCs w:val="22"/>
        </w:rPr>
        <w:t>are</w:t>
      </w:r>
      <w:r w:rsidR="00861826" w:rsidRPr="00D94430">
        <w:rPr>
          <w:rFonts w:asciiTheme="minorHAnsi" w:hAnsiTheme="minorHAnsi" w:cstheme="minorHAnsi"/>
          <w:sz w:val="22"/>
          <w:szCs w:val="22"/>
        </w:rPr>
        <w:t xml:space="preserve"> </w:t>
      </w:r>
      <w:r w:rsidRPr="00D94430">
        <w:rPr>
          <w:rFonts w:asciiTheme="minorHAnsi" w:hAnsiTheme="minorHAnsi" w:cstheme="minorHAnsi"/>
          <w:sz w:val="22"/>
          <w:szCs w:val="22"/>
        </w:rPr>
        <w:t xml:space="preserve">applicable to the Inpatient, Outpatient and Psychiatric datasets </w:t>
      </w:r>
      <w:r w:rsidR="00D76615" w:rsidRPr="00D94430">
        <w:rPr>
          <w:rFonts w:asciiTheme="minorHAnsi" w:hAnsiTheme="minorHAnsi" w:cstheme="minorHAnsi"/>
          <w:sz w:val="22"/>
          <w:szCs w:val="22"/>
        </w:rPr>
        <w:t xml:space="preserve">will be </w:t>
      </w:r>
      <w:r w:rsidRPr="00D94430">
        <w:rPr>
          <w:rFonts w:asciiTheme="minorHAnsi" w:hAnsiTheme="minorHAnsi" w:cstheme="minorHAnsi"/>
          <w:sz w:val="22"/>
          <w:szCs w:val="22"/>
        </w:rPr>
        <w:t>delayed</w:t>
      </w:r>
      <w:r w:rsidR="00D76615" w:rsidRPr="00D94430">
        <w:rPr>
          <w:rFonts w:asciiTheme="minorHAnsi" w:hAnsiTheme="minorHAnsi" w:cstheme="minorHAnsi"/>
          <w:sz w:val="22"/>
          <w:szCs w:val="22"/>
        </w:rPr>
        <w:t xml:space="preserve"> until FY 2022</w:t>
      </w:r>
      <w:r w:rsidR="00CD7F3E">
        <w:rPr>
          <w:rFonts w:asciiTheme="minorHAnsi" w:hAnsiTheme="minorHAnsi" w:cstheme="minorHAnsi"/>
          <w:sz w:val="22"/>
          <w:szCs w:val="22"/>
        </w:rPr>
        <w:t>.</w:t>
      </w:r>
    </w:p>
    <w:p w14:paraId="19A5A537" w14:textId="77777777" w:rsidR="00CD7F3E" w:rsidRPr="00D94430" w:rsidRDefault="00CD7F3E" w:rsidP="008F01D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F5EE8F" w14:textId="5865C14E" w:rsidR="00D94430" w:rsidRPr="00D94430" w:rsidRDefault="00D94430" w:rsidP="00D94430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File Naming Convention:</w:t>
      </w:r>
      <w:r w:rsidRPr="00D94430">
        <w:rPr>
          <w:rFonts w:asciiTheme="minorHAnsi" w:hAnsiTheme="minorHAnsi" w:cstheme="minorHAnsi"/>
          <w:sz w:val="22"/>
          <w:szCs w:val="22"/>
        </w:rPr>
        <w:t xml:space="preserve"> </w:t>
      </w:r>
      <w:r w:rsidR="00D30899">
        <w:rPr>
          <w:rFonts w:asciiTheme="minorHAnsi" w:hAnsiTheme="minorHAnsi" w:cstheme="minorHAnsi"/>
          <w:sz w:val="22"/>
          <w:szCs w:val="22"/>
        </w:rPr>
        <w:t>A</w:t>
      </w:r>
      <w:r w:rsidRPr="00D94430">
        <w:rPr>
          <w:rFonts w:asciiTheme="minorHAnsi" w:hAnsiTheme="minorHAnsi" w:cstheme="minorHAnsi"/>
          <w:sz w:val="22"/>
          <w:szCs w:val="22"/>
        </w:rPr>
        <w:t xml:space="preserve"> new naming convention </w:t>
      </w:r>
      <w:r w:rsidR="00D30899">
        <w:rPr>
          <w:rFonts w:asciiTheme="minorHAnsi" w:hAnsiTheme="minorHAnsi" w:cstheme="minorHAnsi"/>
          <w:sz w:val="22"/>
          <w:szCs w:val="22"/>
        </w:rPr>
        <w:t xml:space="preserve">will be implemented </w:t>
      </w:r>
      <w:r w:rsidRPr="00D94430">
        <w:rPr>
          <w:rFonts w:asciiTheme="minorHAnsi" w:hAnsiTheme="minorHAnsi" w:cstheme="minorHAnsi"/>
          <w:sz w:val="22"/>
          <w:szCs w:val="22"/>
        </w:rPr>
        <w:t xml:space="preserve">to standardize the files that are being </w:t>
      </w:r>
      <w:r w:rsidR="00D30899">
        <w:rPr>
          <w:rFonts w:asciiTheme="minorHAnsi" w:hAnsiTheme="minorHAnsi" w:cstheme="minorHAnsi"/>
          <w:sz w:val="22"/>
          <w:szCs w:val="22"/>
        </w:rPr>
        <w:t>transmitted</w:t>
      </w:r>
      <w:r w:rsidRPr="00D94430">
        <w:rPr>
          <w:rFonts w:asciiTheme="minorHAnsi" w:hAnsiTheme="minorHAnsi" w:cstheme="minorHAnsi"/>
          <w:sz w:val="22"/>
          <w:szCs w:val="22"/>
        </w:rPr>
        <w:t xml:space="preserve"> on a monthly basis. This will reduce confusion when retrieving multiple files from the same hospital. </w:t>
      </w:r>
    </w:p>
    <w:p w14:paraId="7FCDA848" w14:textId="77777777" w:rsidR="00D94430" w:rsidRDefault="00D94430" w:rsidP="00C91FB6">
      <w:pPr>
        <w:pStyle w:val="ListParagraph"/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46AB639" wp14:editId="53D5C3A6">
            <wp:extent cx="4102949" cy="2286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949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BB05B" w14:textId="77777777" w:rsidR="00CD7F3E" w:rsidRPr="00D94430" w:rsidRDefault="00CD7F3E" w:rsidP="00CD7F3E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DF38FF" w14:textId="072E623A" w:rsidR="00523331" w:rsidRPr="00D94430" w:rsidRDefault="00D76615" w:rsidP="00D94430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Expected Payer Codes</w:t>
      </w:r>
      <w:r w:rsidR="00523331" w:rsidRPr="00D94430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1C09E1E" w14:textId="622F1588" w:rsidR="00D76615" w:rsidRPr="00C91FB6" w:rsidRDefault="00523331" w:rsidP="00C91FB6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lastRenderedPageBreak/>
        <w:t>Combine Blue Cross (04), HMO (12), Blue Cross National Capital Area (16), Blue Cross – Other State (17) with Commercial Insurance (05)</w:t>
      </w:r>
    </w:p>
    <w:p w14:paraId="55DC38B4" w14:textId="4359DF2B" w:rsidR="00523331" w:rsidRPr="00C91FB6" w:rsidRDefault="00523331" w:rsidP="00C91FB6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Combine Title V (03) with Other Government Programs (06)</w:t>
      </w:r>
    </w:p>
    <w:p w14:paraId="35B39C5C" w14:textId="69D34983" w:rsidR="00523331" w:rsidRPr="00C91FB6" w:rsidRDefault="00523331" w:rsidP="00C91FB6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Combine Donor (11) with Other (10)</w:t>
      </w:r>
    </w:p>
    <w:p w14:paraId="0DAC4B99" w14:textId="690E12E5" w:rsidR="00523331" w:rsidRPr="00C91FB6" w:rsidRDefault="00523331" w:rsidP="00C91FB6">
      <w:pPr>
        <w:pStyle w:val="ListParagraph"/>
        <w:numPr>
          <w:ilvl w:val="1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>Added new code for Behavioral Health Plans (19)</w:t>
      </w:r>
    </w:p>
    <w:p w14:paraId="7C1F6777" w14:textId="2080DBA5" w:rsidR="004505FD" w:rsidRPr="00D94430" w:rsidRDefault="004505FD" w:rsidP="00D94430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>Health Plan Payer Codes</w:t>
      </w:r>
    </w:p>
    <w:p w14:paraId="08B9730E" w14:textId="6EA00A32" w:rsidR="004505FD" w:rsidRPr="00C91FB6" w:rsidRDefault="004505FD" w:rsidP="00C91FB6">
      <w:pPr>
        <w:pStyle w:val="ListParagraph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4430">
        <w:rPr>
          <w:rFonts w:asciiTheme="minorHAnsi" w:hAnsiTheme="minorHAnsi" w:cstheme="minorHAnsi"/>
          <w:sz w:val="22"/>
          <w:szCs w:val="22"/>
        </w:rPr>
        <w:t xml:space="preserve">Combine various health plan products into major plans (for example, </w:t>
      </w:r>
      <w:r w:rsidR="004F6974" w:rsidRPr="00D94430">
        <w:rPr>
          <w:rFonts w:asciiTheme="minorHAnsi" w:hAnsiTheme="minorHAnsi" w:cstheme="minorHAnsi"/>
          <w:sz w:val="22"/>
          <w:szCs w:val="22"/>
        </w:rPr>
        <w:t>Care</w:t>
      </w:r>
      <w:r w:rsidR="00CD7F3E">
        <w:rPr>
          <w:rFonts w:asciiTheme="minorHAnsi" w:hAnsiTheme="minorHAnsi" w:cstheme="minorHAnsi"/>
          <w:sz w:val="22"/>
          <w:szCs w:val="22"/>
        </w:rPr>
        <w:t>F</w:t>
      </w:r>
      <w:r w:rsidR="004F6974" w:rsidRPr="00D94430">
        <w:rPr>
          <w:rFonts w:asciiTheme="minorHAnsi" w:hAnsiTheme="minorHAnsi" w:cstheme="minorHAnsi"/>
          <w:sz w:val="22"/>
          <w:szCs w:val="22"/>
        </w:rPr>
        <w:t xml:space="preserve">irst of Maryland, </w:t>
      </w:r>
      <w:r w:rsidR="00CD7F3E">
        <w:rPr>
          <w:rFonts w:asciiTheme="minorHAnsi" w:hAnsiTheme="minorHAnsi" w:cstheme="minorHAnsi"/>
          <w:sz w:val="22"/>
          <w:szCs w:val="22"/>
        </w:rPr>
        <w:t>CareF</w:t>
      </w:r>
      <w:r w:rsidR="004F6974" w:rsidRPr="00D94430">
        <w:rPr>
          <w:rFonts w:asciiTheme="minorHAnsi" w:hAnsiTheme="minorHAnsi" w:cstheme="minorHAnsi"/>
          <w:sz w:val="22"/>
          <w:szCs w:val="22"/>
        </w:rPr>
        <w:t>irst Group Hospitalization and Medical Services Inc.,</w:t>
      </w:r>
      <w:r w:rsidRPr="00D94430">
        <w:rPr>
          <w:rFonts w:asciiTheme="minorHAnsi" w:hAnsiTheme="minorHAnsi" w:cstheme="minorHAnsi"/>
          <w:sz w:val="22"/>
          <w:szCs w:val="22"/>
        </w:rPr>
        <w:t xml:space="preserve"> and </w:t>
      </w:r>
      <w:r w:rsidR="004F6974" w:rsidRPr="00D94430">
        <w:rPr>
          <w:rFonts w:asciiTheme="minorHAnsi" w:hAnsiTheme="minorHAnsi" w:cstheme="minorHAnsi"/>
          <w:sz w:val="22"/>
          <w:szCs w:val="22"/>
        </w:rPr>
        <w:t>Care</w:t>
      </w:r>
      <w:r w:rsidR="00CD7F3E">
        <w:rPr>
          <w:rFonts w:asciiTheme="minorHAnsi" w:hAnsiTheme="minorHAnsi" w:cstheme="minorHAnsi"/>
          <w:sz w:val="22"/>
          <w:szCs w:val="22"/>
        </w:rPr>
        <w:t>F</w:t>
      </w:r>
      <w:r w:rsidR="004F6974" w:rsidRPr="00D94430">
        <w:rPr>
          <w:rFonts w:asciiTheme="minorHAnsi" w:hAnsiTheme="minorHAnsi" w:cstheme="minorHAnsi"/>
          <w:sz w:val="22"/>
          <w:szCs w:val="22"/>
        </w:rPr>
        <w:t>irst Blue Choice are merged into CareFirst BlueCross BlueShield</w:t>
      </w:r>
    </w:p>
    <w:p w14:paraId="4B640056" w14:textId="0228C1C4" w:rsidR="00CD7F3E" w:rsidRDefault="00CD7F3E" w:rsidP="00CD7F3E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94430">
        <w:rPr>
          <w:rFonts w:asciiTheme="minorHAnsi" w:hAnsiTheme="minorHAnsi" w:cstheme="minorHAnsi"/>
          <w:b/>
          <w:sz w:val="22"/>
          <w:szCs w:val="22"/>
        </w:rPr>
        <w:t xml:space="preserve">New Edits: </w:t>
      </w:r>
      <w:r>
        <w:rPr>
          <w:rFonts w:asciiTheme="minorHAnsi" w:hAnsiTheme="minorHAnsi" w:cstheme="minorHAnsi"/>
          <w:sz w:val="22"/>
          <w:szCs w:val="22"/>
        </w:rPr>
        <w:t xml:space="preserve">The edits for expected primary, secondary and tertiary payer and expected primary, secondary and tertiary health plan </w:t>
      </w:r>
      <w:r w:rsidRPr="00D30899">
        <w:rPr>
          <w:rFonts w:asciiTheme="minorHAnsi" w:hAnsiTheme="minorHAnsi" w:cstheme="minorHAnsi"/>
          <w:sz w:val="22"/>
          <w:szCs w:val="22"/>
        </w:rPr>
        <w:t>payer are</w:t>
      </w:r>
      <w:r w:rsidR="00C91FB6" w:rsidRPr="00D30899">
        <w:rPr>
          <w:rFonts w:asciiTheme="minorHAnsi" w:hAnsiTheme="minorHAnsi" w:cstheme="minorHAnsi"/>
          <w:sz w:val="22"/>
          <w:szCs w:val="22"/>
        </w:rPr>
        <w:t xml:space="preserve"> highlighted </w:t>
      </w:r>
      <w:r w:rsidRPr="00D30899">
        <w:rPr>
          <w:rFonts w:asciiTheme="minorHAnsi" w:hAnsiTheme="minorHAnsi" w:cstheme="minorHAnsi"/>
          <w:sz w:val="22"/>
          <w:szCs w:val="22"/>
        </w:rPr>
        <w:t>in red and</w:t>
      </w:r>
      <w:r>
        <w:rPr>
          <w:rFonts w:asciiTheme="minorHAnsi" w:hAnsiTheme="minorHAnsi" w:cstheme="minorHAnsi"/>
          <w:sz w:val="22"/>
          <w:szCs w:val="22"/>
        </w:rPr>
        <w:t xml:space="preserve"> are applicable to the new codes described above.</w:t>
      </w:r>
    </w:p>
    <w:p w14:paraId="48685C88" w14:textId="77777777" w:rsidR="00D30899" w:rsidRPr="00C91FB6" w:rsidRDefault="00D30899" w:rsidP="000516CC">
      <w:pPr>
        <w:pStyle w:val="Heading1"/>
      </w:pPr>
      <w:r w:rsidRPr="00E91D11">
        <w:t>Error Threshold Reduction</w:t>
      </w:r>
    </w:p>
    <w:p w14:paraId="6B1449E3" w14:textId="5611ADF8" w:rsidR="00694DFF" w:rsidRDefault="00D30899" w:rsidP="00D30899">
      <w:pPr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536F">
        <w:rPr>
          <w:rFonts w:asciiTheme="minorHAnsi" w:hAnsiTheme="minorHAnsi" w:cstheme="minorHAnsi"/>
          <w:sz w:val="22"/>
          <w:szCs w:val="22"/>
        </w:rPr>
        <w:t xml:space="preserve">At the last Data Edits Workgroup meeting, staff presented analyses of hospital error percentages based on finalized data. For the FY 2019 – Q1 FY 2020 final data, almost all of the acute care hospitals were below 6 percent for both inpatient and outpatient. This supports the notion that the current 10 percent threshold is too high. </w:t>
      </w:r>
      <w:r w:rsidRPr="00694DFF">
        <w:rPr>
          <w:rFonts w:asciiTheme="minorHAnsi" w:hAnsiTheme="minorHAnsi" w:cstheme="minorHAnsi"/>
          <w:sz w:val="22"/>
          <w:szCs w:val="22"/>
        </w:rPr>
        <w:t xml:space="preserve">Hospitals participating in the meeting were amenable to keeping the 10 percent threshold for the preliminary monthly submissions; and reducing the error threshold </w:t>
      </w:r>
      <w:r w:rsidR="00DA4048">
        <w:rPr>
          <w:rFonts w:asciiTheme="minorHAnsi" w:hAnsiTheme="minorHAnsi" w:cstheme="minorHAnsi"/>
          <w:sz w:val="22"/>
          <w:szCs w:val="22"/>
        </w:rPr>
        <w:t xml:space="preserve">for </w:t>
      </w:r>
      <w:r w:rsidRPr="00694DFF">
        <w:rPr>
          <w:rFonts w:asciiTheme="minorHAnsi" w:hAnsiTheme="minorHAnsi" w:cstheme="minorHAnsi"/>
          <w:sz w:val="22"/>
          <w:szCs w:val="22"/>
        </w:rPr>
        <w:t>final submissions after a grace period for 2 quarters.</w:t>
      </w:r>
      <w:r w:rsidRPr="00694D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536F">
        <w:rPr>
          <w:rFonts w:asciiTheme="minorHAnsi" w:hAnsiTheme="minorHAnsi" w:cstheme="minorHAnsi"/>
          <w:sz w:val="22"/>
          <w:szCs w:val="22"/>
        </w:rPr>
        <w:t xml:space="preserve">This would allow time for hospitals to adapt to the new edit checks that are effective for FY 2021. </w:t>
      </w:r>
      <w:r w:rsidR="00694DFF">
        <w:rPr>
          <w:rFonts w:asciiTheme="minorHAnsi" w:hAnsiTheme="minorHAnsi" w:cstheme="minorHAnsi"/>
          <w:sz w:val="22"/>
          <w:szCs w:val="22"/>
        </w:rPr>
        <w:t xml:space="preserve">Therefore, </w:t>
      </w:r>
      <w:r w:rsidRPr="00B6536F">
        <w:rPr>
          <w:rFonts w:asciiTheme="minorHAnsi" w:hAnsiTheme="minorHAnsi" w:cstheme="minorHAnsi"/>
          <w:sz w:val="22"/>
          <w:szCs w:val="22"/>
        </w:rPr>
        <w:t xml:space="preserve">HSCRC </w:t>
      </w:r>
      <w:r w:rsidR="00694DFF">
        <w:rPr>
          <w:rFonts w:asciiTheme="minorHAnsi" w:hAnsiTheme="minorHAnsi" w:cstheme="minorHAnsi"/>
          <w:sz w:val="22"/>
          <w:szCs w:val="22"/>
        </w:rPr>
        <w:t>proposes to:</w:t>
      </w:r>
    </w:p>
    <w:p w14:paraId="375A76EE" w14:textId="7F4BE9AB" w:rsidR="00694DFF" w:rsidRPr="00694DFF" w:rsidRDefault="00694DFF" w:rsidP="00694DFF">
      <w:pPr>
        <w:pStyle w:val="ListParagraph"/>
        <w:widowControl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694DFF">
        <w:rPr>
          <w:rFonts w:asciiTheme="minorHAnsi" w:hAnsiTheme="minorHAnsi" w:cstheme="minorHAnsi"/>
          <w:sz w:val="22"/>
          <w:szCs w:val="22"/>
        </w:rPr>
        <w:t xml:space="preserve">educe the error threshold from 10 percent to 5 percent for </w:t>
      </w:r>
      <w:r w:rsidRPr="00DA4048">
        <w:rPr>
          <w:rFonts w:asciiTheme="minorHAnsi" w:hAnsiTheme="minorHAnsi" w:cstheme="minorHAnsi"/>
          <w:sz w:val="22"/>
          <w:szCs w:val="22"/>
          <w:u w:val="single"/>
        </w:rPr>
        <w:t>final</w:t>
      </w:r>
      <w:r w:rsidRPr="00694DFF">
        <w:rPr>
          <w:rFonts w:asciiTheme="minorHAnsi" w:hAnsiTheme="minorHAnsi" w:cstheme="minorHAnsi"/>
          <w:sz w:val="22"/>
          <w:szCs w:val="22"/>
        </w:rPr>
        <w:t xml:space="preserve"> </w:t>
      </w:r>
      <w:r w:rsidR="00DA4048">
        <w:rPr>
          <w:rFonts w:asciiTheme="minorHAnsi" w:hAnsiTheme="minorHAnsi" w:cstheme="minorHAnsi"/>
          <w:sz w:val="22"/>
          <w:szCs w:val="22"/>
        </w:rPr>
        <w:t xml:space="preserve">quarterly </w:t>
      </w:r>
      <w:r w:rsidRPr="00694DFF">
        <w:rPr>
          <w:rFonts w:asciiTheme="minorHAnsi" w:hAnsiTheme="minorHAnsi" w:cstheme="minorHAnsi"/>
          <w:sz w:val="22"/>
          <w:szCs w:val="22"/>
        </w:rPr>
        <w:t>submissions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94DFF">
        <w:rPr>
          <w:rFonts w:asciiTheme="minorHAnsi" w:hAnsiTheme="minorHAnsi" w:cstheme="minorHAnsi"/>
          <w:sz w:val="22"/>
          <w:szCs w:val="22"/>
        </w:rPr>
        <w:t xml:space="preserve"> effective January 2021</w:t>
      </w:r>
      <w:r w:rsidR="00DA4048">
        <w:rPr>
          <w:rFonts w:asciiTheme="minorHAnsi" w:hAnsiTheme="minorHAnsi" w:cstheme="minorHAnsi"/>
          <w:sz w:val="22"/>
          <w:szCs w:val="22"/>
        </w:rPr>
        <w:t>; and</w:t>
      </w:r>
      <w:r w:rsidRPr="00694D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B29A35" w14:textId="59D5CDFC" w:rsidR="00D30899" w:rsidRPr="00694DFF" w:rsidRDefault="00DA4048" w:rsidP="00694DFF">
      <w:pPr>
        <w:pStyle w:val="ListParagraph"/>
        <w:widowControl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30899" w:rsidRPr="00694DFF">
        <w:rPr>
          <w:rFonts w:asciiTheme="minorHAnsi" w:hAnsiTheme="minorHAnsi" w:cstheme="minorHAnsi"/>
          <w:sz w:val="22"/>
          <w:szCs w:val="22"/>
        </w:rPr>
        <w:t xml:space="preserve">ssess the state of affairs </w:t>
      </w:r>
      <w:r>
        <w:rPr>
          <w:rFonts w:asciiTheme="minorHAnsi" w:hAnsiTheme="minorHAnsi" w:cstheme="minorHAnsi"/>
          <w:sz w:val="22"/>
          <w:szCs w:val="22"/>
        </w:rPr>
        <w:t>in the fall</w:t>
      </w:r>
      <w:r w:rsidR="00D30899" w:rsidRPr="00694DFF">
        <w:rPr>
          <w:rFonts w:asciiTheme="minorHAnsi" w:hAnsiTheme="minorHAnsi" w:cstheme="minorHAnsi"/>
          <w:sz w:val="22"/>
          <w:szCs w:val="22"/>
        </w:rPr>
        <w:t xml:space="preserve"> to determine whether another delay is necessary.</w:t>
      </w:r>
    </w:p>
    <w:p w14:paraId="307BBAEA" w14:textId="6983B4BB" w:rsidR="00CD7F3E" w:rsidRPr="00C91FB6" w:rsidRDefault="00CD7F3E" w:rsidP="000516CC">
      <w:pPr>
        <w:pStyle w:val="Heading1"/>
      </w:pPr>
      <w:r w:rsidRPr="00C91FB6">
        <w:t>FY 2021 Production Schedule</w:t>
      </w:r>
    </w:p>
    <w:p w14:paraId="32C44F4F" w14:textId="3023492A" w:rsidR="00CD7F3E" w:rsidRPr="00CD7F3E" w:rsidRDefault="00CD7F3E" w:rsidP="00CD7F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Table 1 displays the production schedule for FY 2021. </w:t>
      </w:r>
    </w:p>
    <w:p w14:paraId="1A33A538" w14:textId="63EB7FAA" w:rsidR="00D30899" w:rsidRDefault="00D30899" w:rsidP="00BC0750">
      <w:pPr>
        <w:widowControl/>
        <w:spacing w:line="276" w:lineRule="auto"/>
        <w:rPr>
          <w:sz w:val="20"/>
          <w:szCs w:val="20"/>
        </w:rPr>
      </w:pPr>
      <w:r>
        <w:fldChar w:fldCharType="begin"/>
      </w:r>
      <w:r>
        <w:instrText xml:space="preserve"> LINK Excel.Sheet.12 "C:\\Users\\cwilliams\\Downloads\\FY 2021 Production Schedule - comprehensive timeline_Draft_20200311a (1).xlsx" "Reporting Due Dates FY2021!R1C1:R30C9" \a \f 4 \h  \* MERGEFORMAT </w:instrText>
      </w:r>
      <w:r>
        <w:fldChar w:fldCharType="separate"/>
      </w:r>
    </w:p>
    <w:tbl>
      <w:tblPr>
        <w:tblW w:w="11118" w:type="dxa"/>
        <w:tblInd w:w="-900" w:type="dxa"/>
        <w:tblLook w:val="04A0" w:firstRow="1" w:lastRow="0" w:firstColumn="1" w:lastColumn="0" w:noHBand="0" w:noVBand="1"/>
      </w:tblPr>
      <w:tblGrid>
        <w:gridCol w:w="2880"/>
        <w:gridCol w:w="1375"/>
        <w:gridCol w:w="1340"/>
        <w:gridCol w:w="1375"/>
        <w:gridCol w:w="1375"/>
        <w:gridCol w:w="1253"/>
        <w:gridCol w:w="1520"/>
      </w:tblGrid>
      <w:tr w:rsidR="00D30899" w:rsidRPr="00D30899" w14:paraId="37A06624" w14:textId="77777777" w:rsidTr="00694DFF">
        <w:trPr>
          <w:trHeight w:val="315"/>
          <w:tblHeader/>
        </w:trPr>
        <w:tc>
          <w:tcPr>
            <w:tcW w:w="111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D4CBF0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Table 1: FY 2021 Case Mix and Financial Reporting Due Dates</w:t>
            </w:r>
          </w:p>
        </w:tc>
      </w:tr>
      <w:tr w:rsidR="00D30899" w:rsidRPr="00D30899" w14:paraId="5B3C56C9" w14:textId="77777777" w:rsidTr="00694DFF">
        <w:trPr>
          <w:trHeight w:val="315"/>
          <w:tblHeader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5683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Dataset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9B2947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Case Mix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2F7626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Financials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57866E2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Reconciliation Reports</w:t>
            </w:r>
          </w:p>
        </w:tc>
      </w:tr>
      <w:tr w:rsidR="00D30899" w:rsidRPr="00D30899" w14:paraId="023DA847" w14:textId="77777777" w:rsidTr="00694DFF">
        <w:trPr>
          <w:trHeight w:val="315"/>
          <w:tblHeader/>
        </w:trPr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3297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Submit to: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1D38EF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hMetrix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C2077D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HSCRC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4A2525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HSCRC</w:t>
            </w:r>
          </w:p>
        </w:tc>
      </w:tr>
      <w:tr w:rsidR="00D30899" w:rsidRPr="000516CC" w14:paraId="40B3A58D" w14:textId="77777777" w:rsidTr="00694DFF">
        <w:trPr>
          <w:trHeight w:val="750"/>
          <w:tblHeader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6D690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FY 2021 Production Schedule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25AE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Mon/</w:t>
            </w:r>
            <w:proofErr w:type="spellStart"/>
            <w:r w:rsidRPr="00D30899">
              <w:rPr>
                <w:rFonts w:ascii="Calibri" w:hAnsi="Calibri" w:cs="Calibri"/>
                <w:b/>
                <w:bCs/>
                <w:color w:val="000000"/>
              </w:rPr>
              <w:t>Qtr</w:t>
            </w:r>
            <w:proofErr w:type="spellEnd"/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End date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A4727D6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Days from End Date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6D0329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Due Date hMetrix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4C323382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Due Date to HSCRC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CEEDBD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Due Date to HSCRC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274AA3D" w14:textId="15169922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Variance </w:t>
            </w:r>
            <w:r w:rsidR="000516CC" w:rsidRPr="00D30899">
              <w:rPr>
                <w:rFonts w:ascii="Calibri" w:hAnsi="Calibri" w:cs="Calibri"/>
                <w:b/>
                <w:bCs/>
                <w:color w:val="000000"/>
              </w:rPr>
              <w:t>Threshold</w:t>
            </w:r>
          </w:p>
        </w:tc>
      </w:tr>
      <w:tr w:rsidR="00D30899" w:rsidRPr="000516CC" w14:paraId="70FDA5CA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E2DF53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FY 2020 Q4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9E4979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5640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B1572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27307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3D1BA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17B8D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899" w:rsidRPr="00D30899" w14:paraId="1022D303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E20DB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April 2020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4FBE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4/30/2020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31239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D4F0B9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5/15/2020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C7D905A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6/1/2020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14:paraId="0817B26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D30899" w:rsidRPr="00D30899" w14:paraId="7F64ECA3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5CE2B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April &amp; May 2020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3045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5/31/2020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4894FD9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C9090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6/15/2020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6D340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6/30/2020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D77E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D30899" w14:paraId="12F0D2AE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DD730AF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April, May &amp; June 2020 (Prelim)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3930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6/30/2020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DB304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AD8065C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7/15/2020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78C6D9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7/30/2020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3AFE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0516CC" w14:paraId="3A25F6C3" w14:textId="77777777" w:rsidTr="00694DFF">
        <w:trPr>
          <w:trHeight w:val="315"/>
        </w:trPr>
        <w:tc>
          <w:tcPr>
            <w:tcW w:w="4255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1DBA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4th </w:t>
            </w:r>
            <w:proofErr w:type="spellStart"/>
            <w:r w:rsidRPr="00D30899">
              <w:rPr>
                <w:rFonts w:ascii="Calibri" w:hAnsi="Calibri" w:cs="Calibri"/>
                <w:b/>
                <w:bCs/>
                <w:color w:val="000000"/>
              </w:rPr>
              <w:t>Qtr</w:t>
            </w:r>
            <w:proofErr w:type="spellEnd"/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3B4369C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39FCC2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8/31/2020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467A09A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68902C5" w14:textId="3C684471" w:rsidR="00D30899" w:rsidRPr="00D30899" w:rsidRDefault="00D30899" w:rsidP="00694D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694DFF">
              <w:rPr>
                <w:rFonts w:ascii="Calibri" w:hAnsi="Calibri" w:cs="Calibri"/>
                <w:b/>
                <w:bCs/>
              </w:rPr>
              <w:t>9/</w:t>
            </w:r>
            <w:r w:rsidR="00694DFF" w:rsidRPr="00694DFF">
              <w:rPr>
                <w:rFonts w:ascii="Calibri" w:hAnsi="Calibri" w:cs="Calibri"/>
                <w:b/>
                <w:bCs/>
              </w:rPr>
              <w:t>8</w:t>
            </w:r>
            <w:r w:rsidRPr="00694DFF">
              <w:rPr>
                <w:rFonts w:ascii="Calibri" w:hAnsi="Calibri" w:cs="Calibri"/>
                <w:b/>
                <w:bCs/>
              </w:rPr>
              <w:t>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413C1CB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D30899" w:rsidRPr="000516CC" w14:paraId="38DEF11E" w14:textId="77777777" w:rsidTr="00694DFF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787AB8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lastRenderedPageBreak/>
              <w:t>FY 2021 Q1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08C38D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42E8D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D9D9D9"/>
              </w:rPr>
            </w:pPr>
            <w:r w:rsidRPr="00D30899">
              <w:rPr>
                <w:rFonts w:ascii="Calibri" w:hAnsi="Calibri" w:cs="Calibri"/>
                <w:color w:val="D9D9D9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EB5A4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F1EA12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AD7D72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26524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D30899" w:rsidRPr="00D30899" w14:paraId="19BE2F88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4D9F9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July 2020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B09A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7/31/2020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56D867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5CB3076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8/17/2020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0ED41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8/31/2020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14:paraId="76EA68AA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D30899" w:rsidRPr="00D30899" w14:paraId="67EB15A8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22BEE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July &amp; August 2020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C13C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8/31/2020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200D6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AF7DF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9/15/2020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A803A22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9/30/2020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F62F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D30899" w14:paraId="519EAF69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AAAACB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Jul, Aug &amp; Sept 2020 (Prelim)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702A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9/30/2020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0DD1FB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E15F2D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10/15/2020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12E42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10/30/2020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5F45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0516CC" w14:paraId="09CD000E" w14:textId="77777777" w:rsidTr="00694DFF">
        <w:trPr>
          <w:trHeight w:val="315"/>
        </w:trPr>
        <w:tc>
          <w:tcPr>
            <w:tcW w:w="42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C24B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1st </w:t>
            </w:r>
            <w:proofErr w:type="spellStart"/>
            <w:r w:rsidRPr="00D30899">
              <w:rPr>
                <w:rFonts w:ascii="Calibri" w:hAnsi="Calibri" w:cs="Calibri"/>
                <w:b/>
                <w:bCs/>
                <w:color w:val="000000"/>
              </w:rPr>
              <w:t>Qtr</w:t>
            </w:r>
            <w:proofErr w:type="spellEnd"/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FD94496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D2932F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11/30/2020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950CF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311F346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12/7/2020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52A10A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D30899" w:rsidRPr="000516CC" w14:paraId="1039CA0F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87CD77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FY 2021 Q2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E2006F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37709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D9D9D9"/>
              </w:rPr>
            </w:pPr>
            <w:r w:rsidRPr="00D30899">
              <w:rPr>
                <w:rFonts w:ascii="Calibri" w:hAnsi="Calibri" w:cs="Calibri"/>
                <w:color w:val="D9D9D9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E87CD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0A58A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F9394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6E41C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899" w:rsidRPr="00D30899" w14:paraId="1E5F902F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96AA8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October 2020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D744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10/31/2020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E72283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C7EE70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11/16/2020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71F83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11/30/2019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14:paraId="2E4B6B49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D30899" w:rsidRPr="00D30899" w14:paraId="42797FCA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B2B8C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Oct &amp; Nov 2020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76D9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11/30/2020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D06264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FF6EAD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12/15/2020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E9B7E9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12/30/2020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E5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D30899" w14:paraId="24E6E259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A284B37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Oct, Nov &amp; Dec 2020 (Prelim)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A46D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12/31/2020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DD4381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73A70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1/15/2021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DC428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2/1/2021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7C8D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0516CC" w14:paraId="04B23F4D" w14:textId="77777777" w:rsidTr="00694DFF">
        <w:trPr>
          <w:trHeight w:val="315"/>
        </w:trPr>
        <w:tc>
          <w:tcPr>
            <w:tcW w:w="42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641DB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2nd </w:t>
            </w:r>
            <w:proofErr w:type="spellStart"/>
            <w:r w:rsidRPr="00D30899">
              <w:rPr>
                <w:rFonts w:ascii="Calibri" w:hAnsi="Calibri" w:cs="Calibri"/>
                <w:b/>
                <w:bCs/>
                <w:color w:val="000000"/>
              </w:rPr>
              <w:t>Qtr</w:t>
            </w:r>
            <w:proofErr w:type="spellEnd"/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199458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00C97BE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3/1/2021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26361C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AF67AB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3/8/2021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CCF385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D30899" w:rsidRPr="000516CC" w14:paraId="412CCD28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331595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FY 2021 Q3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3CFE033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8F40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D30899">
              <w:rPr>
                <w:rFonts w:ascii="Calibri" w:hAnsi="Calibri" w:cs="Calibri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164871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E6151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38E09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899" w:rsidRPr="00D30899" w14:paraId="6DE7F21F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741DC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January 2021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675F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1/31/2021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57F42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23F106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2/16/2021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661AA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3/1/2020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14:paraId="2018AE6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D30899" w:rsidRPr="00D30899" w14:paraId="4D189936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07264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Jan &amp; Feb 2021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14C2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2/28/2021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2836EAE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739BC0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3/15/2021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EE9EC6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3/30/2021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EA0C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D30899" w14:paraId="691E9DF7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BA9811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Jan, Feb &amp; Mar 2021 (Prelim)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889C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3/31/2021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D7AB40C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59E389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4/15/2021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7ADAE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4/30/2021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C65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0516CC" w14:paraId="08087B97" w14:textId="77777777" w:rsidTr="00694DFF">
        <w:trPr>
          <w:trHeight w:val="315"/>
        </w:trPr>
        <w:tc>
          <w:tcPr>
            <w:tcW w:w="42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F0CEF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3rd </w:t>
            </w:r>
            <w:proofErr w:type="spellStart"/>
            <w:r w:rsidRPr="00D30899">
              <w:rPr>
                <w:rFonts w:ascii="Calibri" w:hAnsi="Calibri" w:cs="Calibri"/>
                <w:b/>
                <w:bCs/>
                <w:color w:val="000000"/>
              </w:rPr>
              <w:t>Qtr</w:t>
            </w:r>
            <w:proofErr w:type="spellEnd"/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EBFFE7F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6932787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6/1/2021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60344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3C206D1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6/7/2021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58C724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D30899" w:rsidRPr="000516CC" w14:paraId="36DA2095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879FE03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FY 2021 Q4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128EBD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FA8D60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D30899">
              <w:rPr>
                <w:rFonts w:ascii="Calibri" w:hAnsi="Calibri" w:cs="Calibri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0E75D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CC7EE5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CE85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0899" w:rsidRPr="00D30899" w14:paraId="245CF9E9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0B8D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April 2021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FD93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4/30/2021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1DB76D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612A844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5/17/2021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4CE001C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5/30/2020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noWrap/>
            <w:vAlign w:val="center"/>
            <w:hideMark/>
          </w:tcPr>
          <w:p w14:paraId="7DE70FFB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D30899" w:rsidRPr="00D30899" w14:paraId="1ED72DC1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C1E83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April &amp; May 2021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4A48" w14:textId="673D38BE" w:rsidR="00D30899" w:rsidRPr="00D30899" w:rsidRDefault="00443EA3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5/31/2021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73D5297" w14:textId="32B6CF21" w:rsidR="00D30899" w:rsidRPr="00D30899" w:rsidRDefault="006920F1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967208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6/16/2021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4A14418" w14:textId="4C691079" w:rsidR="00D30899" w:rsidRPr="00D30899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D30899" w:rsidRPr="00D30899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30</w:t>
            </w:r>
            <w:r w:rsidR="00D30899" w:rsidRPr="00D30899">
              <w:rPr>
                <w:rFonts w:ascii="Calibri" w:hAnsi="Calibri" w:cs="Calibri"/>
                <w:color w:val="000000"/>
              </w:rPr>
              <w:t>/2021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267C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D30899" w14:paraId="5F83DD90" w14:textId="77777777" w:rsidTr="00694DFF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02FC43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April, May &amp; June 2021 (Prelim)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2DFB1" w14:textId="77777777" w:rsidR="009E7412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6/30/2021</w:t>
            </w:r>
          </w:p>
          <w:p w14:paraId="4D946431" w14:textId="75A9DC0D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0D47B13" w14:textId="106BE6B9" w:rsidR="00D30899" w:rsidRPr="00D30899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9159F31" w14:textId="167EEE66" w:rsidR="009E7412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  <w:p w14:paraId="0282687D" w14:textId="723C299F" w:rsidR="00D30899" w:rsidRPr="00D30899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7/15/20201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EF3C0E" w14:textId="1E8C7275" w:rsidR="00D30899" w:rsidRPr="00D30899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30899" w:rsidRPr="00D30899">
              <w:rPr>
                <w:rFonts w:ascii="Calibri" w:hAnsi="Calibri" w:cs="Calibri"/>
                <w:color w:val="000000"/>
              </w:rPr>
              <w:t>/30/2021</w:t>
            </w:r>
          </w:p>
        </w:tc>
        <w:tc>
          <w:tcPr>
            <w:tcW w:w="27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CB36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</w:tr>
      <w:tr w:rsidR="00D30899" w:rsidRPr="000516CC" w14:paraId="48A605D0" w14:textId="77777777" w:rsidTr="00694DFF">
        <w:trPr>
          <w:trHeight w:val="315"/>
        </w:trPr>
        <w:tc>
          <w:tcPr>
            <w:tcW w:w="42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7BC65" w14:textId="77777777" w:rsidR="00D30899" w:rsidRPr="00D30899" w:rsidRDefault="00D30899" w:rsidP="00D308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4th </w:t>
            </w:r>
            <w:proofErr w:type="spellStart"/>
            <w:r w:rsidRPr="00D30899">
              <w:rPr>
                <w:rFonts w:ascii="Calibri" w:hAnsi="Calibri" w:cs="Calibri"/>
                <w:b/>
                <w:bCs/>
                <w:color w:val="000000"/>
              </w:rPr>
              <w:t>Qtr</w:t>
            </w:r>
            <w:proofErr w:type="spellEnd"/>
            <w:r w:rsidRPr="00D30899">
              <w:rPr>
                <w:rFonts w:ascii="Calibri" w:hAnsi="Calibri" w:cs="Calibri"/>
                <w:b/>
                <w:bCs/>
                <w:color w:val="000000"/>
              </w:rPr>
              <w:t xml:space="preserve"> Final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F635BC9" w14:textId="0D0FBD36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6</w:t>
            </w:r>
            <w:r w:rsidR="009E741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1C519D8" w14:textId="6B31680D" w:rsidR="00D30899" w:rsidRPr="00D30899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D30899" w:rsidRPr="00D30899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30</w:t>
            </w:r>
            <w:r w:rsidR="00D30899" w:rsidRPr="00D30899">
              <w:rPr>
                <w:rFonts w:ascii="Calibri" w:hAnsi="Calibri" w:cs="Calibri"/>
                <w:color w:val="000000"/>
              </w:rPr>
              <w:t>/2021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7D358E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B7C6A5D" w14:textId="61879A27" w:rsidR="00D30899" w:rsidRPr="00D30899" w:rsidRDefault="009E7412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D30899" w:rsidRPr="00D30899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="00D30899" w:rsidRPr="00D30899">
              <w:rPr>
                <w:rFonts w:ascii="Calibri" w:hAnsi="Calibri" w:cs="Calibri"/>
                <w:color w:val="000000"/>
              </w:rPr>
              <w:t>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F0973A3" w14:textId="77777777" w:rsidR="00D30899" w:rsidRPr="00D30899" w:rsidRDefault="00D30899" w:rsidP="00D3089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D30899">
              <w:rPr>
                <w:rFonts w:ascii="Calibri" w:hAnsi="Calibri" w:cs="Calibri"/>
                <w:color w:val="000000"/>
              </w:rPr>
              <w:t>2%</w:t>
            </w:r>
          </w:p>
        </w:tc>
      </w:tr>
    </w:tbl>
    <w:p w14:paraId="2914146B" w14:textId="1E503883" w:rsidR="00694DFF" w:rsidRDefault="00D30899" w:rsidP="00BC0750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14:paraId="512E1B3B" w14:textId="489F79E5" w:rsidR="00811607" w:rsidRPr="00C91FB6" w:rsidRDefault="00BC28A5" w:rsidP="00BC0750">
      <w:pPr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1FB6">
        <w:rPr>
          <w:rFonts w:asciiTheme="minorHAnsi" w:hAnsiTheme="minorHAnsi" w:cstheme="minorHAnsi"/>
          <w:sz w:val="22"/>
          <w:szCs w:val="22"/>
        </w:rPr>
        <w:t xml:space="preserve">Thank you again for your hard work and </w:t>
      </w:r>
      <w:r w:rsidR="002B543E" w:rsidRPr="00C91FB6">
        <w:rPr>
          <w:rFonts w:asciiTheme="minorHAnsi" w:hAnsiTheme="minorHAnsi" w:cstheme="minorHAnsi"/>
          <w:sz w:val="22"/>
          <w:szCs w:val="22"/>
        </w:rPr>
        <w:t xml:space="preserve">continued </w:t>
      </w:r>
      <w:r w:rsidRPr="00C91FB6">
        <w:rPr>
          <w:rFonts w:asciiTheme="minorHAnsi" w:hAnsiTheme="minorHAnsi" w:cstheme="minorHAnsi"/>
          <w:sz w:val="22"/>
          <w:szCs w:val="22"/>
        </w:rPr>
        <w:t xml:space="preserve">partnership with the HSCRC. </w:t>
      </w:r>
    </w:p>
    <w:p w14:paraId="70D78AD6" w14:textId="77777777" w:rsidR="00811607" w:rsidRPr="00C91FB6" w:rsidRDefault="00811607" w:rsidP="00BC0750">
      <w:pPr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7D3AC4" w14:textId="579BC81D" w:rsidR="00EF224C" w:rsidRDefault="00EF224C" w:rsidP="00C91FB6">
      <w:pPr>
        <w:widowControl/>
        <w:spacing w:line="276" w:lineRule="auto"/>
        <w:rPr>
          <w:sz w:val="22"/>
          <w:szCs w:val="22"/>
        </w:rPr>
      </w:pPr>
      <w:r w:rsidRPr="00C91FB6">
        <w:rPr>
          <w:rFonts w:asciiTheme="minorHAnsi" w:hAnsiTheme="minorHAnsi" w:cstheme="minorHAnsi"/>
          <w:sz w:val="22"/>
          <w:szCs w:val="22"/>
        </w:rPr>
        <w:t xml:space="preserve">If you have any questions regarding the information in the memo or regarding the </w:t>
      </w:r>
      <w:r w:rsidR="00811607" w:rsidRPr="00C91FB6">
        <w:rPr>
          <w:rFonts w:asciiTheme="minorHAnsi" w:hAnsiTheme="minorHAnsi" w:cstheme="minorHAnsi"/>
          <w:sz w:val="22"/>
          <w:szCs w:val="22"/>
        </w:rPr>
        <w:t>submission of monthly and qu</w:t>
      </w:r>
      <w:r w:rsidR="00BC28A5" w:rsidRPr="00C91FB6">
        <w:rPr>
          <w:rFonts w:asciiTheme="minorHAnsi" w:hAnsiTheme="minorHAnsi" w:cstheme="minorHAnsi"/>
          <w:sz w:val="22"/>
          <w:szCs w:val="22"/>
        </w:rPr>
        <w:t>arterly hospital discharge data, p</w:t>
      </w:r>
      <w:r w:rsidRPr="00C91FB6">
        <w:rPr>
          <w:rFonts w:asciiTheme="minorHAnsi" w:hAnsiTheme="minorHAnsi" w:cstheme="minorHAnsi"/>
          <w:sz w:val="22"/>
          <w:szCs w:val="22"/>
        </w:rPr>
        <w:t xml:space="preserve">lease contact </w:t>
      </w:r>
      <w:r w:rsidR="00811607" w:rsidRPr="00C91FB6">
        <w:rPr>
          <w:rFonts w:asciiTheme="minorHAnsi" w:hAnsiTheme="minorHAnsi" w:cstheme="minorHAnsi"/>
          <w:sz w:val="22"/>
          <w:szCs w:val="22"/>
        </w:rPr>
        <w:t>Claudine Williams</w:t>
      </w:r>
      <w:r w:rsidRPr="00C91FB6">
        <w:rPr>
          <w:rFonts w:asciiTheme="minorHAnsi" w:hAnsiTheme="minorHAnsi" w:cstheme="minorHAnsi"/>
          <w:sz w:val="22"/>
          <w:szCs w:val="22"/>
        </w:rPr>
        <w:t xml:space="preserve"> on 410-764-</w:t>
      </w:r>
      <w:r w:rsidR="00811607" w:rsidRPr="00C91FB6">
        <w:rPr>
          <w:rFonts w:asciiTheme="minorHAnsi" w:hAnsiTheme="minorHAnsi" w:cstheme="minorHAnsi"/>
          <w:sz w:val="22"/>
          <w:szCs w:val="22"/>
        </w:rPr>
        <w:t>2561</w:t>
      </w:r>
      <w:r w:rsidRPr="00C91FB6">
        <w:rPr>
          <w:rFonts w:asciiTheme="minorHAnsi" w:hAnsiTheme="minorHAnsi" w:cstheme="minorHAnsi"/>
          <w:sz w:val="22"/>
          <w:szCs w:val="22"/>
        </w:rPr>
        <w:t xml:space="preserve">, or by email at </w:t>
      </w:r>
      <w:hyperlink r:id="rId15" w:history="1">
        <w:r w:rsidR="00811607" w:rsidRPr="00C91FB6">
          <w:rPr>
            <w:rFonts w:asciiTheme="minorHAnsi" w:hAnsiTheme="minorHAnsi" w:cstheme="minorHAnsi"/>
            <w:color w:val="4472C4" w:themeColor="accent5"/>
          </w:rPr>
          <w:t>claudine.williams@maryland.gov</w:t>
        </w:r>
      </w:hyperlink>
      <w:r w:rsidR="00811607" w:rsidRPr="00C91FB6">
        <w:rPr>
          <w:rFonts w:asciiTheme="minorHAnsi" w:hAnsiTheme="minorHAnsi" w:cstheme="minorHAnsi"/>
          <w:sz w:val="22"/>
          <w:szCs w:val="22"/>
        </w:rPr>
        <w:t>.</w:t>
      </w:r>
    </w:p>
    <w:sectPr w:rsidR="00EF224C" w:rsidSect="00382567">
      <w:pgSz w:w="12240" w:h="15840"/>
      <w:pgMar w:top="1440" w:right="1440" w:bottom="1440" w:left="1440" w:header="1440" w:footer="432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AE93D" w16cex:dateUtc="2020-04-10T16:46:00Z"/>
  <w16cex:commentExtensible w16cex:durableId="223AE99B" w16cex:dateUtc="2020-04-10T16:48:00Z"/>
  <w16cex:commentExtensible w16cex:durableId="223AEA63" w16cex:dateUtc="2020-04-10T16:51:00Z"/>
  <w16cex:commentExtensible w16cex:durableId="223AF3B1" w16cex:dateUtc="2020-04-10T1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0B2A64" w16cid:durableId="223AE93D"/>
  <w16cid:commentId w16cid:paraId="35820D10" w16cid:durableId="223AE99B"/>
  <w16cid:commentId w16cid:paraId="5AC6D566" w16cid:durableId="223AEA63"/>
  <w16cid:commentId w16cid:paraId="3770A189" w16cid:durableId="223AF3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35100" w14:textId="77777777" w:rsidR="004C38C4" w:rsidRDefault="004C38C4">
      <w:r>
        <w:separator/>
      </w:r>
    </w:p>
    <w:p w14:paraId="67D71E87" w14:textId="77777777" w:rsidR="004C38C4" w:rsidRDefault="004C38C4"/>
  </w:endnote>
  <w:endnote w:type="continuationSeparator" w:id="0">
    <w:p w14:paraId="1A965D82" w14:textId="77777777" w:rsidR="004C38C4" w:rsidRDefault="004C38C4">
      <w:r>
        <w:continuationSeparator/>
      </w:r>
    </w:p>
    <w:p w14:paraId="158E08B7" w14:textId="77777777" w:rsidR="004C38C4" w:rsidRDefault="004C3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9FA7A" w14:textId="77777777" w:rsidR="00E63CA4" w:rsidRDefault="00E63C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103">
      <w:rPr>
        <w:noProof/>
      </w:rPr>
      <w:t>4</w:t>
    </w:r>
    <w:r>
      <w:rPr>
        <w:noProof/>
      </w:rPr>
      <w:fldChar w:fldCharType="end"/>
    </w:r>
  </w:p>
  <w:p w14:paraId="248AD345" w14:textId="77777777" w:rsidR="00E63CA4" w:rsidRDefault="00E63CA4" w:rsidP="00B823A9">
    <w:pPr>
      <w:pStyle w:val="Footer"/>
      <w:tabs>
        <w:tab w:val="clear" w:pos="4320"/>
        <w:tab w:val="clear" w:pos="8640"/>
        <w:tab w:val="left" w:pos="62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7F010" w14:textId="77777777" w:rsidR="00E63CA4" w:rsidRDefault="00E63CA4">
    <w:pPr>
      <w:pStyle w:val="Footer"/>
      <w:jc w:val="center"/>
    </w:pPr>
  </w:p>
  <w:p w14:paraId="1D917F8A" w14:textId="77777777" w:rsidR="00E63CA4" w:rsidRPr="0019420C" w:rsidRDefault="00E63CA4" w:rsidP="00124C87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97EAB" w14:textId="77777777" w:rsidR="004C38C4" w:rsidRDefault="004C38C4">
      <w:r>
        <w:separator/>
      </w:r>
    </w:p>
    <w:p w14:paraId="6B2D6D11" w14:textId="77777777" w:rsidR="004C38C4" w:rsidRDefault="004C38C4"/>
  </w:footnote>
  <w:footnote w:type="continuationSeparator" w:id="0">
    <w:p w14:paraId="3CB64526" w14:textId="77777777" w:rsidR="004C38C4" w:rsidRDefault="004C38C4">
      <w:r>
        <w:continuationSeparator/>
      </w:r>
    </w:p>
    <w:p w14:paraId="37878F3B" w14:textId="77777777" w:rsidR="004C38C4" w:rsidRDefault="004C38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B3F"/>
    <w:multiLevelType w:val="hybridMultilevel"/>
    <w:tmpl w:val="1640E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3F9A"/>
    <w:multiLevelType w:val="hybridMultilevel"/>
    <w:tmpl w:val="4AD8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E4E"/>
    <w:multiLevelType w:val="hybridMultilevel"/>
    <w:tmpl w:val="D5A48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10AF5"/>
    <w:multiLevelType w:val="hybridMultilevel"/>
    <w:tmpl w:val="EEF8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733A"/>
    <w:multiLevelType w:val="hybridMultilevel"/>
    <w:tmpl w:val="F32699E4"/>
    <w:lvl w:ilvl="0" w:tplc="15388B1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13CA"/>
    <w:multiLevelType w:val="hybridMultilevel"/>
    <w:tmpl w:val="BE72D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A04B1"/>
    <w:multiLevelType w:val="hybridMultilevel"/>
    <w:tmpl w:val="5E1A7D40"/>
    <w:lvl w:ilvl="0" w:tplc="45E4B71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4F73"/>
    <w:multiLevelType w:val="hybridMultilevel"/>
    <w:tmpl w:val="5E1A7D40"/>
    <w:lvl w:ilvl="0" w:tplc="45E4B71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E0B81"/>
    <w:multiLevelType w:val="hybridMultilevel"/>
    <w:tmpl w:val="6DB8CA06"/>
    <w:lvl w:ilvl="0" w:tplc="F0CA0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76FA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301AD"/>
    <w:multiLevelType w:val="hybridMultilevel"/>
    <w:tmpl w:val="F05EF74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37737DBD"/>
    <w:multiLevelType w:val="hybridMultilevel"/>
    <w:tmpl w:val="E856F0A4"/>
    <w:lvl w:ilvl="0" w:tplc="F0CA0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C2C24"/>
    <w:multiLevelType w:val="hybridMultilevel"/>
    <w:tmpl w:val="2A068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7025E"/>
    <w:multiLevelType w:val="hybridMultilevel"/>
    <w:tmpl w:val="CF243E52"/>
    <w:lvl w:ilvl="0" w:tplc="F0CA0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5E4B71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035EF"/>
    <w:multiLevelType w:val="hybridMultilevel"/>
    <w:tmpl w:val="7BB2B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4234B"/>
    <w:multiLevelType w:val="hybridMultilevel"/>
    <w:tmpl w:val="6A9E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70A5C"/>
    <w:multiLevelType w:val="hybridMultilevel"/>
    <w:tmpl w:val="5B7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44A8"/>
    <w:multiLevelType w:val="hybridMultilevel"/>
    <w:tmpl w:val="3B56A798"/>
    <w:lvl w:ilvl="0" w:tplc="EF703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6C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43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02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888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CD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4A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60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C0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A92E97"/>
    <w:multiLevelType w:val="hybridMultilevel"/>
    <w:tmpl w:val="465C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A4B9D"/>
    <w:multiLevelType w:val="hybridMultilevel"/>
    <w:tmpl w:val="161EF6B8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D49FA"/>
    <w:multiLevelType w:val="hybridMultilevel"/>
    <w:tmpl w:val="1FF8BFC6"/>
    <w:lvl w:ilvl="0" w:tplc="F0CA08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CD192D"/>
    <w:multiLevelType w:val="hybridMultilevel"/>
    <w:tmpl w:val="01EC0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551D0"/>
    <w:multiLevelType w:val="hybridMultilevel"/>
    <w:tmpl w:val="E3B6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54669"/>
    <w:multiLevelType w:val="hybridMultilevel"/>
    <w:tmpl w:val="356CD13C"/>
    <w:lvl w:ilvl="0" w:tplc="68DE9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A03BF"/>
    <w:multiLevelType w:val="hybridMultilevel"/>
    <w:tmpl w:val="6E96F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802B80"/>
    <w:multiLevelType w:val="hybridMultilevel"/>
    <w:tmpl w:val="2F6E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51EB3"/>
    <w:multiLevelType w:val="hybridMultilevel"/>
    <w:tmpl w:val="C77ED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812A0"/>
    <w:multiLevelType w:val="hybridMultilevel"/>
    <w:tmpl w:val="68F0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5"/>
  </w:num>
  <w:num w:numId="5">
    <w:abstractNumId w:val="23"/>
  </w:num>
  <w:num w:numId="6">
    <w:abstractNumId w:val="2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26"/>
  </w:num>
  <w:num w:numId="12">
    <w:abstractNumId w:val="0"/>
  </w:num>
  <w:num w:numId="13">
    <w:abstractNumId w:val="9"/>
  </w:num>
  <w:num w:numId="14">
    <w:abstractNumId w:val="16"/>
  </w:num>
  <w:num w:numId="15">
    <w:abstractNumId w:val="17"/>
  </w:num>
  <w:num w:numId="16">
    <w:abstractNumId w:val="4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2"/>
  </w:num>
  <w:num w:numId="22">
    <w:abstractNumId w:val="8"/>
  </w:num>
  <w:num w:numId="23">
    <w:abstractNumId w:val="10"/>
  </w:num>
  <w:num w:numId="24">
    <w:abstractNumId w:val="19"/>
  </w:num>
  <w:num w:numId="25">
    <w:abstractNumId w:val="7"/>
  </w:num>
  <w:num w:numId="26">
    <w:abstractNumId w:val="6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Nbe0MLQwNzS0sDBU0lEKTi0uzszPAykwrAUAZT1C0iwAAAA="/>
  </w:docVars>
  <w:rsids>
    <w:rsidRoot w:val="00E67B14"/>
    <w:rsid w:val="00000FD7"/>
    <w:rsid w:val="00005ADB"/>
    <w:rsid w:val="00012E7F"/>
    <w:rsid w:val="00025740"/>
    <w:rsid w:val="00027460"/>
    <w:rsid w:val="00030E94"/>
    <w:rsid w:val="00032238"/>
    <w:rsid w:val="00033DC9"/>
    <w:rsid w:val="00036F18"/>
    <w:rsid w:val="00043C6D"/>
    <w:rsid w:val="000516CC"/>
    <w:rsid w:val="00063898"/>
    <w:rsid w:val="0006560B"/>
    <w:rsid w:val="0006734C"/>
    <w:rsid w:val="00077778"/>
    <w:rsid w:val="000838A3"/>
    <w:rsid w:val="00087C0A"/>
    <w:rsid w:val="000902BF"/>
    <w:rsid w:val="0009384F"/>
    <w:rsid w:val="0009492B"/>
    <w:rsid w:val="000A774C"/>
    <w:rsid w:val="000B1DC6"/>
    <w:rsid w:val="000B56A6"/>
    <w:rsid w:val="000B626C"/>
    <w:rsid w:val="000D68B5"/>
    <w:rsid w:val="000E6C73"/>
    <w:rsid w:val="000F694A"/>
    <w:rsid w:val="0010025A"/>
    <w:rsid w:val="001059E8"/>
    <w:rsid w:val="00105E0D"/>
    <w:rsid w:val="00114B12"/>
    <w:rsid w:val="001216B6"/>
    <w:rsid w:val="00123467"/>
    <w:rsid w:val="00124C87"/>
    <w:rsid w:val="001253C6"/>
    <w:rsid w:val="00127604"/>
    <w:rsid w:val="00133ADC"/>
    <w:rsid w:val="001340D0"/>
    <w:rsid w:val="00135034"/>
    <w:rsid w:val="00141F8F"/>
    <w:rsid w:val="00142032"/>
    <w:rsid w:val="0014500A"/>
    <w:rsid w:val="001513AF"/>
    <w:rsid w:val="00160611"/>
    <w:rsid w:val="00162540"/>
    <w:rsid w:val="00170D56"/>
    <w:rsid w:val="00172FCF"/>
    <w:rsid w:val="001845BC"/>
    <w:rsid w:val="00185140"/>
    <w:rsid w:val="00185A28"/>
    <w:rsid w:val="0019420C"/>
    <w:rsid w:val="00197BC0"/>
    <w:rsid w:val="001B1DD8"/>
    <w:rsid w:val="001C26EC"/>
    <w:rsid w:val="001C3642"/>
    <w:rsid w:val="001C6448"/>
    <w:rsid w:val="001D098B"/>
    <w:rsid w:val="001D3725"/>
    <w:rsid w:val="001D4551"/>
    <w:rsid w:val="001D58B0"/>
    <w:rsid w:val="001D7F4F"/>
    <w:rsid w:val="001E11A7"/>
    <w:rsid w:val="001E30AF"/>
    <w:rsid w:val="001E4D41"/>
    <w:rsid w:val="001E673F"/>
    <w:rsid w:val="001F2373"/>
    <w:rsid w:val="001F69FD"/>
    <w:rsid w:val="001F7E7B"/>
    <w:rsid w:val="00204183"/>
    <w:rsid w:val="00206565"/>
    <w:rsid w:val="00213740"/>
    <w:rsid w:val="002238A2"/>
    <w:rsid w:val="00223B01"/>
    <w:rsid w:val="00223E16"/>
    <w:rsid w:val="00227133"/>
    <w:rsid w:val="0023135F"/>
    <w:rsid w:val="00232E55"/>
    <w:rsid w:val="00233193"/>
    <w:rsid w:val="00233C98"/>
    <w:rsid w:val="00240D68"/>
    <w:rsid w:val="00240FC4"/>
    <w:rsid w:val="002444E4"/>
    <w:rsid w:val="00247993"/>
    <w:rsid w:val="002501B8"/>
    <w:rsid w:val="002511EE"/>
    <w:rsid w:val="0025211E"/>
    <w:rsid w:val="002673F1"/>
    <w:rsid w:val="00273073"/>
    <w:rsid w:val="00273B90"/>
    <w:rsid w:val="00280CBD"/>
    <w:rsid w:val="002824C3"/>
    <w:rsid w:val="002868ED"/>
    <w:rsid w:val="00287345"/>
    <w:rsid w:val="00294586"/>
    <w:rsid w:val="002967F5"/>
    <w:rsid w:val="0029709D"/>
    <w:rsid w:val="002B051A"/>
    <w:rsid w:val="002B543E"/>
    <w:rsid w:val="002C6053"/>
    <w:rsid w:val="002D5F28"/>
    <w:rsid w:val="002E2E3C"/>
    <w:rsid w:val="002E7B73"/>
    <w:rsid w:val="002E7D36"/>
    <w:rsid w:val="002F28AA"/>
    <w:rsid w:val="002F3327"/>
    <w:rsid w:val="002F3EF1"/>
    <w:rsid w:val="003048CF"/>
    <w:rsid w:val="00312776"/>
    <w:rsid w:val="00313752"/>
    <w:rsid w:val="00324CAC"/>
    <w:rsid w:val="00326530"/>
    <w:rsid w:val="00327FC0"/>
    <w:rsid w:val="003312AC"/>
    <w:rsid w:val="003361DC"/>
    <w:rsid w:val="00346A30"/>
    <w:rsid w:val="0034746E"/>
    <w:rsid w:val="003506BB"/>
    <w:rsid w:val="0035102E"/>
    <w:rsid w:val="0036378F"/>
    <w:rsid w:val="0036534E"/>
    <w:rsid w:val="00382567"/>
    <w:rsid w:val="00393BC4"/>
    <w:rsid w:val="00394312"/>
    <w:rsid w:val="003A6DE4"/>
    <w:rsid w:val="003B1834"/>
    <w:rsid w:val="003B4657"/>
    <w:rsid w:val="003B5246"/>
    <w:rsid w:val="003C6E04"/>
    <w:rsid w:val="003D00FE"/>
    <w:rsid w:val="003D6636"/>
    <w:rsid w:val="003E7C9A"/>
    <w:rsid w:val="003F0474"/>
    <w:rsid w:val="0041168E"/>
    <w:rsid w:val="00412C47"/>
    <w:rsid w:val="00423FB3"/>
    <w:rsid w:val="00426587"/>
    <w:rsid w:val="004270DE"/>
    <w:rsid w:val="004279CD"/>
    <w:rsid w:val="0043126C"/>
    <w:rsid w:val="00435455"/>
    <w:rsid w:val="00435CB0"/>
    <w:rsid w:val="00440C57"/>
    <w:rsid w:val="00441750"/>
    <w:rsid w:val="00443EA3"/>
    <w:rsid w:val="00444FBE"/>
    <w:rsid w:val="004470F6"/>
    <w:rsid w:val="00447A2D"/>
    <w:rsid w:val="004505FD"/>
    <w:rsid w:val="004568E1"/>
    <w:rsid w:val="00467059"/>
    <w:rsid w:val="00470F01"/>
    <w:rsid w:val="004828AE"/>
    <w:rsid w:val="004A4408"/>
    <w:rsid w:val="004A58F1"/>
    <w:rsid w:val="004B4C4E"/>
    <w:rsid w:val="004B5462"/>
    <w:rsid w:val="004B73B5"/>
    <w:rsid w:val="004C1EDD"/>
    <w:rsid w:val="004C2500"/>
    <w:rsid w:val="004C38C4"/>
    <w:rsid w:val="004C4EA5"/>
    <w:rsid w:val="004C5103"/>
    <w:rsid w:val="004D1C3D"/>
    <w:rsid w:val="004D547C"/>
    <w:rsid w:val="004E3010"/>
    <w:rsid w:val="004F2316"/>
    <w:rsid w:val="004F46A7"/>
    <w:rsid w:val="004F5EED"/>
    <w:rsid w:val="004F6146"/>
    <w:rsid w:val="004F6974"/>
    <w:rsid w:val="004F6D67"/>
    <w:rsid w:val="00503F50"/>
    <w:rsid w:val="005104D4"/>
    <w:rsid w:val="00512573"/>
    <w:rsid w:val="005134D7"/>
    <w:rsid w:val="005150D5"/>
    <w:rsid w:val="00516E86"/>
    <w:rsid w:val="0051764F"/>
    <w:rsid w:val="00521671"/>
    <w:rsid w:val="00523331"/>
    <w:rsid w:val="00524433"/>
    <w:rsid w:val="00532120"/>
    <w:rsid w:val="00534203"/>
    <w:rsid w:val="00535EA2"/>
    <w:rsid w:val="00540458"/>
    <w:rsid w:val="00547224"/>
    <w:rsid w:val="005500EF"/>
    <w:rsid w:val="00556796"/>
    <w:rsid w:val="0056189C"/>
    <w:rsid w:val="00565119"/>
    <w:rsid w:val="005654FD"/>
    <w:rsid w:val="00565ECB"/>
    <w:rsid w:val="00572C6E"/>
    <w:rsid w:val="00575369"/>
    <w:rsid w:val="005778ED"/>
    <w:rsid w:val="00587E40"/>
    <w:rsid w:val="00594658"/>
    <w:rsid w:val="005A30C3"/>
    <w:rsid w:val="005A45A8"/>
    <w:rsid w:val="005A6A81"/>
    <w:rsid w:val="005C15F9"/>
    <w:rsid w:val="005C4DEF"/>
    <w:rsid w:val="005D4C88"/>
    <w:rsid w:val="005D546A"/>
    <w:rsid w:val="005E017D"/>
    <w:rsid w:val="005E4EF6"/>
    <w:rsid w:val="005F1DEE"/>
    <w:rsid w:val="005F24CB"/>
    <w:rsid w:val="005F3A69"/>
    <w:rsid w:val="005F7B6A"/>
    <w:rsid w:val="006177F3"/>
    <w:rsid w:val="0061780D"/>
    <w:rsid w:val="00624437"/>
    <w:rsid w:val="006351CF"/>
    <w:rsid w:val="00635951"/>
    <w:rsid w:val="0064199F"/>
    <w:rsid w:val="00653A6F"/>
    <w:rsid w:val="00654CEC"/>
    <w:rsid w:val="00662ACB"/>
    <w:rsid w:val="00662CE4"/>
    <w:rsid w:val="00664F77"/>
    <w:rsid w:val="00665758"/>
    <w:rsid w:val="00665ABD"/>
    <w:rsid w:val="006669B9"/>
    <w:rsid w:val="00677EEE"/>
    <w:rsid w:val="006920F1"/>
    <w:rsid w:val="00694DFF"/>
    <w:rsid w:val="006A0BC6"/>
    <w:rsid w:val="006A2175"/>
    <w:rsid w:val="006A6BF2"/>
    <w:rsid w:val="006A711A"/>
    <w:rsid w:val="006B3DF6"/>
    <w:rsid w:val="006B4AC0"/>
    <w:rsid w:val="006B54A2"/>
    <w:rsid w:val="006D0226"/>
    <w:rsid w:val="006E79C5"/>
    <w:rsid w:val="006F65A8"/>
    <w:rsid w:val="006F6757"/>
    <w:rsid w:val="007065CD"/>
    <w:rsid w:val="00713A23"/>
    <w:rsid w:val="00713E5F"/>
    <w:rsid w:val="00720553"/>
    <w:rsid w:val="00722A47"/>
    <w:rsid w:val="007257AB"/>
    <w:rsid w:val="0072780E"/>
    <w:rsid w:val="00736D89"/>
    <w:rsid w:val="00742138"/>
    <w:rsid w:val="00745F5C"/>
    <w:rsid w:val="0075424B"/>
    <w:rsid w:val="00754DE6"/>
    <w:rsid w:val="00760C86"/>
    <w:rsid w:val="0076312E"/>
    <w:rsid w:val="0076776C"/>
    <w:rsid w:val="0078101D"/>
    <w:rsid w:val="00787C57"/>
    <w:rsid w:val="007A17E3"/>
    <w:rsid w:val="007A3BD4"/>
    <w:rsid w:val="007B10E7"/>
    <w:rsid w:val="007B2E6D"/>
    <w:rsid w:val="007B70AA"/>
    <w:rsid w:val="007B7762"/>
    <w:rsid w:val="007C7733"/>
    <w:rsid w:val="007D3013"/>
    <w:rsid w:val="007F0DFD"/>
    <w:rsid w:val="007F3B15"/>
    <w:rsid w:val="007F43A9"/>
    <w:rsid w:val="007F718D"/>
    <w:rsid w:val="00800BF6"/>
    <w:rsid w:val="00805E42"/>
    <w:rsid w:val="0080753A"/>
    <w:rsid w:val="00807D7A"/>
    <w:rsid w:val="00811607"/>
    <w:rsid w:val="008132A9"/>
    <w:rsid w:val="00816364"/>
    <w:rsid w:val="00817399"/>
    <w:rsid w:val="008369BA"/>
    <w:rsid w:val="00846165"/>
    <w:rsid w:val="00847BA4"/>
    <w:rsid w:val="00853345"/>
    <w:rsid w:val="00856651"/>
    <w:rsid w:val="00860CA7"/>
    <w:rsid w:val="00861826"/>
    <w:rsid w:val="008636E6"/>
    <w:rsid w:val="00865C10"/>
    <w:rsid w:val="00874A8F"/>
    <w:rsid w:val="0088332C"/>
    <w:rsid w:val="0088432C"/>
    <w:rsid w:val="00884862"/>
    <w:rsid w:val="0089623B"/>
    <w:rsid w:val="008A1D3F"/>
    <w:rsid w:val="008A6E40"/>
    <w:rsid w:val="008B4238"/>
    <w:rsid w:val="008B5923"/>
    <w:rsid w:val="008C38F6"/>
    <w:rsid w:val="008C6E0D"/>
    <w:rsid w:val="008C6E7D"/>
    <w:rsid w:val="008D4099"/>
    <w:rsid w:val="008D59BE"/>
    <w:rsid w:val="008E1283"/>
    <w:rsid w:val="008E668C"/>
    <w:rsid w:val="008E66A5"/>
    <w:rsid w:val="008F01DF"/>
    <w:rsid w:val="008F21CD"/>
    <w:rsid w:val="008F49C9"/>
    <w:rsid w:val="008F4D12"/>
    <w:rsid w:val="008F66BF"/>
    <w:rsid w:val="00900978"/>
    <w:rsid w:val="00901B72"/>
    <w:rsid w:val="00907636"/>
    <w:rsid w:val="009176D2"/>
    <w:rsid w:val="00920137"/>
    <w:rsid w:val="00921379"/>
    <w:rsid w:val="00921534"/>
    <w:rsid w:val="00925AF8"/>
    <w:rsid w:val="009264E0"/>
    <w:rsid w:val="00930237"/>
    <w:rsid w:val="009317FD"/>
    <w:rsid w:val="00933E11"/>
    <w:rsid w:val="00936B2C"/>
    <w:rsid w:val="009511A6"/>
    <w:rsid w:val="00951C76"/>
    <w:rsid w:val="00953832"/>
    <w:rsid w:val="00954972"/>
    <w:rsid w:val="009614C7"/>
    <w:rsid w:val="00961636"/>
    <w:rsid w:val="0096594A"/>
    <w:rsid w:val="009665EF"/>
    <w:rsid w:val="00967648"/>
    <w:rsid w:val="00986FB8"/>
    <w:rsid w:val="00991A0A"/>
    <w:rsid w:val="009920BA"/>
    <w:rsid w:val="009922B9"/>
    <w:rsid w:val="00994964"/>
    <w:rsid w:val="00995D84"/>
    <w:rsid w:val="009A44AD"/>
    <w:rsid w:val="009A5BCB"/>
    <w:rsid w:val="009B75A6"/>
    <w:rsid w:val="009C05EA"/>
    <w:rsid w:val="009C31C2"/>
    <w:rsid w:val="009C5EBC"/>
    <w:rsid w:val="009C6E8B"/>
    <w:rsid w:val="009D0501"/>
    <w:rsid w:val="009D0EB5"/>
    <w:rsid w:val="009D7B71"/>
    <w:rsid w:val="009E63D5"/>
    <w:rsid w:val="009E7412"/>
    <w:rsid w:val="009E7E34"/>
    <w:rsid w:val="009F05F4"/>
    <w:rsid w:val="009F0F79"/>
    <w:rsid w:val="00A0007A"/>
    <w:rsid w:val="00A0255C"/>
    <w:rsid w:val="00A0531C"/>
    <w:rsid w:val="00A068D0"/>
    <w:rsid w:val="00A07B5F"/>
    <w:rsid w:val="00A12637"/>
    <w:rsid w:val="00A216EE"/>
    <w:rsid w:val="00A23713"/>
    <w:rsid w:val="00A36E4D"/>
    <w:rsid w:val="00A40320"/>
    <w:rsid w:val="00A41549"/>
    <w:rsid w:val="00A448CB"/>
    <w:rsid w:val="00A451FA"/>
    <w:rsid w:val="00A500B6"/>
    <w:rsid w:val="00A56A95"/>
    <w:rsid w:val="00A608FD"/>
    <w:rsid w:val="00A67C95"/>
    <w:rsid w:val="00A7168E"/>
    <w:rsid w:val="00A717B0"/>
    <w:rsid w:val="00A73F4F"/>
    <w:rsid w:val="00A7716B"/>
    <w:rsid w:val="00A778EA"/>
    <w:rsid w:val="00A87281"/>
    <w:rsid w:val="00A925EE"/>
    <w:rsid w:val="00AA238C"/>
    <w:rsid w:val="00AA4F54"/>
    <w:rsid w:val="00AA6645"/>
    <w:rsid w:val="00AB2E2C"/>
    <w:rsid w:val="00AB3599"/>
    <w:rsid w:val="00AC250F"/>
    <w:rsid w:val="00AC38F2"/>
    <w:rsid w:val="00AD55E8"/>
    <w:rsid w:val="00AD7675"/>
    <w:rsid w:val="00AE01C8"/>
    <w:rsid w:val="00AE0944"/>
    <w:rsid w:val="00AE5591"/>
    <w:rsid w:val="00AF00FA"/>
    <w:rsid w:val="00AF19A0"/>
    <w:rsid w:val="00AF4B3F"/>
    <w:rsid w:val="00AF796F"/>
    <w:rsid w:val="00B0200E"/>
    <w:rsid w:val="00B05298"/>
    <w:rsid w:val="00B0789F"/>
    <w:rsid w:val="00B13E8A"/>
    <w:rsid w:val="00B26662"/>
    <w:rsid w:val="00B37A93"/>
    <w:rsid w:val="00B408E7"/>
    <w:rsid w:val="00B42D51"/>
    <w:rsid w:val="00B43465"/>
    <w:rsid w:val="00B530A8"/>
    <w:rsid w:val="00B6536F"/>
    <w:rsid w:val="00B709E2"/>
    <w:rsid w:val="00B737BE"/>
    <w:rsid w:val="00B75C4B"/>
    <w:rsid w:val="00B823A9"/>
    <w:rsid w:val="00B82F9C"/>
    <w:rsid w:val="00B851CE"/>
    <w:rsid w:val="00B90648"/>
    <w:rsid w:val="00B95728"/>
    <w:rsid w:val="00B969DC"/>
    <w:rsid w:val="00BA0B54"/>
    <w:rsid w:val="00BA3FBE"/>
    <w:rsid w:val="00BB097A"/>
    <w:rsid w:val="00BB1E8C"/>
    <w:rsid w:val="00BB2EE8"/>
    <w:rsid w:val="00BB6065"/>
    <w:rsid w:val="00BC0750"/>
    <w:rsid w:val="00BC1565"/>
    <w:rsid w:val="00BC175B"/>
    <w:rsid w:val="00BC28A5"/>
    <w:rsid w:val="00BC2D4A"/>
    <w:rsid w:val="00BD2C5F"/>
    <w:rsid w:val="00BD5B6C"/>
    <w:rsid w:val="00BE0419"/>
    <w:rsid w:val="00BE1F42"/>
    <w:rsid w:val="00BE5DC1"/>
    <w:rsid w:val="00BE6BA9"/>
    <w:rsid w:val="00BE6D9A"/>
    <w:rsid w:val="00BF73D8"/>
    <w:rsid w:val="00C04156"/>
    <w:rsid w:val="00C06800"/>
    <w:rsid w:val="00C124B6"/>
    <w:rsid w:val="00C516C5"/>
    <w:rsid w:val="00C5305E"/>
    <w:rsid w:val="00C530F3"/>
    <w:rsid w:val="00C54862"/>
    <w:rsid w:val="00C555E8"/>
    <w:rsid w:val="00C56687"/>
    <w:rsid w:val="00C566C2"/>
    <w:rsid w:val="00C629EC"/>
    <w:rsid w:val="00C63581"/>
    <w:rsid w:val="00C66584"/>
    <w:rsid w:val="00C70551"/>
    <w:rsid w:val="00C7106E"/>
    <w:rsid w:val="00C71916"/>
    <w:rsid w:val="00C73904"/>
    <w:rsid w:val="00C8038E"/>
    <w:rsid w:val="00C82BE6"/>
    <w:rsid w:val="00C82C3A"/>
    <w:rsid w:val="00C871DC"/>
    <w:rsid w:val="00C91FB6"/>
    <w:rsid w:val="00C928DB"/>
    <w:rsid w:val="00C9600A"/>
    <w:rsid w:val="00C97BF7"/>
    <w:rsid w:val="00CA7996"/>
    <w:rsid w:val="00CB121E"/>
    <w:rsid w:val="00CB2B60"/>
    <w:rsid w:val="00CC65DB"/>
    <w:rsid w:val="00CD6F78"/>
    <w:rsid w:val="00CD7F3E"/>
    <w:rsid w:val="00CE16B4"/>
    <w:rsid w:val="00CE37AC"/>
    <w:rsid w:val="00CE7204"/>
    <w:rsid w:val="00CE755D"/>
    <w:rsid w:val="00CF366B"/>
    <w:rsid w:val="00CF5A90"/>
    <w:rsid w:val="00D046B2"/>
    <w:rsid w:val="00D11936"/>
    <w:rsid w:val="00D11EA0"/>
    <w:rsid w:val="00D16BC3"/>
    <w:rsid w:val="00D21F83"/>
    <w:rsid w:val="00D220DC"/>
    <w:rsid w:val="00D23D68"/>
    <w:rsid w:val="00D30899"/>
    <w:rsid w:val="00D3636D"/>
    <w:rsid w:val="00D37A89"/>
    <w:rsid w:val="00D41530"/>
    <w:rsid w:val="00D5197B"/>
    <w:rsid w:val="00D645EA"/>
    <w:rsid w:val="00D64F2A"/>
    <w:rsid w:val="00D749D9"/>
    <w:rsid w:val="00D76615"/>
    <w:rsid w:val="00D766AA"/>
    <w:rsid w:val="00D94430"/>
    <w:rsid w:val="00D97BE5"/>
    <w:rsid w:val="00DA4048"/>
    <w:rsid w:val="00DA53EE"/>
    <w:rsid w:val="00DC42FC"/>
    <w:rsid w:val="00DD3765"/>
    <w:rsid w:val="00DD68EC"/>
    <w:rsid w:val="00DD6F89"/>
    <w:rsid w:val="00DE6975"/>
    <w:rsid w:val="00E03992"/>
    <w:rsid w:val="00E04376"/>
    <w:rsid w:val="00E0438F"/>
    <w:rsid w:val="00E15342"/>
    <w:rsid w:val="00E15AD3"/>
    <w:rsid w:val="00E230B0"/>
    <w:rsid w:val="00E25E5D"/>
    <w:rsid w:val="00E2769E"/>
    <w:rsid w:val="00E34284"/>
    <w:rsid w:val="00E45309"/>
    <w:rsid w:val="00E475CE"/>
    <w:rsid w:val="00E61DEC"/>
    <w:rsid w:val="00E63CA4"/>
    <w:rsid w:val="00E6442E"/>
    <w:rsid w:val="00E669CB"/>
    <w:rsid w:val="00E67B14"/>
    <w:rsid w:val="00E70490"/>
    <w:rsid w:val="00E70A30"/>
    <w:rsid w:val="00E73B9C"/>
    <w:rsid w:val="00E82C18"/>
    <w:rsid w:val="00E90A16"/>
    <w:rsid w:val="00E91D11"/>
    <w:rsid w:val="00E925B0"/>
    <w:rsid w:val="00EA52B0"/>
    <w:rsid w:val="00EC4227"/>
    <w:rsid w:val="00EE3CDB"/>
    <w:rsid w:val="00EE4A5D"/>
    <w:rsid w:val="00EF224C"/>
    <w:rsid w:val="00EF4764"/>
    <w:rsid w:val="00EF6C9B"/>
    <w:rsid w:val="00EF7D95"/>
    <w:rsid w:val="00F026D6"/>
    <w:rsid w:val="00F02F2F"/>
    <w:rsid w:val="00F05583"/>
    <w:rsid w:val="00F071C2"/>
    <w:rsid w:val="00F10213"/>
    <w:rsid w:val="00F106D0"/>
    <w:rsid w:val="00F16CD8"/>
    <w:rsid w:val="00F25EAB"/>
    <w:rsid w:val="00F323DB"/>
    <w:rsid w:val="00F34A19"/>
    <w:rsid w:val="00F420EB"/>
    <w:rsid w:val="00F44E9B"/>
    <w:rsid w:val="00F47DE8"/>
    <w:rsid w:val="00F51FC0"/>
    <w:rsid w:val="00F6228B"/>
    <w:rsid w:val="00F7472C"/>
    <w:rsid w:val="00F839EC"/>
    <w:rsid w:val="00F86165"/>
    <w:rsid w:val="00F919C2"/>
    <w:rsid w:val="00F95278"/>
    <w:rsid w:val="00F9575A"/>
    <w:rsid w:val="00FB33C8"/>
    <w:rsid w:val="00FB3900"/>
    <w:rsid w:val="00FC0599"/>
    <w:rsid w:val="00FC137B"/>
    <w:rsid w:val="00FC3D52"/>
    <w:rsid w:val="00FD055F"/>
    <w:rsid w:val="00FE2037"/>
    <w:rsid w:val="00FE4667"/>
    <w:rsid w:val="00FE5C30"/>
    <w:rsid w:val="00FF43D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EBACD6"/>
  <w15:docId w15:val="{484D5816-AC57-45A3-BBF5-BDB7B8F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7472C"/>
    <w:pPr>
      <w:keepNext/>
      <w:widowControl/>
      <w:autoSpaceDE/>
      <w:autoSpaceDN/>
      <w:adjustRightInd/>
      <w:spacing w:before="240" w:after="240"/>
      <w:outlineLvl w:val="0"/>
    </w:pPr>
    <w:rPr>
      <w:rFonts w:asciiTheme="minorHAnsi" w:hAnsiTheme="minorHAnsi" w:cs="Arial"/>
      <w:b/>
      <w:bCs/>
      <w:caps/>
      <w:color w:val="44546A" w:themeColor="text2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E6BA9"/>
  </w:style>
  <w:style w:type="paragraph" w:customStyle="1" w:styleId="WP9Heading">
    <w:name w:val="WP9_Heading"/>
    <w:basedOn w:val="Normal"/>
    <w:rsid w:val="00BE6BA9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Header">
    <w:name w:val="header"/>
    <w:basedOn w:val="Normal"/>
    <w:rsid w:val="00C71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19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3E8A"/>
    <w:rPr>
      <w:sz w:val="24"/>
      <w:szCs w:val="24"/>
    </w:rPr>
  </w:style>
  <w:style w:type="paragraph" w:styleId="BalloonText">
    <w:name w:val="Balloon Text"/>
    <w:basedOn w:val="Normal"/>
    <w:link w:val="BalloonTextChar"/>
    <w:rsid w:val="00BF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73D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97BF7"/>
    <w:rPr>
      <w:color w:val="808080"/>
    </w:rPr>
  </w:style>
  <w:style w:type="paragraph" w:styleId="ListParagraph">
    <w:name w:val="List Paragraph"/>
    <w:basedOn w:val="Normal"/>
    <w:uiPriority w:val="34"/>
    <w:qFormat/>
    <w:rsid w:val="00F47DE8"/>
    <w:pPr>
      <w:ind w:left="720"/>
    </w:pPr>
  </w:style>
  <w:style w:type="character" w:styleId="Hyperlink">
    <w:name w:val="Hyperlink"/>
    <w:rsid w:val="001C6448"/>
    <w:rPr>
      <w:color w:val="0000FF"/>
      <w:u w:val="single"/>
    </w:rPr>
  </w:style>
  <w:style w:type="paragraph" w:customStyle="1" w:styleId="Default">
    <w:name w:val="Default"/>
    <w:rsid w:val="00F747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472C"/>
    <w:rPr>
      <w:rFonts w:asciiTheme="minorHAnsi" w:hAnsiTheme="minorHAnsi" w:cs="Arial"/>
      <w:b/>
      <w:bCs/>
      <w:caps/>
      <w:color w:val="44546A" w:themeColor="text2"/>
      <w:kern w:val="32"/>
      <w:sz w:val="28"/>
      <w:szCs w:val="32"/>
    </w:rPr>
  </w:style>
  <w:style w:type="paragraph" w:styleId="BodyText">
    <w:name w:val="Body Text"/>
    <w:basedOn w:val="Normal"/>
    <w:link w:val="BodyTextChar"/>
    <w:qFormat/>
    <w:rsid w:val="00F7472C"/>
    <w:pPr>
      <w:widowControl/>
      <w:autoSpaceDE/>
      <w:autoSpaceDN/>
      <w:adjustRightInd/>
      <w:spacing w:before="240" w:after="240"/>
    </w:pPr>
  </w:style>
  <w:style w:type="character" w:customStyle="1" w:styleId="BodyTextChar">
    <w:name w:val="Body Text Char"/>
    <w:basedOn w:val="DefaultParagraphFont"/>
    <w:link w:val="BodyText"/>
    <w:rsid w:val="00F7472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7472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7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0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1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1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1C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AB359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0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8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7835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5007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128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508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98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4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4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3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34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6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81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crc.maryland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audine.williams@maryland.gov" TargetMode="External"/><Relationship Id="rId10" Type="http://schemas.openxmlformats.org/officeDocument/2006/relationships/hyperlink" Target="http://www.hscrc.maryland.gov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5494A-EEEE-4808-8EC4-D1620088E109}"/>
</file>

<file path=customXml/itemProps2.xml><?xml version="1.0" encoding="utf-8"?>
<ds:datastoreItem xmlns:ds="http://schemas.openxmlformats.org/officeDocument/2006/customXml" ds:itemID="{220ADE6A-6653-4BAF-B7AE-9D2A9E9EF657}"/>
</file>

<file path=customXml/itemProps3.xml><?xml version="1.0" encoding="utf-8"?>
<ds:datastoreItem xmlns:ds="http://schemas.openxmlformats.org/officeDocument/2006/customXml" ds:itemID="{64464611-E337-4879-B668-1A1B970986D4}"/>
</file>

<file path=customXml/itemProps4.xml><?xml version="1.0" encoding="utf-8"?>
<ds:datastoreItem xmlns:ds="http://schemas.openxmlformats.org/officeDocument/2006/customXml" ds:itemID="{C3CC7EE7-E8CB-49E9-B4B4-03B4DE159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Links>
    <vt:vector size="6" baseType="variant"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http://www.hscrc.maryland.gov/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Knab</dc:creator>
  <cp:keywords/>
  <dc:description/>
  <cp:lastModifiedBy>Oscar Ibarra</cp:lastModifiedBy>
  <cp:revision>4</cp:revision>
  <cp:lastPrinted>2019-05-30T14:57:00Z</cp:lastPrinted>
  <dcterms:created xsi:type="dcterms:W3CDTF">2020-04-14T18:48:00Z</dcterms:created>
  <dcterms:modified xsi:type="dcterms:W3CDTF">2020-04-21T15:34:00Z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