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04F3" w14:textId="77777777" w:rsidR="00046B43" w:rsidRDefault="00046B43">
      <w:pPr>
        <w:widowControl w:val="0"/>
        <w:pBdr>
          <w:top w:val="nil"/>
          <w:left w:val="nil"/>
          <w:bottom w:val="nil"/>
          <w:right w:val="nil"/>
          <w:between w:val="nil"/>
        </w:pBdr>
        <w:spacing w:line="276" w:lineRule="auto"/>
      </w:pPr>
    </w:p>
    <w:p w14:paraId="52ADDA22" w14:textId="6BCD099F" w:rsidR="00046B43" w:rsidRDefault="0060220F">
      <w:pPr>
        <w:shd w:val="clear" w:color="auto" w:fill="FFFFFF"/>
        <w:rPr>
          <w:color w:val="222222"/>
          <w:sz w:val="20"/>
          <w:szCs w:val="20"/>
        </w:rPr>
      </w:pPr>
      <w:r>
        <w:rPr>
          <w:color w:val="222222"/>
          <w:sz w:val="20"/>
          <w:szCs w:val="20"/>
        </w:rPr>
        <w:t>Novem</w:t>
      </w:r>
      <w:r w:rsidR="00533817">
        <w:rPr>
          <w:color w:val="222222"/>
          <w:sz w:val="20"/>
          <w:szCs w:val="20"/>
        </w:rPr>
        <w:t xml:space="preserve">ber </w:t>
      </w:r>
      <w:r>
        <w:rPr>
          <w:color w:val="222222"/>
          <w:sz w:val="20"/>
          <w:szCs w:val="20"/>
        </w:rPr>
        <w:t>1</w:t>
      </w:r>
      <w:r w:rsidR="00533817">
        <w:rPr>
          <w:color w:val="222222"/>
          <w:sz w:val="20"/>
          <w:szCs w:val="20"/>
        </w:rPr>
        <w:t>, 2021</w:t>
      </w:r>
    </w:p>
    <w:p w14:paraId="72962DEE" w14:textId="77777777" w:rsidR="00046B43" w:rsidRDefault="00533817">
      <w:pPr>
        <w:shd w:val="clear" w:color="auto" w:fill="FFFFFF"/>
        <w:rPr>
          <w:color w:val="222222"/>
          <w:sz w:val="20"/>
          <w:szCs w:val="20"/>
        </w:rPr>
      </w:pPr>
      <w:r>
        <w:rPr>
          <w:color w:val="222222"/>
          <w:sz w:val="20"/>
          <w:szCs w:val="20"/>
        </w:rPr>
        <w:t xml:space="preserve"> </w:t>
      </w:r>
    </w:p>
    <w:p w14:paraId="066CECAA" w14:textId="77777777" w:rsidR="00046B43" w:rsidRDefault="00533817">
      <w:pPr>
        <w:shd w:val="clear" w:color="auto" w:fill="FFFFFF"/>
        <w:rPr>
          <w:color w:val="222222"/>
          <w:sz w:val="20"/>
          <w:szCs w:val="20"/>
        </w:rPr>
      </w:pPr>
      <w:r>
        <w:rPr>
          <w:color w:val="222222"/>
          <w:sz w:val="20"/>
          <w:szCs w:val="20"/>
        </w:rPr>
        <w:t xml:space="preserve">To:   </w:t>
      </w:r>
      <w:r>
        <w:rPr>
          <w:color w:val="222222"/>
          <w:sz w:val="20"/>
          <w:szCs w:val="20"/>
        </w:rPr>
        <w:tab/>
        <w:t>Maryland Hospital Case Mix Liaisons</w:t>
      </w:r>
    </w:p>
    <w:p w14:paraId="1BBFEA23" w14:textId="77777777" w:rsidR="00046B43" w:rsidRDefault="00533817">
      <w:pPr>
        <w:shd w:val="clear" w:color="auto" w:fill="FFFFFF"/>
        <w:rPr>
          <w:color w:val="222222"/>
          <w:sz w:val="20"/>
          <w:szCs w:val="20"/>
        </w:rPr>
      </w:pPr>
      <w:r>
        <w:rPr>
          <w:color w:val="222222"/>
          <w:sz w:val="20"/>
          <w:szCs w:val="20"/>
        </w:rPr>
        <w:t xml:space="preserve"> </w:t>
      </w:r>
    </w:p>
    <w:p w14:paraId="2C85F2EB" w14:textId="77777777" w:rsidR="00046B43" w:rsidRDefault="00533817">
      <w:pPr>
        <w:shd w:val="clear" w:color="auto" w:fill="FFFFFF"/>
        <w:rPr>
          <w:color w:val="222222"/>
          <w:sz w:val="20"/>
          <w:szCs w:val="20"/>
        </w:rPr>
      </w:pPr>
      <w:r>
        <w:rPr>
          <w:color w:val="222222"/>
          <w:sz w:val="20"/>
          <w:szCs w:val="20"/>
        </w:rPr>
        <w:t>From:   Claudine Williams, Deputy Director, MEDA</w:t>
      </w:r>
    </w:p>
    <w:p w14:paraId="29C4EFAC" w14:textId="77777777" w:rsidR="00046B43" w:rsidRDefault="00533817">
      <w:pPr>
        <w:shd w:val="clear" w:color="auto" w:fill="FFFFFF"/>
        <w:rPr>
          <w:color w:val="222222"/>
          <w:sz w:val="20"/>
          <w:szCs w:val="20"/>
        </w:rPr>
      </w:pPr>
      <w:r>
        <w:rPr>
          <w:color w:val="222222"/>
          <w:sz w:val="20"/>
          <w:szCs w:val="20"/>
        </w:rPr>
        <w:tab/>
        <w:t>Geoff Dougherty, Deputy Director, Population Health</w:t>
      </w:r>
    </w:p>
    <w:p w14:paraId="032B6C36" w14:textId="77777777" w:rsidR="00046B43" w:rsidRDefault="00533817">
      <w:pPr>
        <w:shd w:val="clear" w:color="auto" w:fill="FFFFFF"/>
        <w:rPr>
          <w:color w:val="222222"/>
          <w:sz w:val="20"/>
          <w:szCs w:val="20"/>
        </w:rPr>
      </w:pPr>
      <w:r>
        <w:rPr>
          <w:color w:val="222222"/>
          <w:sz w:val="20"/>
          <w:szCs w:val="20"/>
        </w:rPr>
        <w:t xml:space="preserve"> </w:t>
      </w:r>
    </w:p>
    <w:p w14:paraId="33E2F51C" w14:textId="77777777" w:rsidR="00046B43" w:rsidRDefault="00533817">
      <w:pPr>
        <w:shd w:val="clear" w:color="auto" w:fill="FFFFFF"/>
        <w:ind w:left="720" w:hanging="720"/>
        <w:rPr>
          <w:color w:val="222222"/>
          <w:sz w:val="20"/>
          <w:szCs w:val="20"/>
        </w:rPr>
      </w:pPr>
      <w:r>
        <w:rPr>
          <w:color w:val="222222"/>
          <w:sz w:val="20"/>
          <w:szCs w:val="20"/>
        </w:rPr>
        <w:t xml:space="preserve">Re:   </w:t>
      </w:r>
      <w:r>
        <w:rPr>
          <w:color w:val="222222"/>
          <w:sz w:val="20"/>
          <w:szCs w:val="20"/>
        </w:rPr>
        <w:tab/>
        <w:t xml:space="preserve">Collection of Emergency Department Triage Assessment Values for ED Visits in the Case Mix Data Beginning January 1, 2022 </w:t>
      </w:r>
    </w:p>
    <w:p w14:paraId="24E2146F" w14:textId="77777777" w:rsidR="00046B43" w:rsidRDefault="00046B43">
      <w:pPr>
        <w:shd w:val="clear" w:color="auto" w:fill="FFFFFF"/>
        <w:rPr>
          <w:color w:val="222222"/>
          <w:sz w:val="20"/>
          <w:szCs w:val="20"/>
        </w:rPr>
      </w:pPr>
    </w:p>
    <w:p w14:paraId="1036A7F7" w14:textId="5AEFCB9D" w:rsidR="00046B43" w:rsidRDefault="00533817">
      <w:pPr>
        <w:shd w:val="clear" w:color="auto" w:fill="FFFFFF"/>
        <w:rPr>
          <w:color w:val="222222"/>
          <w:sz w:val="20"/>
          <w:szCs w:val="20"/>
        </w:rPr>
      </w:pPr>
      <w:r>
        <w:rPr>
          <w:color w:val="222222"/>
          <w:sz w:val="20"/>
          <w:szCs w:val="20"/>
        </w:rPr>
        <w:t xml:space="preserve">This memo is to notify the Maryland Hospital industry of the HSCRC’s intent to </w:t>
      </w:r>
      <w:r>
        <w:rPr>
          <w:b/>
          <w:color w:val="222222"/>
          <w:sz w:val="20"/>
          <w:szCs w:val="20"/>
        </w:rPr>
        <w:t>collect emergency department (ED) triage assessment values, effective January 1, 202</w:t>
      </w:r>
      <w:r w:rsidR="00870ED8">
        <w:rPr>
          <w:b/>
          <w:color w:val="222222"/>
          <w:sz w:val="20"/>
          <w:szCs w:val="20"/>
        </w:rPr>
        <w:t>2</w:t>
      </w:r>
      <w:r>
        <w:rPr>
          <w:b/>
          <w:color w:val="222222"/>
          <w:sz w:val="20"/>
          <w:szCs w:val="20"/>
        </w:rPr>
        <w:t xml:space="preserve"> (FY 2022 Q3).</w:t>
      </w:r>
      <w:r>
        <w:rPr>
          <w:color w:val="222222"/>
          <w:sz w:val="20"/>
          <w:szCs w:val="20"/>
        </w:rPr>
        <w:t xml:space="preserve"> The HSCRC is requesting two new variables: an initial (or first recorded) triage value, as well as a final (or last recorded) triage value. </w:t>
      </w:r>
      <w:r>
        <w:rPr>
          <w:b/>
          <w:color w:val="222222"/>
          <w:sz w:val="20"/>
          <w:szCs w:val="20"/>
        </w:rPr>
        <w:t xml:space="preserve">These revisions must be implemented by the FY 2022 Q3 Final submission (due June 1, 2022). </w:t>
      </w:r>
      <w:r>
        <w:rPr>
          <w:color w:val="222222"/>
          <w:sz w:val="20"/>
          <w:szCs w:val="20"/>
        </w:rPr>
        <w:t xml:space="preserve"> </w:t>
      </w:r>
    </w:p>
    <w:p w14:paraId="1BD666B4" w14:textId="77777777" w:rsidR="00046B43" w:rsidRDefault="00533817">
      <w:pPr>
        <w:shd w:val="clear" w:color="auto" w:fill="FFFFFF"/>
        <w:spacing w:before="240"/>
        <w:rPr>
          <w:b/>
          <w:color w:val="2E74B5"/>
          <w:sz w:val="28"/>
          <w:szCs w:val="28"/>
        </w:rPr>
      </w:pPr>
      <w:r>
        <w:rPr>
          <w:b/>
          <w:color w:val="2E74B5"/>
          <w:sz w:val="28"/>
          <w:szCs w:val="28"/>
        </w:rPr>
        <w:t>Background</w:t>
      </w:r>
    </w:p>
    <w:p w14:paraId="0B2ED52B" w14:textId="77777777" w:rsidR="00046B43" w:rsidRDefault="00533817">
      <w:pPr>
        <w:shd w:val="clear" w:color="auto" w:fill="FFFFFF"/>
        <w:rPr>
          <w:color w:val="222222"/>
          <w:sz w:val="20"/>
          <w:szCs w:val="20"/>
        </w:rPr>
      </w:pPr>
      <w:r>
        <w:rPr>
          <w:color w:val="222222"/>
          <w:sz w:val="20"/>
          <w:szCs w:val="20"/>
        </w:rPr>
        <w:t xml:space="preserve"> </w:t>
      </w:r>
    </w:p>
    <w:p w14:paraId="1EB49AEE" w14:textId="77777777" w:rsidR="00046B43" w:rsidRDefault="00533817">
      <w:pPr>
        <w:shd w:val="clear" w:color="auto" w:fill="FFFFFF"/>
        <w:rPr>
          <w:color w:val="222222"/>
          <w:sz w:val="20"/>
          <w:szCs w:val="20"/>
        </w:rPr>
      </w:pPr>
      <w:r>
        <w:rPr>
          <w:color w:val="222222"/>
          <w:sz w:val="20"/>
          <w:szCs w:val="20"/>
        </w:rPr>
        <w:t>Over the summer of 2021, the HSCRC convened a subgroup to discuss potentially avoidable Emergency Department utilization. The purpose of this subgroup was to determine an appropriate methodological approach to measuring potentially avoidable utilization in the ED, and to evaluate whether the HSCRC could accomplish such an approach with the available data.</w:t>
      </w:r>
    </w:p>
    <w:p w14:paraId="11A85ACE" w14:textId="77777777" w:rsidR="00046B43" w:rsidRDefault="00533817">
      <w:pPr>
        <w:shd w:val="clear" w:color="auto" w:fill="FFFFFF"/>
        <w:rPr>
          <w:color w:val="222222"/>
          <w:sz w:val="20"/>
          <w:szCs w:val="20"/>
        </w:rPr>
      </w:pPr>
      <w:r>
        <w:rPr>
          <w:color w:val="222222"/>
          <w:sz w:val="20"/>
          <w:szCs w:val="20"/>
        </w:rPr>
        <w:t xml:space="preserve"> </w:t>
      </w:r>
    </w:p>
    <w:p w14:paraId="02B0491C" w14:textId="77777777" w:rsidR="00046B43" w:rsidRDefault="00533817">
      <w:pPr>
        <w:shd w:val="clear" w:color="auto" w:fill="FFFFFF"/>
        <w:rPr>
          <w:color w:val="222222"/>
          <w:sz w:val="20"/>
          <w:szCs w:val="20"/>
        </w:rPr>
      </w:pPr>
      <w:r>
        <w:rPr>
          <w:color w:val="222222"/>
          <w:sz w:val="20"/>
          <w:szCs w:val="20"/>
        </w:rPr>
        <w:t>In August 2021, during the final meeting of the subgroup, it was determined that the most feasible next step would be to collect additional data from Maryland Hospitals. The subgroup recommended the collection of triage values to incorporate into a comprehensive analysis of ED utilization. Upon this recommendation, the HSCRC conducted a survey of Case Mix Liaisons to determine the methods by which Maryland Hospitals collect triage assessment data, and followed up with individual outreach to hospitals in the State to understand concerns and challenges in the recommended approach.</w:t>
      </w:r>
    </w:p>
    <w:p w14:paraId="3FF17A75" w14:textId="77777777" w:rsidR="00046B43" w:rsidRDefault="00046B43">
      <w:pPr>
        <w:shd w:val="clear" w:color="auto" w:fill="FFFFFF"/>
        <w:rPr>
          <w:color w:val="222222"/>
          <w:sz w:val="20"/>
          <w:szCs w:val="20"/>
        </w:rPr>
      </w:pPr>
    </w:p>
    <w:p w14:paraId="2DF3B8B1" w14:textId="77777777" w:rsidR="00046B43" w:rsidRDefault="00533817">
      <w:pPr>
        <w:shd w:val="clear" w:color="auto" w:fill="FFFFFF"/>
        <w:rPr>
          <w:color w:val="222222"/>
          <w:sz w:val="20"/>
          <w:szCs w:val="20"/>
        </w:rPr>
      </w:pPr>
      <w:r>
        <w:rPr>
          <w:color w:val="222222"/>
          <w:sz w:val="20"/>
          <w:szCs w:val="20"/>
        </w:rPr>
        <w:t>The HSCRC’s goal is to use this data in tandem with existing fields to identify potentially avoidable ED visits. The determination of the subgroup was that existing data alone may not capture the full picture of ED visit acuity, and therefore a data point that ostensibly records the perceived acuity of presenting ED patients is an important addition to the methodological goal.</w:t>
      </w:r>
    </w:p>
    <w:p w14:paraId="7A013524" w14:textId="77777777" w:rsidR="00046B43" w:rsidRDefault="00533817">
      <w:pPr>
        <w:shd w:val="clear" w:color="auto" w:fill="FFFFFF"/>
        <w:spacing w:before="240"/>
        <w:rPr>
          <w:b/>
          <w:color w:val="2E74B5"/>
          <w:sz w:val="28"/>
          <w:szCs w:val="28"/>
        </w:rPr>
      </w:pPr>
      <w:r>
        <w:rPr>
          <w:b/>
          <w:color w:val="2E74B5"/>
          <w:sz w:val="28"/>
          <w:szCs w:val="28"/>
        </w:rPr>
        <w:t>New Variables Effective January 1, 2022 (FY 2022 Q3)</w:t>
      </w:r>
    </w:p>
    <w:p w14:paraId="1B6093ED" w14:textId="77777777" w:rsidR="00046B43" w:rsidRDefault="00533817">
      <w:pPr>
        <w:shd w:val="clear" w:color="auto" w:fill="FFFFFF"/>
        <w:rPr>
          <w:color w:val="222222"/>
          <w:sz w:val="20"/>
          <w:szCs w:val="20"/>
        </w:rPr>
      </w:pPr>
      <w:r>
        <w:rPr>
          <w:color w:val="222222"/>
          <w:sz w:val="20"/>
          <w:szCs w:val="20"/>
        </w:rPr>
        <w:t xml:space="preserve"> </w:t>
      </w:r>
    </w:p>
    <w:p w14:paraId="6317A9A9" w14:textId="77777777" w:rsidR="00046B43" w:rsidRDefault="00533817">
      <w:pPr>
        <w:shd w:val="clear" w:color="auto" w:fill="FFFFFF"/>
        <w:rPr>
          <w:color w:val="222222"/>
          <w:sz w:val="20"/>
          <w:szCs w:val="20"/>
        </w:rPr>
      </w:pPr>
      <w:r>
        <w:rPr>
          <w:color w:val="222222"/>
          <w:sz w:val="20"/>
          <w:szCs w:val="20"/>
        </w:rPr>
        <w:t>In the hopes of making this more seamless for our hospitals, the added variables should be populated with the triage values that your hospital uses, without any additional standardization. HSCRC staff will connect with individual hospitals with further questions as needed.</w:t>
      </w:r>
    </w:p>
    <w:p w14:paraId="1DD4ABF0" w14:textId="77777777" w:rsidR="00046B43" w:rsidRDefault="00046B43">
      <w:pPr>
        <w:shd w:val="clear" w:color="auto" w:fill="FFFFFF"/>
        <w:rPr>
          <w:color w:val="222222"/>
          <w:sz w:val="20"/>
          <w:szCs w:val="20"/>
        </w:rPr>
      </w:pPr>
    </w:p>
    <w:p w14:paraId="02D4CD1D" w14:textId="77777777" w:rsidR="00046B43" w:rsidRDefault="00533817">
      <w:pPr>
        <w:shd w:val="clear" w:color="auto" w:fill="FFFFFF"/>
        <w:rPr>
          <w:color w:val="222222"/>
          <w:sz w:val="20"/>
          <w:szCs w:val="20"/>
        </w:rPr>
      </w:pPr>
      <w:r>
        <w:rPr>
          <w:color w:val="222222"/>
          <w:sz w:val="20"/>
          <w:szCs w:val="20"/>
        </w:rPr>
        <w:lastRenderedPageBreak/>
        <w:t xml:space="preserve">The FY 2022 DSR sent with this memo has been updated with these changes and is also available on the HSCRC website at </w:t>
      </w:r>
      <w:hyperlink r:id="rId8">
        <w:r>
          <w:rPr>
            <w:color w:val="0563C1"/>
            <w:sz w:val="20"/>
            <w:szCs w:val="20"/>
            <w:u w:val="single"/>
          </w:rPr>
          <w:t>https://hscrc.maryland.gov/Pages/hsp_info1.aspx</w:t>
        </w:r>
      </w:hyperlink>
      <w:r>
        <w:rPr>
          <w:color w:val="222222"/>
          <w:sz w:val="20"/>
          <w:szCs w:val="20"/>
        </w:rPr>
        <w:t xml:space="preserve">. </w:t>
      </w:r>
    </w:p>
    <w:p w14:paraId="38CD8A7B" w14:textId="77777777" w:rsidR="00046B43" w:rsidRDefault="00046B43">
      <w:pPr>
        <w:shd w:val="clear" w:color="auto" w:fill="FFFFFF"/>
        <w:rPr>
          <w:color w:val="222222"/>
          <w:sz w:val="20"/>
          <w:szCs w:val="20"/>
        </w:rPr>
      </w:pPr>
    </w:p>
    <w:p w14:paraId="40466C53" w14:textId="77777777" w:rsidR="00046B43" w:rsidRDefault="00533817">
      <w:pPr>
        <w:shd w:val="clear" w:color="auto" w:fill="FFFFFF"/>
        <w:rPr>
          <w:color w:val="222222"/>
          <w:sz w:val="20"/>
          <w:szCs w:val="20"/>
        </w:rPr>
      </w:pPr>
      <w:r>
        <w:rPr>
          <w:color w:val="222222"/>
          <w:sz w:val="20"/>
          <w:szCs w:val="20"/>
        </w:rPr>
        <w:t>The two new ED Triage variables are defined below:</w:t>
      </w:r>
    </w:p>
    <w:p w14:paraId="68B67C40" w14:textId="77777777" w:rsidR="00046B43" w:rsidRDefault="00046B43">
      <w:pPr>
        <w:shd w:val="clear" w:color="auto" w:fill="FFFFFF"/>
        <w:rPr>
          <w:color w:val="222222"/>
          <w:sz w:val="20"/>
          <w:szCs w:val="20"/>
        </w:rPr>
      </w:pPr>
    </w:p>
    <w:tbl>
      <w:tblPr>
        <w:tblStyle w:val="a"/>
        <w:tblW w:w="93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
        <w:gridCol w:w="934"/>
        <w:gridCol w:w="4696"/>
        <w:gridCol w:w="1080"/>
        <w:gridCol w:w="840"/>
        <w:gridCol w:w="896"/>
      </w:tblGrid>
      <w:tr w:rsidR="00046B43" w14:paraId="534CBD3D" w14:textId="77777777">
        <w:trPr>
          <w:trHeight w:val="660"/>
          <w:jc w:val="center"/>
        </w:trPr>
        <w:tc>
          <w:tcPr>
            <w:tcW w:w="921" w:type="dxa"/>
            <w:shd w:val="clear" w:color="auto" w:fill="auto"/>
            <w:tcMar>
              <w:top w:w="100" w:type="dxa"/>
              <w:left w:w="100" w:type="dxa"/>
              <w:bottom w:w="100" w:type="dxa"/>
              <w:right w:w="100" w:type="dxa"/>
            </w:tcMar>
            <w:vAlign w:val="center"/>
          </w:tcPr>
          <w:p w14:paraId="3BC983C2" w14:textId="77777777" w:rsidR="00046B43" w:rsidRDefault="00533817">
            <w:pPr>
              <w:widowControl w:val="0"/>
              <w:pBdr>
                <w:top w:val="nil"/>
                <w:left w:val="nil"/>
                <w:bottom w:val="nil"/>
                <w:right w:val="nil"/>
                <w:between w:val="nil"/>
              </w:pBdr>
              <w:jc w:val="center"/>
              <w:rPr>
                <w:b/>
                <w:color w:val="222222"/>
                <w:sz w:val="16"/>
                <w:szCs w:val="16"/>
              </w:rPr>
            </w:pPr>
            <w:r>
              <w:rPr>
                <w:b/>
                <w:color w:val="222222"/>
                <w:sz w:val="16"/>
                <w:szCs w:val="16"/>
              </w:rPr>
              <w:t>Data Item</w:t>
            </w:r>
          </w:p>
        </w:tc>
        <w:tc>
          <w:tcPr>
            <w:tcW w:w="934" w:type="dxa"/>
            <w:shd w:val="clear" w:color="auto" w:fill="auto"/>
            <w:tcMar>
              <w:top w:w="100" w:type="dxa"/>
              <w:left w:w="100" w:type="dxa"/>
              <w:bottom w:w="100" w:type="dxa"/>
              <w:right w:w="100" w:type="dxa"/>
            </w:tcMar>
            <w:vAlign w:val="center"/>
          </w:tcPr>
          <w:p w14:paraId="3CD08185" w14:textId="77777777" w:rsidR="00046B43" w:rsidRDefault="00533817">
            <w:pPr>
              <w:widowControl w:val="0"/>
              <w:pBdr>
                <w:top w:val="nil"/>
                <w:left w:val="nil"/>
                <w:bottom w:val="nil"/>
                <w:right w:val="nil"/>
                <w:between w:val="nil"/>
              </w:pBdr>
              <w:jc w:val="center"/>
              <w:rPr>
                <w:b/>
                <w:color w:val="222222"/>
                <w:sz w:val="16"/>
                <w:szCs w:val="16"/>
              </w:rPr>
            </w:pPr>
            <w:r>
              <w:rPr>
                <w:b/>
                <w:color w:val="222222"/>
                <w:sz w:val="16"/>
                <w:szCs w:val="16"/>
              </w:rPr>
              <w:t>Data Item Name</w:t>
            </w:r>
          </w:p>
        </w:tc>
        <w:tc>
          <w:tcPr>
            <w:tcW w:w="4695" w:type="dxa"/>
            <w:shd w:val="clear" w:color="auto" w:fill="auto"/>
            <w:tcMar>
              <w:top w:w="100" w:type="dxa"/>
              <w:left w:w="100" w:type="dxa"/>
              <w:bottom w:w="100" w:type="dxa"/>
              <w:right w:w="100" w:type="dxa"/>
            </w:tcMar>
            <w:vAlign w:val="center"/>
          </w:tcPr>
          <w:p w14:paraId="26058F34" w14:textId="77777777" w:rsidR="00046B43" w:rsidRDefault="00533817">
            <w:pPr>
              <w:widowControl w:val="0"/>
              <w:pBdr>
                <w:top w:val="nil"/>
                <w:left w:val="nil"/>
                <w:bottom w:val="nil"/>
                <w:right w:val="nil"/>
                <w:between w:val="nil"/>
              </w:pBdr>
              <w:jc w:val="center"/>
              <w:rPr>
                <w:b/>
                <w:color w:val="222222"/>
                <w:sz w:val="16"/>
                <w:szCs w:val="16"/>
              </w:rPr>
            </w:pPr>
            <w:r>
              <w:rPr>
                <w:b/>
                <w:color w:val="222222"/>
                <w:sz w:val="16"/>
                <w:szCs w:val="16"/>
              </w:rPr>
              <w:t>Description</w:t>
            </w:r>
          </w:p>
        </w:tc>
        <w:tc>
          <w:tcPr>
            <w:tcW w:w="1080" w:type="dxa"/>
            <w:shd w:val="clear" w:color="auto" w:fill="auto"/>
            <w:tcMar>
              <w:top w:w="100" w:type="dxa"/>
              <w:left w:w="100" w:type="dxa"/>
              <w:bottom w:w="100" w:type="dxa"/>
              <w:right w:w="100" w:type="dxa"/>
            </w:tcMar>
            <w:vAlign w:val="center"/>
          </w:tcPr>
          <w:p w14:paraId="3E538719" w14:textId="77777777" w:rsidR="00046B43" w:rsidRDefault="00533817">
            <w:pPr>
              <w:widowControl w:val="0"/>
              <w:pBdr>
                <w:top w:val="nil"/>
                <w:left w:val="nil"/>
                <w:bottom w:val="nil"/>
                <w:right w:val="nil"/>
                <w:between w:val="nil"/>
              </w:pBdr>
              <w:jc w:val="center"/>
              <w:rPr>
                <w:b/>
                <w:color w:val="222222"/>
                <w:sz w:val="16"/>
                <w:szCs w:val="16"/>
              </w:rPr>
            </w:pPr>
            <w:r>
              <w:rPr>
                <w:b/>
                <w:color w:val="222222"/>
                <w:sz w:val="16"/>
                <w:szCs w:val="16"/>
              </w:rPr>
              <w:t>HSCRC Variable Name</w:t>
            </w:r>
          </w:p>
        </w:tc>
        <w:tc>
          <w:tcPr>
            <w:tcW w:w="840" w:type="dxa"/>
            <w:shd w:val="clear" w:color="auto" w:fill="auto"/>
            <w:tcMar>
              <w:top w:w="100" w:type="dxa"/>
              <w:left w:w="100" w:type="dxa"/>
              <w:bottom w:w="100" w:type="dxa"/>
              <w:right w:w="100" w:type="dxa"/>
            </w:tcMar>
            <w:vAlign w:val="center"/>
          </w:tcPr>
          <w:p w14:paraId="25728F51" w14:textId="77777777" w:rsidR="00046B43" w:rsidRDefault="00533817">
            <w:pPr>
              <w:widowControl w:val="0"/>
              <w:pBdr>
                <w:top w:val="nil"/>
                <w:left w:val="nil"/>
                <w:bottom w:val="nil"/>
                <w:right w:val="nil"/>
                <w:between w:val="nil"/>
              </w:pBdr>
              <w:jc w:val="center"/>
              <w:rPr>
                <w:b/>
                <w:color w:val="222222"/>
                <w:sz w:val="16"/>
                <w:szCs w:val="16"/>
              </w:rPr>
            </w:pPr>
            <w:r>
              <w:rPr>
                <w:b/>
                <w:color w:val="222222"/>
                <w:sz w:val="16"/>
                <w:szCs w:val="16"/>
              </w:rPr>
              <w:t>Data Type</w:t>
            </w:r>
          </w:p>
        </w:tc>
        <w:tc>
          <w:tcPr>
            <w:tcW w:w="896" w:type="dxa"/>
            <w:shd w:val="clear" w:color="auto" w:fill="auto"/>
            <w:tcMar>
              <w:top w:w="100" w:type="dxa"/>
              <w:left w:w="100" w:type="dxa"/>
              <w:bottom w:w="100" w:type="dxa"/>
              <w:right w:w="100" w:type="dxa"/>
            </w:tcMar>
            <w:vAlign w:val="center"/>
          </w:tcPr>
          <w:p w14:paraId="36F0E9F9" w14:textId="77777777" w:rsidR="00046B43" w:rsidRDefault="00533817">
            <w:pPr>
              <w:widowControl w:val="0"/>
              <w:pBdr>
                <w:top w:val="nil"/>
                <w:left w:val="nil"/>
                <w:bottom w:val="nil"/>
                <w:right w:val="nil"/>
                <w:between w:val="nil"/>
              </w:pBdr>
              <w:jc w:val="center"/>
              <w:rPr>
                <w:b/>
                <w:color w:val="222222"/>
                <w:sz w:val="16"/>
                <w:szCs w:val="16"/>
              </w:rPr>
            </w:pPr>
            <w:r>
              <w:rPr>
                <w:b/>
                <w:color w:val="222222"/>
                <w:sz w:val="16"/>
                <w:szCs w:val="16"/>
              </w:rPr>
              <w:t>Max Length</w:t>
            </w:r>
          </w:p>
        </w:tc>
      </w:tr>
      <w:tr w:rsidR="00046B43" w14:paraId="0B76B81F" w14:textId="77777777">
        <w:trPr>
          <w:jc w:val="center"/>
        </w:trPr>
        <w:tc>
          <w:tcPr>
            <w:tcW w:w="921" w:type="dxa"/>
            <w:shd w:val="clear" w:color="auto" w:fill="auto"/>
            <w:tcMar>
              <w:top w:w="100" w:type="dxa"/>
              <w:left w:w="100" w:type="dxa"/>
              <w:bottom w:w="100" w:type="dxa"/>
              <w:right w:w="100" w:type="dxa"/>
            </w:tcMar>
          </w:tcPr>
          <w:p w14:paraId="4204A773" w14:textId="77777777" w:rsidR="00046B43" w:rsidRDefault="00533817">
            <w:pPr>
              <w:widowControl w:val="0"/>
              <w:pBdr>
                <w:top w:val="nil"/>
                <w:left w:val="nil"/>
                <w:bottom w:val="nil"/>
                <w:right w:val="nil"/>
                <w:between w:val="nil"/>
              </w:pBdr>
              <w:jc w:val="center"/>
              <w:rPr>
                <w:color w:val="222222"/>
                <w:sz w:val="16"/>
                <w:szCs w:val="16"/>
              </w:rPr>
            </w:pPr>
            <w:r>
              <w:rPr>
                <w:color w:val="222222"/>
                <w:sz w:val="16"/>
                <w:szCs w:val="16"/>
              </w:rPr>
              <w:t>265</w:t>
            </w:r>
          </w:p>
        </w:tc>
        <w:tc>
          <w:tcPr>
            <w:tcW w:w="934" w:type="dxa"/>
            <w:shd w:val="clear" w:color="auto" w:fill="auto"/>
            <w:tcMar>
              <w:top w:w="100" w:type="dxa"/>
              <w:left w:w="100" w:type="dxa"/>
              <w:bottom w:w="100" w:type="dxa"/>
              <w:right w:w="100" w:type="dxa"/>
            </w:tcMar>
          </w:tcPr>
          <w:p w14:paraId="4798BBE5" w14:textId="77777777" w:rsidR="00046B43" w:rsidRDefault="00533817">
            <w:pPr>
              <w:widowControl w:val="0"/>
              <w:pBdr>
                <w:top w:val="nil"/>
                <w:left w:val="nil"/>
                <w:bottom w:val="nil"/>
                <w:right w:val="nil"/>
                <w:between w:val="nil"/>
              </w:pBdr>
              <w:rPr>
                <w:color w:val="222222"/>
                <w:sz w:val="16"/>
                <w:szCs w:val="16"/>
              </w:rPr>
            </w:pPr>
            <w:r>
              <w:rPr>
                <w:rFonts w:ascii="Roboto" w:eastAsia="Roboto" w:hAnsi="Roboto" w:cs="Roboto"/>
                <w:color w:val="222222"/>
                <w:sz w:val="16"/>
                <w:szCs w:val="16"/>
                <w:highlight w:val="white"/>
              </w:rPr>
              <w:t>Initial ED Triage Value</w:t>
            </w:r>
          </w:p>
        </w:tc>
        <w:tc>
          <w:tcPr>
            <w:tcW w:w="4695" w:type="dxa"/>
            <w:shd w:val="clear" w:color="auto" w:fill="auto"/>
            <w:tcMar>
              <w:top w:w="100" w:type="dxa"/>
              <w:left w:w="100" w:type="dxa"/>
              <w:bottom w:w="100" w:type="dxa"/>
              <w:right w:w="100" w:type="dxa"/>
            </w:tcMar>
          </w:tcPr>
          <w:p w14:paraId="496D2738" w14:textId="77777777" w:rsidR="00046B43" w:rsidRDefault="00533817">
            <w:pPr>
              <w:widowControl w:val="0"/>
              <w:pBdr>
                <w:top w:val="nil"/>
                <w:left w:val="nil"/>
                <w:bottom w:val="nil"/>
                <w:right w:val="nil"/>
                <w:between w:val="nil"/>
              </w:pBdr>
              <w:rPr>
                <w:color w:val="222222"/>
                <w:sz w:val="16"/>
                <w:szCs w:val="16"/>
              </w:rPr>
            </w:pPr>
            <w:r>
              <w:rPr>
                <w:color w:val="222222"/>
                <w:sz w:val="16"/>
                <w:szCs w:val="16"/>
                <w:highlight w:val="white"/>
              </w:rPr>
              <w:t xml:space="preserve">Enter the </w:t>
            </w:r>
            <w:r>
              <w:rPr>
                <w:b/>
                <w:color w:val="0563C1"/>
                <w:sz w:val="16"/>
                <w:szCs w:val="16"/>
                <w:highlight w:val="white"/>
              </w:rPr>
              <w:t>FIRST</w:t>
            </w:r>
            <w:r>
              <w:rPr>
                <w:color w:val="222222"/>
                <w:sz w:val="16"/>
                <w:szCs w:val="16"/>
                <w:highlight w:val="white"/>
              </w:rPr>
              <w:t xml:space="preserve"> (</w:t>
            </w:r>
            <w:r>
              <w:rPr>
                <w:b/>
                <w:color w:val="222222"/>
                <w:sz w:val="16"/>
                <w:szCs w:val="16"/>
                <w:highlight w:val="white"/>
              </w:rPr>
              <w:t>initial or earliest</w:t>
            </w:r>
            <w:r>
              <w:rPr>
                <w:color w:val="222222"/>
                <w:sz w:val="16"/>
                <w:szCs w:val="16"/>
                <w:highlight w:val="white"/>
              </w:rPr>
              <w:t xml:space="preserve">) triage assessment value recorded for a patient visit to the ED. This value should be a numeric value that indicates the urgency designated to the visit by the triage assessment </w:t>
            </w:r>
            <w:r>
              <w:rPr>
                <w:b/>
                <w:color w:val="222222"/>
                <w:sz w:val="16"/>
                <w:szCs w:val="16"/>
                <w:highlight w:val="white"/>
              </w:rPr>
              <w:t>on arrival</w:t>
            </w:r>
            <w:r>
              <w:rPr>
                <w:color w:val="222222"/>
                <w:sz w:val="16"/>
                <w:szCs w:val="16"/>
                <w:highlight w:val="white"/>
              </w:rPr>
              <w:t>, (1) being the highest urgency, (5) or higher being the lowest urgency.</w:t>
            </w:r>
          </w:p>
        </w:tc>
        <w:tc>
          <w:tcPr>
            <w:tcW w:w="1080" w:type="dxa"/>
            <w:shd w:val="clear" w:color="auto" w:fill="auto"/>
            <w:tcMar>
              <w:top w:w="100" w:type="dxa"/>
              <w:left w:w="100" w:type="dxa"/>
              <w:bottom w:w="100" w:type="dxa"/>
              <w:right w:w="100" w:type="dxa"/>
            </w:tcMar>
          </w:tcPr>
          <w:p w14:paraId="7B865FD0" w14:textId="77777777" w:rsidR="00046B43" w:rsidRDefault="00533817">
            <w:pPr>
              <w:widowControl w:val="0"/>
              <w:pBdr>
                <w:top w:val="nil"/>
                <w:left w:val="nil"/>
                <w:bottom w:val="nil"/>
                <w:right w:val="nil"/>
                <w:between w:val="nil"/>
              </w:pBdr>
              <w:rPr>
                <w:color w:val="222222"/>
                <w:sz w:val="16"/>
                <w:szCs w:val="16"/>
              </w:rPr>
            </w:pPr>
            <w:r>
              <w:rPr>
                <w:rFonts w:ascii="Roboto" w:eastAsia="Roboto" w:hAnsi="Roboto" w:cs="Roboto"/>
                <w:color w:val="222222"/>
                <w:sz w:val="16"/>
                <w:szCs w:val="16"/>
                <w:highlight w:val="white"/>
              </w:rPr>
              <w:t>EDTRIAGE</w:t>
            </w:r>
          </w:p>
        </w:tc>
        <w:tc>
          <w:tcPr>
            <w:tcW w:w="840" w:type="dxa"/>
            <w:shd w:val="clear" w:color="auto" w:fill="auto"/>
            <w:tcMar>
              <w:top w:w="100" w:type="dxa"/>
              <w:left w:w="100" w:type="dxa"/>
              <w:bottom w:w="100" w:type="dxa"/>
              <w:right w:w="100" w:type="dxa"/>
            </w:tcMar>
          </w:tcPr>
          <w:p w14:paraId="6D16B1E9" w14:textId="77777777" w:rsidR="00046B43" w:rsidRDefault="00533817">
            <w:pPr>
              <w:widowControl w:val="0"/>
              <w:pBdr>
                <w:top w:val="nil"/>
                <w:left w:val="nil"/>
                <w:bottom w:val="nil"/>
                <w:right w:val="nil"/>
                <w:between w:val="nil"/>
              </w:pBdr>
              <w:jc w:val="center"/>
              <w:rPr>
                <w:rFonts w:ascii="Roboto" w:eastAsia="Roboto" w:hAnsi="Roboto" w:cs="Roboto"/>
                <w:color w:val="222222"/>
                <w:sz w:val="16"/>
                <w:szCs w:val="16"/>
                <w:highlight w:val="white"/>
              </w:rPr>
            </w:pPr>
            <w:r>
              <w:rPr>
                <w:rFonts w:ascii="Roboto" w:eastAsia="Roboto" w:hAnsi="Roboto" w:cs="Roboto"/>
                <w:color w:val="222222"/>
                <w:sz w:val="16"/>
                <w:szCs w:val="16"/>
                <w:highlight w:val="white"/>
              </w:rPr>
              <w:t>CHAR</w:t>
            </w:r>
          </w:p>
        </w:tc>
        <w:tc>
          <w:tcPr>
            <w:tcW w:w="896" w:type="dxa"/>
            <w:shd w:val="clear" w:color="auto" w:fill="auto"/>
            <w:tcMar>
              <w:top w:w="100" w:type="dxa"/>
              <w:left w:w="100" w:type="dxa"/>
              <w:bottom w:w="100" w:type="dxa"/>
              <w:right w:w="100" w:type="dxa"/>
            </w:tcMar>
          </w:tcPr>
          <w:p w14:paraId="1AB42185" w14:textId="77777777" w:rsidR="00046B43" w:rsidRDefault="00533817">
            <w:pPr>
              <w:widowControl w:val="0"/>
              <w:pBdr>
                <w:top w:val="nil"/>
                <w:left w:val="nil"/>
                <w:bottom w:val="nil"/>
                <w:right w:val="nil"/>
                <w:between w:val="nil"/>
              </w:pBdr>
              <w:jc w:val="center"/>
              <w:rPr>
                <w:rFonts w:ascii="Roboto" w:eastAsia="Roboto" w:hAnsi="Roboto" w:cs="Roboto"/>
                <w:color w:val="222222"/>
                <w:sz w:val="16"/>
                <w:szCs w:val="16"/>
                <w:highlight w:val="white"/>
              </w:rPr>
            </w:pPr>
            <w:r>
              <w:rPr>
                <w:rFonts w:ascii="Roboto" w:eastAsia="Roboto" w:hAnsi="Roboto" w:cs="Roboto"/>
                <w:color w:val="222222"/>
                <w:sz w:val="16"/>
                <w:szCs w:val="16"/>
                <w:highlight w:val="white"/>
              </w:rPr>
              <w:t>10</w:t>
            </w:r>
          </w:p>
        </w:tc>
      </w:tr>
      <w:tr w:rsidR="00046B43" w14:paraId="5DBD335D" w14:textId="77777777">
        <w:trPr>
          <w:jc w:val="center"/>
        </w:trPr>
        <w:tc>
          <w:tcPr>
            <w:tcW w:w="921" w:type="dxa"/>
            <w:shd w:val="clear" w:color="auto" w:fill="auto"/>
            <w:tcMar>
              <w:top w:w="100" w:type="dxa"/>
              <w:left w:w="100" w:type="dxa"/>
              <w:bottom w:w="100" w:type="dxa"/>
              <w:right w:w="100" w:type="dxa"/>
            </w:tcMar>
          </w:tcPr>
          <w:p w14:paraId="648237B4" w14:textId="77777777" w:rsidR="00046B43" w:rsidRDefault="00533817">
            <w:pPr>
              <w:widowControl w:val="0"/>
              <w:pBdr>
                <w:top w:val="nil"/>
                <w:left w:val="nil"/>
                <w:bottom w:val="nil"/>
                <w:right w:val="nil"/>
                <w:between w:val="nil"/>
              </w:pBdr>
              <w:jc w:val="center"/>
              <w:rPr>
                <w:color w:val="222222"/>
                <w:sz w:val="16"/>
                <w:szCs w:val="16"/>
              </w:rPr>
            </w:pPr>
            <w:r>
              <w:rPr>
                <w:color w:val="222222"/>
                <w:sz w:val="16"/>
                <w:szCs w:val="16"/>
              </w:rPr>
              <w:t>266</w:t>
            </w:r>
          </w:p>
        </w:tc>
        <w:tc>
          <w:tcPr>
            <w:tcW w:w="934" w:type="dxa"/>
            <w:shd w:val="clear" w:color="auto" w:fill="auto"/>
            <w:tcMar>
              <w:top w:w="100" w:type="dxa"/>
              <w:left w:w="100" w:type="dxa"/>
              <w:bottom w:w="100" w:type="dxa"/>
              <w:right w:w="100" w:type="dxa"/>
            </w:tcMar>
          </w:tcPr>
          <w:p w14:paraId="729FE84D" w14:textId="77777777" w:rsidR="00046B43" w:rsidRDefault="00533817">
            <w:pPr>
              <w:widowControl w:val="0"/>
              <w:pBdr>
                <w:top w:val="nil"/>
                <w:left w:val="nil"/>
                <w:bottom w:val="nil"/>
                <w:right w:val="nil"/>
                <w:between w:val="nil"/>
              </w:pBdr>
              <w:rPr>
                <w:color w:val="222222"/>
                <w:sz w:val="20"/>
                <w:szCs w:val="20"/>
              </w:rPr>
            </w:pPr>
            <w:r>
              <w:rPr>
                <w:rFonts w:ascii="Roboto" w:eastAsia="Roboto" w:hAnsi="Roboto" w:cs="Roboto"/>
                <w:color w:val="222222"/>
                <w:sz w:val="16"/>
                <w:szCs w:val="16"/>
                <w:highlight w:val="white"/>
              </w:rPr>
              <w:t>Final ED Triage Value</w:t>
            </w:r>
          </w:p>
        </w:tc>
        <w:tc>
          <w:tcPr>
            <w:tcW w:w="4695" w:type="dxa"/>
            <w:shd w:val="clear" w:color="auto" w:fill="auto"/>
            <w:tcMar>
              <w:top w:w="100" w:type="dxa"/>
              <w:left w:w="100" w:type="dxa"/>
              <w:bottom w:w="100" w:type="dxa"/>
              <w:right w:w="100" w:type="dxa"/>
            </w:tcMar>
          </w:tcPr>
          <w:p w14:paraId="7B9FD219" w14:textId="77777777" w:rsidR="00046B43" w:rsidRDefault="00533817">
            <w:pPr>
              <w:widowControl w:val="0"/>
              <w:pBdr>
                <w:top w:val="nil"/>
                <w:left w:val="nil"/>
                <w:bottom w:val="nil"/>
                <w:right w:val="nil"/>
                <w:between w:val="nil"/>
              </w:pBdr>
              <w:rPr>
                <w:b/>
                <w:color w:val="222222"/>
                <w:sz w:val="16"/>
                <w:szCs w:val="16"/>
              </w:rPr>
            </w:pPr>
            <w:r>
              <w:rPr>
                <w:color w:val="222222"/>
                <w:sz w:val="16"/>
                <w:szCs w:val="16"/>
              </w:rPr>
              <w:t xml:space="preserve">Enter the </w:t>
            </w:r>
            <w:r>
              <w:rPr>
                <w:b/>
                <w:color w:val="0563C1"/>
                <w:sz w:val="16"/>
                <w:szCs w:val="16"/>
              </w:rPr>
              <w:t>LAST</w:t>
            </w:r>
            <w:r>
              <w:rPr>
                <w:color w:val="222222"/>
                <w:sz w:val="16"/>
                <w:szCs w:val="16"/>
              </w:rPr>
              <w:t xml:space="preserve"> triage assessment value recorded for a patient visit to the ED. This value should be a numeric value that indicates the urgency designated to the visit by the triage assessment, (1) being the highest urgency, (5) or higher being the lowest urgency. </w:t>
            </w:r>
            <w:r>
              <w:rPr>
                <w:b/>
                <w:color w:val="222222"/>
                <w:sz w:val="16"/>
                <w:szCs w:val="16"/>
              </w:rPr>
              <w:t xml:space="preserve">This value should reflect patient triage status at the time closest to the time at which the patient’s ED stay ended (discharge, death, admission, transfer, etc.)  This value may be missing for non-ED encounters, or if there is only one triage value assigned to the patient. </w:t>
            </w:r>
          </w:p>
        </w:tc>
        <w:tc>
          <w:tcPr>
            <w:tcW w:w="1080" w:type="dxa"/>
            <w:shd w:val="clear" w:color="auto" w:fill="auto"/>
            <w:tcMar>
              <w:top w:w="100" w:type="dxa"/>
              <w:left w:w="100" w:type="dxa"/>
              <w:bottom w:w="100" w:type="dxa"/>
              <w:right w:w="100" w:type="dxa"/>
            </w:tcMar>
          </w:tcPr>
          <w:p w14:paraId="3D4BFA4D" w14:textId="77777777" w:rsidR="00046B43" w:rsidRDefault="00533817">
            <w:pPr>
              <w:widowControl w:val="0"/>
              <w:rPr>
                <w:color w:val="222222"/>
                <w:sz w:val="16"/>
                <w:szCs w:val="16"/>
              </w:rPr>
            </w:pPr>
            <w:r>
              <w:rPr>
                <w:rFonts w:ascii="Roboto" w:eastAsia="Roboto" w:hAnsi="Roboto" w:cs="Roboto"/>
                <w:color w:val="222222"/>
                <w:sz w:val="16"/>
                <w:szCs w:val="16"/>
                <w:highlight w:val="white"/>
              </w:rPr>
              <w:t>EDTRIAGE2</w:t>
            </w:r>
          </w:p>
        </w:tc>
        <w:tc>
          <w:tcPr>
            <w:tcW w:w="840" w:type="dxa"/>
            <w:shd w:val="clear" w:color="auto" w:fill="auto"/>
            <w:tcMar>
              <w:top w:w="100" w:type="dxa"/>
              <w:left w:w="100" w:type="dxa"/>
              <w:bottom w:w="100" w:type="dxa"/>
              <w:right w:w="100" w:type="dxa"/>
            </w:tcMar>
          </w:tcPr>
          <w:p w14:paraId="26CE2122" w14:textId="77777777" w:rsidR="00046B43" w:rsidRDefault="00533817">
            <w:pPr>
              <w:widowControl w:val="0"/>
              <w:jc w:val="center"/>
              <w:rPr>
                <w:rFonts w:ascii="Roboto" w:eastAsia="Roboto" w:hAnsi="Roboto" w:cs="Roboto"/>
                <w:color w:val="222222"/>
                <w:sz w:val="16"/>
                <w:szCs w:val="16"/>
                <w:highlight w:val="white"/>
              </w:rPr>
            </w:pPr>
            <w:r>
              <w:rPr>
                <w:rFonts w:ascii="Roboto" w:eastAsia="Roboto" w:hAnsi="Roboto" w:cs="Roboto"/>
                <w:color w:val="222222"/>
                <w:sz w:val="16"/>
                <w:szCs w:val="16"/>
                <w:highlight w:val="white"/>
              </w:rPr>
              <w:t>CHAR</w:t>
            </w:r>
          </w:p>
        </w:tc>
        <w:tc>
          <w:tcPr>
            <w:tcW w:w="896" w:type="dxa"/>
            <w:shd w:val="clear" w:color="auto" w:fill="auto"/>
            <w:tcMar>
              <w:top w:w="100" w:type="dxa"/>
              <w:left w:w="100" w:type="dxa"/>
              <w:bottom w:w="100" w:type="dxa"/>
              <w:right w:w="100" w:type="dxa"/>
            </w:tcMar>
          </w:tcPr>
          <w:p w14:paraId="4CD9E1EE" w14:textId="77777777" w:rsidR="00046B43" w:rsidRDefault="00533817">
            <w:pPr>
              <w:widowControl w:val="0"/>
              <w:jc w:val="center"/>
              <w:rPr>
                <w:rFonts w:ascii="Roboto" w:eastAsia="Roboto" w:hAnsi="Roboto" w:cs="Roboto"/>
                <w:color w:val="222222"/>
                <w:sz w:val="16"/>
                <w:szCs w:val="16"/>
                <w:highlight w:val="white"/>
              </w:rPr>
            </w:pPr>
            <w:r>
              <w:rPr>
                <w:rFonts w:ascii="Roboto" w:eastAsia="Roboto" w:hAnsi="Roboto" w:cs="Roboto"/>
                <w:color w:val="222222"/>
                <w:sz w:val="16"/>
                <w:szCs w:val="16"/>
                <w:highlight w:val="white"/>
              </w:rPr>
              <w:t>10</w:t>
            </w:r>
          </w:p>
        </w:tc>
      </w:tr>
    </w:tbl>
    <w:p w14:paraId="3E6850B3" w14:textId="77777777" w:rsidR="00046B43" w:rsidRDefault="00046B43">
      <w:pPr>
        <w:shd w:val="clear" w:color="auto" w:fill="FFFFFF"/>
        <w:rPr>
          <w:color w:val="222222"/>
          <w:sz w:val="20"/>
          <w:szCs w:val="20"/>
        </w:rPr>
      </w:pPr>
    </w:p>
    <w:p w14:paraId="42ECBBAB" w14:textId="77777777" w:rsidR="00046B43" w:rsidRDefault="00533817">
      <w:pPr>
        <w:shd w:val="clear" w:color="auto" w:fill="FFFFFF"/>
        <w:rPr>
          <w:color w:val="222222"/>
          <w:sz w:val="20"/>
          <w:szCs w:val="20"/>
        </w:rPr>
      </w:pPr>
      <w:r>
        <w:rPr>
          <w:color w:val="222222"/>
          <w:sz w:val="20"/>
          <w:szCs w:val="20"/>
        </w:rPr>
        <w:t xml:space="preserve">Below are some example values that can be reported in these fields: </w:t>
      </w:r>
    </w:p>
    <w:p w14:paraId="0EE86465" w14:textId="77777777" w:rsidR="00046B43" w:rsidRDefault="00533817">
      <w:pPr>
        <w:shd w:val="clear" w:color="auto" w:fill="FFFFFF"/>
        <w:rPr>
          <w:color w:val="222222"/>
          <w:sz w:val="20"/>
          <w:szCs w:val="20"/>
        </w:rPr>
      </w:pPr>
      <w:r>
        <w:rPr>
          <w:b/>
          <w:color w:val="222222"/>
          <w:sz w:val="20"/>
          <w:szCs w:val="20"/>
        </w:rPr>
        <w:t>Emergency Severity Index (ESI) categories:</w:t>
      </w:r>
    </w:p>
    <w:p w14:paraId="04601EEF" w14:textId="77777777" w:rsidR="00046B43" w:rsidRDefault="00533817">
      <w:pPr>
        <w:shd w:val="clear" w:color="auto" w:fill="FFFFFF"/>
        <w:rPr>
          <w:color w:val="222222"/>
          <w:sz w:val="20"/>
          <w:szCs w:val="20"/>
        </w:rPr>
      </w:pPr>
      <w:r>
        <w:rPr>
          <w:color w:val="222222"/>
          <w:sz w:val="20"/>
          <w:szCs w:val="20"/>
        </w:rPr>
        <w:t>1 = Patient requires immediate life-saving intervention</w:t>
      </w:r>
    </w:p>
    <w:p w14:paraId="768F58B0" w14:textId="77777777" w:rsidR="00046B43" w:rsidRDefault="00533817">
      <w:pPr>
        <w:shd w:val="clear" w:color="auto" w:fill="FFFFFF"/>
        <w:rPr>
          <w:color w:val="222222"/>
          <w:sz w:val="20"/>
          <w:szCs w:val="20"/>
        </w:rPr>
      </w:pPr>
      <w:r>
        <w:rPr>
          <w:color w:val="222222"/>
          <w:sz w:val="20"/>
          <w:szCs w:val="20"/>
        </w:rPr>
        <w:t>2 = Patient is in a high risk situation, is disoriented, in sever pain, or vitals are in danger zone</w:t>
      </w:r>
    </w:p>
    <w:p w14:paraId="744A5C09" w14:textId="77777777" w:rsidR="00046B43" w:rsidRDefault="00533817">
      <w:pPr>
        <w:shd w:val="clear" w:color="auto" w:fill="FFFFFF"/>
        <w:rPr>
          <w:color w:val="222222"/>
          <w:sz w:val="20"/>
          <w:szCs w:val="20"/>
        </w:rPr>
      </w:pPr>
      <w:r>
        <w:rPr>
          <w:color w:val="222222"/>
          <w:sz w:val="20"/>
          <w:szCs w:val="20"/>
        </w:rPr>
        <w:t>3 = If multiple resources are required to stabilize the patient, but vitals are not in the danger zone</w:t>
      </w:r>
    </w:p>
    <w:p w14:paraId="63B9A819" w14:textId="77777777" w:rsidR="00046B43" w:rsidRDefault="00533817">
      <w:pPr>
        <w:shd w:val="clear" w:color="auto" w:fill="FFFFFF"/>
        <w:rPr>
          <w:color w:val="222222"/>
          <w:sz w:val="20"/>
          <w:szCs w:val="20"/>
        </w:rPr>
      </w:pPr>
      <w:r>
        <w:rPr>
          <w:color w:val="222222"/>
          <w:sz w:val="20"/>
          <w:szCs w:val="20"/>
        </w:rPr>
        <w:t>4 = If one resource is required to stabilize the patient</w:t>
      </w:r>
    </w:p>
    <w:p w14:paraId="6472B766" w14:textId="77777777" w:rsidR="00046B43" w:rsidRDefault="00533817">
      <w:pPr>
        <w:shd w:val="clear" w:color="auto" w:fill="FFFFFF"/>
        <w:rPr>
          <w:color w:val="222222"/>
          <w:sz w:val="20"/>
          <w:szCs w:val="20"/>
        </w:rPr>
      </w:pPr>
      <w:r>
        <w:rPr>
          <w:color w:val="222222"/>
          <w:sz w:val="20"/>
          <w:szCs w:val="20"/>
        </w:rPr>
        <w:t>5 = If patient does not require any resources to be stabilized</w:t>
      </w:r>
    </w:p>
    <w:p w14:paraId="1FF2A89C" w14:textId="77777777" w:rsidR="00046B43" w:rsidRDefault="00046B43">
      <w:pPr>
        <w:shd w:val="clear" w:color="auto" w:fill="FFFFFF"/>
        <w:rPr>
          <w:color w:val="222222"/>
          <w:sz w:val="20"/>
          <w:szCs w:val="20"/>
        </w:rPr>
      </w:pPr>
    </w:p>
    <w:p w14:paraId="3B3B395F" w14:textId="77777777" w:rsidR="00046B43" w:rsidRDefault="00533817">
      <w:pPr>
        <w:shd w:val="clear" w:color="auto" w:fill="FFFFFF"/>
        <w:rPr>
          <w:b/>
          <w:color w:val="222222"/>
          <w:sz w:val="20"/>
          <w:szCs w:val="20"/>
        </w:rPr>
      </w:pPr>
      <w:r>
        <w:rPr>
          <w:b/>
          <w:color w:val="222222"/>
          <w:sz w:val="20"/>
          <w:szCs w:val="20"/>
        </w:rPr>
        <w:t>Australasian Triage Scale (ATS) categories:</w:t>
      </w:r>
    </w:p>
    <w:p w14:paraId="6A14BD0A" w14:textId="77777777" w:rsidR="00046B43" w:rsidRDefault="00533817">
      <w:pPr>
        <w:shd w:val="clear" w:color="auto" w:fill="FFFFFF"/>
        <w:rPr>
          <w:color w:val="222222"/>
          <w:sz w:val="20"/>
          <w:szCs w:val="20"/>
        </w:rPr>
      </w:pPr>
      <w:r>
        <w:rPr>
          <w:color w:val="222222"/>
          <w:sz w:val="20"/>
          <w:szCs w:val="20"/>
        </w:rPr>
        <w:t>1 = Immediate</w:t>
      </w:r>
    </w:p>
    <w:p w14:paraId="38A50612" w14:textId="77777777" w:rsidR="00046B43" w:rsidRDefault="00533817">
      <w:pPr>
        <w:shd w:val="clear" w:color="auto" w:fill="FFFFFF"/>
        <w:rPr>
          <w:color w:val="222222"/>
          <w:sz w:val="20"/>
          <w:szCs w:val="20"/>
        </w:rPr>
      </w:pPr>
      <w:r>
        <w:rPr>
          <w:color w:val="222222"/>
          <w:sz w:val="20"/>
          <w:szCs w:val="20"/>
        </w:rPr>
        <w:t>2 = 10 minutes max waiting time for medical assessment</w:t>
      </w:r>
    </w:p>
    <w:p w14:paraId="2DE6A76C" w14:textId="77777777" w:rsidR="00046B43" w:rsidRDefault="00533817">
      <w:pPr>
        <w:shd w:val="clear" w:color="auto" w:fill="FFFFFF"/>
        <w:rPr>
          <w:color w:val="222222"/>
          <w:sz w:val="20"/>
          <w:szCs w:val="20"/>
        </w:rPr>
      </w:pPr>
      <w:r>
        <w:rPr>
          <w:color w:val="222222"/>
          <w:sz w:val="20"/>
          <w:szCs w:val="20"/>
        </w:rPr>
        <w:t>3 = 30 minutes max waiting time for medical assessment</w:t>
      </w:r>
    </w:p>
    <w:p w14:paraId="04B1ADA2" w14:textId="77777777" w:rsidR="00046B43" w:rsidRDefault="00533817">
      <w:pPr>
        <w:shd w:val="clear" w:color="auto" w:fill="FFFFFF"/>
        <w:rPr>
          <w:color w:val="222222"/>
          <w:sz w:val="20"/>
          <w:szCs w:val="20"/>
        </w:rPr>
      </w:pPr>
      <w:r>
        <w:rPr>
          <w:color w:val="222222"/>
          <w:sz w:val="20"/>
          <w:szCs w:val="20"/>
        </w:rPr>
        <w:t>4 = 60 minutes max waiting time for medical assessment</w:t>
      </w:r>
    </w:p>
    <w:p w14:paraId="2F5ED9B3" w14:textId="77777777" w:rsidR="00046B43" w:rsidRDefault="00533817">
      <w:pPr>
        <w:shd w:val="clear" w:color="auto" w:fill="FFFFFF"/>
        <w:rPr>
          <w:color w:val="222222"/>
          <w:sz w:val="20"/>
          <w:szCs w:val="20"/>
        </w:rPr>
      </w:pPr>
      <w:r>
        <w:rPr>
          <w:color w:val="222222"/>
          <w:sz w:val="20"/>
          <w:szCs w:val="20"/>
        </w:rPr>
        <w:t>5 = 120 minutes max waiting time for medical assessment</w:t>
      </w:r>
    </w:p>
    <w:p w14:paraId="64D26431" w14:textId="77777777" w:rsidR="00046B43" w:rsidRDefault="00046B43">
      <w:pPr>
        <w:shd w:val="clear" w:color="auto" w:fill="FFFFFF"/>
        <w:rPr>
          <w:color w:val="222222"/>
          <w:sz w:val="20"/>
          <w:szCs w:val="20"/>
        </w:rPr>
      </w:pPr>
    </w:p>
    <w:p w14:paraId="765AA688" w14:textId="77777777" w:rsidR="00046B43" w:rsidRDefault="00533817">
      <w:pPr>
        <w:shd w:val="clear" w:color="auto" w:fill="FFFFFF"/>
        <w:rPr>
          <w:color w:val="222222"/>
          <w:sz w:val="20"/>
          <w:szCs w:val="20"/>
        </w:rPr>
      </w:pPr>
      <w:r>
        <w:rPr>
          <w:color w:val="222222"/>
          <w:sz w:val="20"/>
          <w:szCs w:val="20"/>
        </w:rPr>
        <w:t>HSCRC staff understands that hospitals may be using different systems to collect these variables and the values may have different interpretations.</w:t>
      </w:r>
    </w:p>
    <w:p w14:paraId="0EB39D7B" w14:textId="77777777" w:rsidR="00046B43" w:rsidRDefault="00533817">
      <w:pPr>
        <w:shd w:val="clear" w:color="auto" w:fill="FFFFFF"/>
        <w:spacing w:before="240"/>
        <w:rPr>
          <w:b/>
          <w:color w:val="2E74B5"/>
          <w:sz w:val="28"/>
          <w:szCs w:val="28"/>
        </w:rPr>
      </w:pPr>
      <w:r>
        <w:rPr>
          <w:b/>
          <w:color w:val="2E74B5"/>
          <w:sz w:val="28"/>
          <w:szCs w:val="28"/>
        </w:rPr>
        <w:t>Submission of Historical ED Triage Data</w:t>
      </w:r>
    </w:p>
    <w:p w14:paraId="1BAD24B8" w14:textId="77777777" w:rsidR="00046B43" w:rsidRDefault="00533817">
      <w:pPr>
        <w:shd w:val="clear" w:color="auto" w:fill="FFFFFF"/>
        <w:rPr>
          <w:color w:val="222222"/>
          <w:sz w:val="20"/>
          <w:szCs w:val="20"/>
        </w:rPr>
      </w:pPr>
      <w:r>
        <w:rPr>
          <w:color w:val="222222"/>
          <w:sz w:val="20"/>
          <w:szCs w:val="20"/>
        </w:rPr>
        <w:t xml:space="preserve"> </w:t>
      </w:r>
    </w:p>
    <w:p w14:paraId="5C6660B0" w14:textId="77777777" w:rsidR="00046B43" w:rsidRDefault="00533817">
      <w:pPr>
        <w:shd w:val="clear" w:color="auto" w:fill="FFFFFF"/>
        <w:rPr>
          <w:sz w:val="20"/>
          <w:szCs w:val="20"/>
        </w:rPr>
      </w:pPr>
      <w:r>
        <w:rPr>
          <w:sz w:val="20"/>
          <w:szCs w:val="20"/>
        </w:rPr>
        <w:t>In order to have triage data for modeling, the HSCRC is also requiring hospitals to submit the initial ED Triage Status for all ED patients visits for the following periods by the deadline indicated below</w:t>
      </w:r>
    </w:p>
    <w:p w14:paraId="5E982277" w14:textId="77777777" w:rsidR="00046B43" w:rsidRDefault="00046B43">
      <w:pPr>
        <w:shd w:val="clear" w:color="auto" w:fill="FFFFFF"/>
        <w:rPr>
          <w:sz w:val="20"/>
          <w:szCs w:val="20"/>
        </w:rPr>
      </w:pPr>
    </w:p>
    <w:p w14:paraId="0D6F29F7" w14:textId="77777777" w:rsidR="00046B43" w:rsidRDefault="00533817">
      <w:pPr>
        <w:numPr>
          <w:ilvl w:val="0"/>
          <w:numId w:val="1"/>
        </w:numPr>
        <w:shd w:val="clear" w:color="auto" w:fill="FFFFFF"/>
        <w:rPr>
          <w:sz w:val="20"/>
          <w:szCs w:val="20"/>
        </w:rPr>
      </w:pPr>
      <w:r>
        <w:rPr>
          <w:sz w:val="20"/>
          <w:szCs w:val="20"/>
        </w:rPr>
        <w:t xml:space="preserve">CY 2021 January - June: </w:t>
      </w:r>
      <w:r>
        <w:rPr>
          <w:sz w:val="20"/>
          <w:szCs w:val="20"/>
        </w:rPr>
        <w:tab/>
      </w:r>
      <w:r>
        <w:rPr>
          <w:b/>
          <w:sz w:val="20"/>
          <w:szCs w:val="20"/>
        </w:rPr>
        <w:t>Due</w:t>
      </w:r>
      <w:r>
        <w:rPr>
          <w:sz w:val="20"/>
          <w:szCs w:val="20"/>
        </w:rPr>
        <w:t xml:space="preserve"> </w:t>
      </w:r>
      <w:r>
        <w:rPr>
          <w:b/>
          <w:sz w:val="20"/>
          <w:szCs w:val="20"/>
        </w:rPr>
        <w:t>January 15, 2022</w:t>
      </w:r>
    </w:p>
    <w:p w14:paraId="7CA9B06F" w14:textId="77777777" w:rsidR="00046B43" w:rsidRDefault="00533817">
      <w:pPr>
        <w:numPr>
          <w:ilvl w:val="0"/>
          <w:numId w:val="1"/>
        </w:numPr>
        <w:shd w:val="clear" w:color="auto" w:fill="FFFFFF"/>
        <w:rPr>
          <w:sz w:val="20"/>
          <w:szCs w:val="20"/>
        </w:rPr>
      </w:pPr>
      <w:r>
        <w:rPr>
          <w:sz w:val="20"/>
          <w:szCs w:val="20"/>
        </w:rPr>
        <w:t xml:space="preserve">CY 2021 July - September:  </w:t>
      </w:r>
      <w:r>
        <w:rPr>
          <w:sz w:val="20"/>
          <w:szCs w:val="20"/>
        </w:rPr>
        <w:tab/>
      </w:r>
      <w:r>
        <w:rPr>
          <w:b/>
          <w:sz w:val="20"/>
          <w:szCs w:val="20"/>
        </w:rPr>
        <w:t>Due</w:t>
      </w:r>
      <w:r>
        <w:rPr>
          <w:sz w:val="20"/>
          <w:szCs w:val="20"/>
        </w:rPr>
        <w:t xml:space="preserve"> </w:t>
      </w:r>
      <w:r>
        <w:rPr>
          <w:b/>
          <w:sz w:val="20"/>
          <w:szCs w:val="20"/>
        </w:rPr>
        <w:t>March 15, 2022</w:t>
      </w:r>
    </w:p>
    <w:p w14:paraId="14E28C03" w14:textId="77777777" w:rsidR="00046B43" w:rsidRDefault="00533817">
      <w:pPr>
        <w:numPr>
          <w:ilvl w:val="0"/>
          <w:numId w:val="1"/>
        </w:numPr>
        <w:shd w:val="clear" w:color="auto" w:fill="FFFFFF"/>
        <w:rPr>
          <w:sz w:val="20"/>
          <w:szCs w:val="20"/>
        </w:rPr>
      </w:pPr>
      <w:r>
        <w:rPr>
          <w:sz w:val="20"/>
          <w:szCs w:val="20"/>
        </w:rPr>
        <w:lastRenderedPageBreak/>
        <w:t>CY 2021 October - December:</w:t>
      </w:r>
      <w:r>
        <w:rPr>
          <w:sz w:val="20"/>
          <w:szCs w:val="20"/>
        </w:rPr>
        <w:tab/>
      </w:r>
      <w:r>
        <w:rPr>
          <w:b/>
          <w:sz w:val="20"/>
          <w:szCs w:val="20"/>
        </w:rPr>
        <w:t>Due June 15, 2022</w:t>
      </w:r>
      <w:r>
        <w:rPr>
          <w:b/>
          <w:color w:val="4472C4"/>
          <w:sz w:val="20"/>
          <w:szCs w:val="20"/>
        </w:rPr>
        <w:t xml:space="preserve"> </w:t>
      </w:r>
    </w:p>
    <w:p w14:paraId="522201F7" w14:textId="77777777" w:rsidR="00046B43" w:rsidRDefault="00046B43">
      <w:pPr>
        <w:shd w:val="clear" w:color="auto" w:fill="FFFFFF"/>
        <w:rPr>
          <w:sz w:val="20"/>
          <w:szCs w:val="20"/>
        </w:rPr>
      </w:pPr>
    </w:p>
    <w:p w14:paraId="7DB24761" w14:textId="77777777" w:rsidR="00046B43" w:rsidRDefault="00533817">
      <w:pPr>
        <w:shd w:val="clear" w:color="auto" w:fill="FFFFFF"/>
        <w:rPr>
          <w:sz w:val="20"/>
          <w:szCs w:val="20"/>
        </w:rPr>
      </w:pPr>
      <w:r>
        <w:rPr>
          <w:sz w:val="20"/>
          <w:szCs w:val="20"/>
        </w:rPr>
        <w:t>Hospitals shall provide the following information for each ED patient in a pipe delimited text file so that the HSCRC data processing vendor can incorporate this information into the existing datasets:</w:t>
      </w:r>
    </w:p>
    <w:p w14:paraId="3B694E99" w14:textId="77777777" w:rsidR="00046B43" w:rsidRDefault="00533817">
      <w:pPr>
        <w:numPr>
          <w:ilvl w:val="0"/>
          <w:numId w:val="2"/>
        </w:numPr>
        <w:shd w:val="clear" w:color="auto" w:fill="FFFFFF"/>
        <w:rPr>
          <w:color w:val="222222"/>
          <w:sz w:val="20"/>
          <w:szCs w:val="20"/>
        </w:rPr>
      </w:pPr>
      <w:r>
        <w:rPr>
          <w:color w:val="222222"/>
          <w:sz w:val="20"/>
          <w:szCs w:val="20"/>
        </w:rPr>
        <w:t>Hospital ID</w:t>
      </w:r>
    </w:p>
    <w:p w14:paraId="51F90EE2" w14:textId="77777777" w:rsidR="00046B43" w:rsidRDefault="00533817">
      <w:pPr>
        <w:numPr>
          <w:ilvl w:val="0"/>
          <w:numId w:val="2"/>
        </w:numPr>
        <w:shd w:val="clear" w:color="auto" w:fill="FFFFFF"/>
        <w:rPr>
          <w:color w:val="222222"/>
          <w:sz w:val="20"/>
          <w:szCs w:val="20"/>
        </w:rPr>
      </w:pPr>
      <w:r>
        <w:rPr>
          <w:color w:val="222222"/>
          <w:sz w:val="20"/>
          <w:szCs w:val="20"/>
        </w:rPr>
        <w:t>Medical Record Number</w:t>
      </w:r>
    </w:p>
    <w:p w14:paraId="5ABCE2FE" w14:textId="77777777" w:rsidR="00046B43" w:rsidRDefault="00533817">
      <w:pPr>
        <w:numPr>
          <w:ilvl w:val="0"/>
          <w:numId w:val="2"/>
        </w:numPr>
        <w:shd w:val="clear" w:color="auto" w:fill="FFFFFF"/>
        <w:rPr>
          <w:color w:val="222222"/>
          <w:sz w:val="20"/>
          <w:szCs w:val="20"/>
        </w:rPr>
      </w:pPr>
      <w:r>
        <w:rPr>
          <w:color w:val="222222"/>
          <w:sz w:val="20"/>
          <w:szCs w:val="20"/>
        </w:rPr>
        <w:t>Patient Account Number</w:t>
      </w:r>
    </w:p>
    <w:p w14:paraId="1B5D23E2" w14:textId="77777777" w:rsidR="00046B43" w:rsidRDefault="00533817">
      <w:pPr>
        <w:numPr>
          <w:ilvl w:val="0"/>
          <w:numId w:val="2"/>
        </w:numPr>
        <w:shd w:val="clear" w:color="auto" w:fill="FFFFFF"/>
        <w:rPr>
          <w:color w:val="222222"/>
          <w:sz w:val="20"/>
          <w:szCs w:val="20"/>
        </w:rPr>
      </w:pPr>
      <w:r>
        <w:rPr>
          <w:color w:val="222222"/>
          <w:sz w:val="20"/>
          <w:szCs w:val="20"/>
        </w:rPr>
        <w:t>From Date (MMDDYYYY)</w:t>
      </w:r>
    </w:p>
    <w:p w14:paraId="5F36675F" w14:textId="77777777" w:rsidR="00046B43" w:rsidRDefault="00533817">
      <w:pPr>
        <w:numPr>
          <w:ilvl w:val="0"/>
          <w:numId w:val="2"/>
        </w:numPr>
        <w:shd w:val="clear" w:color="auto" w:fill="FFFFFF"/>
        <w:rPr>
          <w:color w:val="222222"/>
          <w:sz w:val="20"/>
          <w:szCs w:val="20"/>
        </w:rPr>
      </w:pPr>
      <w:r>
        <w:rPr>
          <w:color w:val="222222"/>
          <w:sz w:val="20"/>
          <w:szCs w:val="20"/>
        </w:rPr>
        <w:t>Through Date (MMDDYYYY)</w:t>
      </w:r>
    </w:p>
    <w:p w14:paraId="45289249" w14:textId="77777777" w:rsidR="00046B43" w:rsidRDefault="00533817">
      <w:pPr>
        <w:numPr>
          <w:ilvl w:val="0"/>
          <w:numId w:val="2"/>
        </w:numPr>
        <w:shd w:val="clear" w:color="auto" w:fill="FFFFFF"/>
        <w:rPr>
          <w:color w:val="222222"/>
          <w:sz w:val="20"/>
          <w:szCs w:val="20"/>
        </w:rPr>
      </w:pPr>
      <w:r>
        <w:rPr>
          <w:color w:val="222222"/>
          <w:sz w:val="20"/>
          <w:szCs w:val="20"/>
        </w:rPr>
        <w:t>Initial triage status code</w:t>
      </w:r>
    </w:p>
    <w:p w14:paraId="4080CE24" w14:textId="77777777" w:rsidR="00046B43" w:rsidRDefault="00046B43">
      <w:pPr>
        <w:shd w:val="clear" w:color="auto" w:fill="FFFFFF"/>
        <w:rPr>
          <w:color w:val="222222"/>
          <w:sz w:val="20"/>
          <w:szCs w:val="20"/>
        </w:rPr>
      </w:pPr>
    </w:p>
    <w:p w14:paraId="287109D4" w14:textId="77777777" w:rsidR="00046B43" w:rsidRDefault="00533817">
      <w:pPr>
        <w:shd w:val="clear" w:color="auto" w:fill="FFFFFF"/>
        <w:rPr>
          <w:color w:val="222222"/>
          <w:sz w:val="20"/>
          <w:szCs w:val="20"/>
          <w:highlight w:val="white"/>
        </w:rPr>
      </w:pPr>
      <w:r>
        <w:rPr>
          <w:color w:val="222222"/>
          <w:sz w:val="20"/>
          <w:szCs w:val="20"/>
        </w:rPr>
        <w:t>Pl</w:t>
      </w:r>
      <w:r>
        <w:rPr>
          <w:color w:val="222222"/>
          <w:sz w:val="20"/>
          <w:szCs w:val="20"/>
          <w:highlight w:val="white"/>
        </w:rPr>
        <w:t>ease submit the text file to hMetrix via the Adhoc folder in RDS. If you are not able to access this folder, please contact the St.Paul Group (</w:t>
      </w:r>
      <w:hyperlink r:id="rId9">
        <w:r>
          <w:rPr>
            <w:color w:val="1155CC"/>
            <w:sz w:val="20"/>
            <w:szCs w:val="20"/>
            <w:highlight w:val="white"/>
            <w:u w:val="single"/>
          </w:rPr>
          <w:t>ops@thestpaulgroup.com</w:t>
        </w:r>
      </w:hyperlink>
      <w:r>
        <w:rPr>
          <w:color w:val="222222"/>
          <w:sz w:val="20"/>
          <w:szCs w:val="20"/>
          <w:highlight w:val="white"/>
        </w:rPr>
        <w:t xml:space="preserve">) for assistance. </w:t>
      </w:r>
    </w:p>
    <w:p w14:paraId="1392E030" w14:textId="77777777" w:rsidR="00046B43" w:rsidRDefault="00046B43">
      <w:pPr>
        <w:shd w:val="clear" w:color="auto" w:fill="FFFFFF"/>
        <w:rPr>
          <w:color w:val="222222"/>
          <w:sz w:val="20"/>
          <w:szCs w:val="20"/>
          <w:highlight w:val="white"/>
        </w:rPr>
      </w:pPr>
    </w:p>
    <w:p w14:paraId="04AF4092" w14:textId="77777777" w:rsidR="00046B43" w:rsidRDefault="00533817">
      <w:pPr>
        <w:shd w:val="clear" w:color="auto" w:fill="FFFFFF"/>
        <w:rPr>
          <w:color w:val="222222"/>
          <w:sz w:val="20"/>
          <w:szCs w:val="20"/>
          <w:highlight w:val="white"/>
        </w:rPr>
      </w:pPr>
      <w:r>
        <w:rPr>
          <w:b/>
          <w:color w:val="2E74B5"/>
          <w:sz w:val="28"/>
          <w:szCs w:val="28"/>
        </w:rPr>
        <w:t>Questions</w:t>
      </w:r>
    </w:p>
    <w:p w14:paraId="524CDE2E" w14:textId="77777777" w:rsidR="00046B43" w:rsidRDefault="00046B43">
      <w:pPr>
        <w:shd w:val="clear" w:color="auto" w:fill="FFFFFF"/>
        <w:rPr>
          <w:color w:val="222222"/>
          <w:sz w:val="20"/>
          <w:szCs w:val="20"/>
          <w:highlight w:val="white"/>
        </w:rPr>
      </w:pPr>
    </w:p>
    <w:p w14:paraId="69F46CF1" w14:textId="77777777" w:rsidR="00046B43" w:rsidRDefault="00533817">
      <w:pPr>
        <w:shd w:val="clear" w:color="auto" w:fill="FFFFFF"/>
        <w:rPr>
          <w:color w:val="222222"/>
          <w:sz w:val="20"/>
          <w:szCs w:val="20"/>
          <w:highlight w:val="white"/>
        </w:rPr>
      </w:pPr>
      <w:r>
        <w:rPr>
          <w:color w:val="222222"/>
          <w:sz w:val="20"/>
          <w:szCs w:val="20"/>
          <w:highlight w:val="white"/>
        </w:rPr>
        <w:t xml:space="preserve">For questions related to the Avoidable ED Policy, please contact Geoff </w:t>
      </w:r>
      <w:r>
        <w:rPr>
          <w:color w:val="222222"/>
          <w:sz w:val="20"/>
          <w:szCs w:val="20"/>
        </w:rPr>
        <w:t>Dougherty (</w:t>
      </w:r>
      <w:hyperlink r:id="rId10">
        <w:r>
          <w:rPr>
            <w:color w:val="1155CC"/>
            <w:sz w:val="20"/>
            <w:szCs w:val="20"/>
            <w:u w:val="single"/>
          </w:rPr>
          <w:t>geoff.dougherty@maryland.gov</w:t>
        </w:r>
      </w:hyperlink>
      <w:r>
        <w:rPr>
          <w:color w:val="222222"/>
          <w:sz w:val="20"/>
          <w:szCs w:val="20"/>
        </w:rPr>
        <w:t xml:space="preserve">) </w:t>
      </w:r>
      <w:r>
        <w:rPr>
          <w:color w:val="222222"/>
          <w:sz w:val="20"/>
          <w:szCs w:val="20"/>
          <w:highlight w:val="white"/>
        </w:rPr>
        <w:t>or Zach Goldberg (</w:t>
      </w:r>
      <w:hyperlink r:id="rId11">
        <w:r>
          <w:rPr>
            <w:color w:val="1155CC"/>
            <w:sz w:val="20"/>
            <w:szCs w:val="20"/>
            <w:highlight w:val="white"/>
            <w:u w:val="single"/>
          </w:rPr>
          <w:t>zach.goldberg@maryland.gov</w:t>
        </w:r>
      </w:hyperlink>
      <w:r>
        <w:rPr>
          <w:color w:val="222222"/>
          <w:sz w:val="20"/>
          <w:szCs w:val="20"/>
          <w:highlight w:val="white"/>
        </w:rPr>
        <w:t xml:space="preserve">). </w:t>
      </w:r>
    </w:p>
    <w:p w14:paraId="61043869" w14:textId="77777777" w:rsidR="00046B43" w:rsidRDefault="00046B43">
      <w:pPr>
        <w:shd w:val="clear" w:color="auto" w:fill="FFFFFF"/>
        <w:rPr>
          <w:color w:val="222222"/>
          <w:sz w:val="20"/>
          <w:szCs w:val="20"/>
          <w:highlight w:val="white"/>
        </w:rPr>
      </w:pPr>
    </w:p>
    <w:p w14:paraId="79F4EC55" w14:textId="77777777" w:rsidR="00046B43" w:rsidRDefault="00533817">
      <w:pPr>
        <w:shd w:val="clear" w:color="auto" w:fill="FFFFFF"/>
      </w:pPr>
      <w:r>
        <w:rPr>
          <w:color w:val="222222"/>
          <w:sz w:val="20"/>
          <w:szCs w:val="20"/>
          <w:highlight w:val="white"/>
        </w:rPr>
        <w:t>For questions or concerns related to the FY 2022 Data Submission Requirements and submission deadlines, please contact me (</w:t>
      </w:r>
      <w:hyperlink r:id="rId12">
        <w:r>
          <w:rPr>
            <w:color w:val="1155CC"/>
            <w:sz w:val="20"/>
            <w:szCs w:val="20"/>
            <w:highlight w:val="white"/>
            <w:u w:val="single"/>
          </w:rPr>
          <w:t>claudine.williams@maryland.gov</w:t>
        </w:r>
      </w:hyperlink>
      <w:r>
        <w:rPr>
          <w:color w:val="222222"/>
          <w:sz w:val="20"/>
          <w:szCs w:val="20"/>
          <w:highlight w:val="white"/>
        </w:rPr>
        <w:t>) or Oscar Ibarra (</w:t>
      </w:r>
      <w:hyperlink r:id="rId13">
        <w:r>
          <w:rPr>
            <w:color w:val="1155CC"/>
            <w:sz w:val="20"/>
            <w:szCs w:val="20"/>
            <w:highlight w:val="white"/>
            <w:u w:val="single"/>
          </w:rPr>
          <w:t>oscar.ibarra@maryland.gov</w:t>
        </w:r>
      </w:hyperlink>
      <w:r>
        <w:rPr>
          <w:color w:val="222222"/>
          <w:sz w:val="20"/>
          <w:szCs w:val="20"/>
          <w:highlight w:val="white"/>
        </w:rPr>
        <w:t xml:space="preserve">). </w:t>
      </w:r>
    </w:p>
    <w:sectPr w:rsidR="00046B43">
      <w:headerReference w:type="even" r:id="rId14"/>
      <w:headerReference w:type="default" r:id="rId15"/>
      <w:footerReference w:type="even" r:id="rId16"/>
      <w:footerReference w:type="default" r:id="rId17"/>
      <w:headerReference w:type="first" r:id="rId18"/>
      <w:footerReference w:type="first" r:id="rId19"/>
      <w:pgSz w:w="12240" w:h="15840"/>
      <w:pgMar w:top="2322" w:right="1440" w:bottom="220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EB673" w14:textId="77777777" w:rsidR="00780AB8" w:rsidRDefault="00780AB8">
      <w:r>
        <w:separator/>
      </w:r>
    </w:p>
  </w:endnote>
  <w:endnote w:type="continuationSeparator" w:id="0">
    <w:p w14:paraId="6B2851B5" w14:textId="77777777" w:rsidR="00780AB8" w:rsidRDefault="0078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Georgia">
    <w:panose1 w:val="02040502050405020303"/>
    <w:charset w:val="00"/>
    <w:family w:val="roman"/>
    <w:pitch w:val="variable"/>
    <w:sig w:usb0="00000287" w:usb1="00000000" w:usb2="00000000" w:usb3="00000000" w:csb0="000000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ACFE" w14:textId="77777777" w:rsidR="00046B43" w:rsidRDefault="00533817">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780AB8">
      <w:rPr>
        <w:color w:val="000000"/>
      </w:rPr>
      <w:fldChar w:fldCharType="separate"/>
    </w:r>
    <w:r>
      <w:rPr>
        <w:color w:val="000000"/>
      </w:rPr>
      <w:fldChar w:fldCharType="end"/>
    </w:r>
  </w:p>
  <w:p w14:paraId="3B786A02" w14:textId="77777777" w:rsidR="00046B43" w:rsidRDefault="00046B43">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4F6" w14:textId="77777777" w:rsidR="00046B43" w:rsidRDefault="00533817">
    <w:pPr>
      <w:pBdr>
        <w:top w:val="nil"/>
        <w:left w:val="nil"/>
        <w:bottom w:val="nil"/>
        <w:right w:val="nil"/>
        <w:between w:val="nil"/>
      </w:pBdr>
      <w:tabs>
        <w:tab w:val="center" w:pos="4680"/>
        <w:tab w:val="right" w:pos="9360"/>
      </w:tabs>
      <w:rPr>
        <w:rFonts w:ascii="Raleway Medium" w:eastAsia="Raleway Medium" w:hAnsi="Raleway Medium" w:cs="Raleway Medium"/>
        <w:color w:val="003889"/>
        <w:sz w:val="16"/>
        <w:szCs w:val="16"/>
      </w:rPr>
    </w:pPr>
    <w:r>
      <w:rPr>
        <w:rFonts w:ascii="Raleway Medium" w:eastAsia="Raleway Medium" w:hAnsi="Raleway Medium" w:cs="Raleway Medium"/>
        <w:color w:val="003889"/>
        <w:sz w:val="16"/>
        <w:szCs w:val="16"/>
      </w:rPr>
      <w:fldChar w:fldCharType="begin"/>
    </w:r>
    <w:r>
      <w:rPr>
        <w:rFonts w:ascii="Raleway Medium" w:eastAsia="Raleway Medium" w:hAnsi="Raleway Medium" w:cs="Raleway Medium"/>
        <w:color w:val="003889"/>
        <w:sz w:val="16"/>
        <w:szCs w:val="16"/>
      </w:rPr>
      <w:instrText>PAGE</w:instrText>
    </w:r>
    <w:r>
      <w:rPr>
        <w:rFonts w:ascii="Raleway Medium" w:eastAsia="Raleway Medium" w:hAnsi="Raleway Medium" w:cs="Raleway Medium"/>
        <w:color w:val="003889"/>
        <w:sz w:val="16"/>
        <w:szCs w:val="16"/>
      </w:rPr>
      <w:fldChar w:fldCharType="separate"/>
    </w:r>
    <w:r w:rsidR="0060220F">
      <w:rPr>
        <w:rFonts w:ascii="Raleway Medium" w:eastAsia="Raleway Medium" w:hAnsi="Raleway Medium" w:cs="Raleway Medium"/>
        <w:noProof/>
        <w:color w:val="003889"/>
        <w:sz w:val="16"/>
        <w:szCs w:val="16"/>
      </w:rPr>
      <w:t>2</w:t>
    </w:r>
    <w:r>
      <w:rPr>
        <w:rFonts w:ascii="Raleway Medium" w:eastAsia="Raleway Medium" w:hAnsi="Raleway Medium" w:cs="Raleway Medium"/>
        <w:color w:val="003889"/>
        <w:sz w:val="16"/>
        <w:szCs w:val="16"/>
      </w:rPr>
      <w:fldChar w:fldCharType="end"/>
    </w:r>
  </w:p>
  <w:p w14:paraId="40B52CB6" w14:textId="77777777" w:rsidR="00046B43" w:rsidRDefault="00533817">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55168" behindDoc="0" locked="0" layoutInCell="1" hidden="0" allowOverlap="1" wp14:anchorId="0D050B9E" wp14:editId="159B6246">
          <wp:simplePos x="0" y="0"/>
          <wp:positionH relativeFrom="column">
            <wp:posOffset>6038950</wp:posOffset>
          </wp:positionH>
          <wp:positionV relativeFrom="paragraph">
            <wp:posOffset>-105409</wp:posOffset>
          </wp:positionV>
          <wp:extent cx="279400" cy="114300"/>
          <wp:effectExtent l="0" t="0" r="0" b="0"/>
          <wp:wrapSquare wrapText="bothSides" distT="0" distB="0" distL="114300" distR="11430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4204" b="4200"/>
                  <a:stretch>
                    <a:fillRect/>
                  </a:stretch>
                </pic:blipFill>
                <pic:spPr>
                  <a:xfrm>
                    <a:off x="0" y="0"/>
                    <a:ext cx="279400" cy="114300"/>
                  </a:xfrm>
                  <a:prstGeom prst="rect">
                    <a:avLst/>
                  </a:prstGeom>
                  <a:ln/>
                </pic:spPr>
              </pic:pic>
            </a:graphicData>
          </a:graphic>
        </wp:anchor>
      </w:drawing>
    </w:r>
  </w:p>
  <w:p w14:paraId="01811691" w14:textId="77777777" w:rsidR="00046B43" w:rsidRDefault="00046B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EE70" w14:textId="77777777" w:rsidR="00046B43" w:rsidRDefault="00533817">
    <w:pPr>
      <w:pBdr>
        <w:top w:val="nil"/>
        <w:left w:val="nil"/>
        <w:bottom w:val="nil"/>
        <w:right w:val="nil"/>
        <w:between w:val="nil"/>
      </w:pBdr>
      <w:tabs>
        <w:tab w:val="center" w:pos="4680"/>
        <w:tab w:val="right" w:pos="9360"/>
        <w:tab w:val="right" w:pos="2819"/>
      </w:tabs>
      <w:rPr>
        <w:color w:val="000000"/>
      </w:rPr>
    </w:pPr>
    <w:r>
      <w:rPr>
        <w:noProof/>
      </w:rPr>
      <mc:AlternateContent>
        <mc:Choice Requires="wpg">
          <w:drawing>
            <wp:anchor distT="0" distB="0" distL="0" distR="0" simplePos="0" relativeHeight="251656192" behindDoc="1" locked="0" layoutInCell="1" hidden="0" allowOverlap="1" wp14:anchorId="37DD6A10" wp14:editId="443AC852">
              <wp:simplePos x="0" y="0"/>
              <wp:positionH relativeFrom="column">
                <wp:posOffset>-901699</wp:posOffset>
              </wp:positionH>
              <wp:positionV relativeFrom="paragraph">
                <wp:posOffset>-279399</wp:posOffset>
              </wp:positionV>
              <wp:extent cx="7767955" cy="499745"/>
              <wp:effectExtent l="0" t="0" r="0" b="0"/>
              <wp:wrapNone/>
              <wp:docPr id="40" name="Rectangle 40"/>
              <wp:cNvGraphicFramePr/>
              <a:graphic xmlns:a="http://schemas.openxmlformats.org/drawingml/2006/main">
                <a:graphicData uri="http://schemas.microsoft.com/office/word/2010/wordprocessingShape">
                  <wps:wsp>
                    <wps:cNvSpPr/>
                    <wps:spPr>
                      <a:xfrm>
                        <a:off x="1466785" y="3534890"/>
                        <a:ext cx="7758430" cy="490220"/>
                      </a:xfrm>
                      <a:prstGeom prst="rect">
                        <a:avLst/>
                      </a:prstGeom>
                      <a:noFill/>
                      <a:ln>
                        <a:noFill/>
                      </a:ln>
                    </wps:spPr>
                    <wps:txbx>
                      <w:txbxContent>
                        <w:p w14:paraId="61538A84" w14:textId="77777777" w:rsidR="00046B43" w:rsidRDefault="00533817">
                          <w:pPr>
                            <w:spacing w:after="60"/>
                            <w:jc w:val="center"/>
                            <w:textDirection w:val="btLr"/>
                          </w:pPr>
                          <w:r>
                            <w:rPr>
                              <w:b/>
                              <w:color w:val="003889"/>
                              <w:sz w:val="17"/>
                            </w:rPr>
                            <w:t>The Health Services Cost Review Commission is an independent agency of the State of Maryland</w:t>
                          </w:r>
                        </w:p>
                        <w:p w14:paraId="5CF5C7E8" w14:textId="77777777" w:rsidR="00046B43" w:rsidRDefault="00533817">
                          <w:pPr>
                            <w:jc w:val="center"/>
                            <w:textDirection w:val="btLr"/>
                          </w:pPr>
                          <w:r>
                            <w:rPr>
                              <w:b/>
                              <w:color w:val="003889"/>
                              <w:sz w:val="17"/>
                            </w:rPr>
                            <w:t>P:</w:t>
                          </w:r>
                          <w:r>
                            <w:rPr>
                              <w:color w:val="003889"/>
                              <w:sz w:val="17"/>
                            </w:rPr>
                            <w:t xml:space="preserve"> 410.764.2605    </w:t>
                          </w:r>
                          <w:r>
                            <w:rPr>
                              <w:b/>
                              <w:color w:val="003889"/>
                              <w:sz w:val="17"/>
                            </w:rPr>
                            <w:t>F:</w:t>
                          </w:r>
                          <w:r>
                            <w:rPr>
                              <w:color w:val="003889"/>
                              <w:sz w:val="17"/>
                            </w:rPr>
                            <w:t xml:space="preserve"> 410.358.6217          4160 Patterson Avenue  |  Baltimore, MD 21215          hscrc.maryland.gov</w:t>
                          </w:r>
                        </w:p>
                        <w:p w14:paraId="5C02FF4C" w14:textId="77777777" w:rsidR="00046B43" w:rsidRDefault="00046B43">
                          <w:pPr>
                            <w:textDirection w:val="btLr"/>
                          </w:pPr>
                        </w:p>
                      </w:txbxContent>
                    </wps:txbx>
                    <wps:bodyPr spcFirstLastPara="1" wrap="square" lIns="1097275" tIns="91425" rIns="109727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-901699</wp:posOffset>
              </wp:positionH>
              <wp:positionV relativeFrom="paragraph">
                <wp:posOffset>-279399</wp:posOffset>
              </wp:positionV>
              <wp:extent cx="7767955" cy="499745"/>
              <wp:effectExtent b="0" l="0" r="0" t="0"/>
              <wp:wrapNone/>
              <wp:docPr id="40"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767955" cy="499745"/>
                      </a:xfrm>
                      <a:prstGeom prst="rect"/>
                      <a:ln/>
                    </pic:spPr>
                  </pic:pic>
                </a:graphicData>
              </a:graphic>
            </wp:anchor>
          </w:drawing>
        </mc:Fallback>
      </mc:AlternateContent>
    </w:r>
    <w:r>
      <w:rPr>
        <w:noProof/>
      </w:rPr>
      <w:drawing>
        <wp:anchor distT="0" distB="0" distL="114300" distR="114300" simplePos="0" relativeHeight="251657216" behindDoc="0" locked="0" layoutInCell="1" hidden="0" allowOverlap="1" wp14:anchorId="1E23C9D5" wp14:editId="5E02B443">
          <wp:simplePos x="0" y="0"/>
          <wp:positionH relativeFrom="column">
            <wp:posOffset>1936361</wp:posOffset>
          </wp:positionH>
          <wp:positionV relativeFrom="paragraph">
            <wp:posOffset>-15874</wp:posOffset>
          </wp:positionV>
          <wp:extent cx="279400" cy="114300"/>
          <wp:effectExtent l="0" t="0" r="0" b="0"/>
          <wp:wrapSquare wrapText="bothSides" distT="0" distB="0" distL="114300" distR="1143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4204" b="4200"/>
                  <a:stretch>
                    <a:fillRect/>
                  </a:stretch>
                </pic:blipFill>
                <pic:spPr>
                  <a:xfrm>
                    <a:off x="0" y="0"/>
                    <a:ext cx="279400" cy="11430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28CA5DE9" wp14:editId="768178E0">
          <wp:simplePos x="0" y="0"/>
          <wp:positionH relativeFrom="column">
            <wp:posOffset>4516755</wp:posOffset>
          </wp:positionH>
          <wp:positionV relativeFrom="paragraph">
            <wp:posOffset>-15239</wp:posOffset>
          </wp:positionV>
          <wp:extent cx="279400" cy="114300"/>
          <wp:effectExtent l="0" t="0" r="0" b="0"/>
          <wp:wrapSquare wrapText="bothSides" distT="0" distB="0" distL="114300" distR="11430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4204" b="4200"/>
                  <a:stretch>
                    <a:fillRect/>
                  </a:stretch>
                </pic:blipFill>
                <pic:spPr>
                  <a:xfrm>
                    <a:off x="0" y="0"/>
                    <a:ext cx="279400" cy="114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37A7" w14:textId="77777777" w:rsidR="00780AB8" w:rsidRDefault="00780AB8">
      <w:r>
        <w:separator/>
      </w:r>
    </w:p>
  </w:footnote>
  <w:footnote w:type="continuationSeparator" w:id="0">
    <w:p w14:paraId="2BB2880A" w14:textId="77777777" w:rsidR="00780AB8" w:rsidRDefault="00780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11C13" w14:textId="77777777" w:rsidR="00046B43" w:rsidRDefault="00780AB8">
    <w:pPr>
      <w:pBdr>
        <w:top w:val="nil"/>
        <w:left w:val="nil"/>
        <w:bottom w:val="nil"/>
        <w:right w:val="nil"/>
        <w:between w:val="nil"/>
      </w:pBdr>
      <w:tabs>
        <w:tab w:val="center" w:pos="4680"/>
        <w:tab w:val="right" w:pos="9360"/>
      </w:tabs>
      <w:rPr>
        <w:color w:val="000000"/>
      </w:rPr>
    </w:pPr>
    <w:r>
      <w:rPr>
        <w:color w:val="000000"/>
      </w:rPr>
      <w:pict w14:anchorId="65AC7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95pt;height:792.95pt;z-index:-25165516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C974" w14:textId="77777777" w:rsidR="00046B43" w:rsidRDefault="00780AB8">
    <w:pPr>
      <w:pBdr>
        <w:top w:val="nil"/>
        <w:left w:val="nil"/>
        <w:bottom w:val="nil"/>
        <w:right w:val="nil"/>
        <w:between w:val="nil"/>
      </w:pBdr>
      <w:tabs>
        <w:tab w:val="center" w:pos="4680"/>
        <w:tab w:val="right" w:pos="9360"/>
      </w:tabs>
      <w:ind w:hanging="720"/>
      <w:rPr>
        <w:color w:val="000000"/>
      </w:rPr>
    </w:pPr>
    <w:r>
      <w:rPr>
        <w:color w:val="000000"/>
      </w:rPr>
      <w:pict w14:anchorId="249F4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612.95pt;height:792.95pt;z-index:-251657216;mso-position-horizontal:center;mso-position-horizontal-relative:margin;mso-position-vertical:center;mso-position-vertical-relative:margin">
          <v:imagedata r:id="rId1" o:title="image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4991C" w14:textId="77777777" w:rsidR="00046B43" w:rsidRDefault="00780AB8">
    <w:pPr>
      <w:pBdr>
        <w:top w:val="nil"/>
        <w:left w:val="nil"/>
        <w:bottom w:val="nil"/>
        <w:right w:val="nil"/>
        <w:between w:val="nil"/>
      </w:pBdr>
      <w:tabs>
        <w:tab w:val="center" w:pos="4680"/>
        <w:tab w:val="right" w:pos="9360"/>
        <w:tab w:val="left" w:pos="8115"/>
      </w:tabs>
      <w:ind w:hanging="720"/>
      <w:rPr>
        <w:color w:val="000000"/>
      </w:rPr>
    </w:pPr>
    <w:bookmarkStart w:id="0" w:name="_heading=h.gjdgxs" w:colFirst="0" w:colLast="0"/>
    <w:bookmarkEnd w:id="0"/>
    <w:r>
      <w:rPr>
        <w:color w:val="000000"/>
      </w:rPr>
      <w:pict w14:anchorId="0515E1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612.95pt;height:792.95pt;z-index:-251656192;mso-position-horizontal:center;mso-position-horizontal-relative:margin;mso-position-vertical:center;mso-position-vertical-relative:margin">
          <v:imagedata r:id="rId1" o:title="image3"/>
          <w10:wrap anchorx="margin" anchory="margin"/>
        </v:shape>
      </w:pict>
    </w:r>
    <w:r w:rsidR="00533817">
      <w:rPr>
        <w:noProof/>
        <w:color w:val="000000"/>
      </w:rPr>
      <w:drawing>
        <wp:inline distT="0" distB="0" distL="0" distR="0" wp14:anchorId="33887040" wp14:editId="14472177">
          <wp:extent cx="2425700" cy="533400"/>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425700" cy="533400"/>
                  </a:xfrm>
                  <a:prstGeom prst="rect">
                    <a:avLst/>
                  </a:prstGeom>
                  <a:ln/>
                </pic:spPr>
              </pic:pic>
            </a:graphicData>
          </a:graphic>
        </wp:inline>
      </w:drawing>
    </w:r>
    <w:r w:rsidR="00533817">
      <w:rPr>
        <w:color w:val="000000"/>
      </w:rPr>
      <w:tab/>
    </w:r>
    <w:r w:rsidR="00533817">
      <w:rPr>
        <w:noProof/>
      </w:rPr>
      <mc:AlternateContent>
        <mc:Choice Requires="wpg">
          <w:drawing>
            <wp:anchor distT="0" distB="0" distL="114300" distR="114300" simplePos="0" relativeHeight="251654144" behindDoc="0" locked="0" layoutInCell="1" hidden="0" allowOverlap="1" wp14:anchorId="07DBA062" wp14:editId="0FA49464">
              <wp:simplePos x="0" y="0"/>
              <wp:positionH relativeFrom="column">
                <wp:posOffset>4673600</wp:posOffset>
              </wp:positionH>
              <wp:positionV relativeFrom="paragraph">
                <wp:posOffset>965200</wp:posOffset>
              </wp:positionV>
              <wp:extent cx="1876425" cy="7127875"/>
              <wp:effectExtent l="0" t="0" r="0" b="0"/>
              <wp:wrapSquare wrapText="bothSides" distT="0" distB="0" distL="114300" distR="114300"/>
              <wp:docPr id="39" name="Rectangle 39"/>
              <wp:cNvGraphicFramePr/>
              <a:graphic xmlns:a="http://schemas.openxmlformats.org/drawingml/2006/main">
                <a:graphicData uri="http://schemas.microsoft.com/office/word/2010/wordprocessingShape">
                  <wps:wsp>
                    <wps:cNvSpPr/>
                    <wps:spPr>
                      <a:xfrm>
                        <a:off x="4412550" y="220825"/>
                        <a:ext cx="1866900" cy="7118350"/>
                      </a:xfrm>
                      <a:prstGeom prst="rect">
                        <a:avLst/>
                      </a:prstGeom>
                      <a:noFill/>
                      <a:ln>
                        <a:noFill/>
                      </a:ln>
                    </wps:spPr>
                    <wps:txbx>
                      <w:txbxContent>
                        <w:p w14:paraId="60072348" w14:textId="77777777" w:rsidR="00046B43" w:rsidRDefault="00533817">
                          <w:pPr>
                            <w:textDirection w:val="btLr"/>
                          </w:pPr>
                          <w:r>
                            <w:rPr>
                              <w:b/>
                              <w:color w:val="003889"/>
                              <w:sz w:val="14"/>
                            </w:rPr>
                            <w:t>Adam Kane, Esq</w:t>
                          </w:r>
                        </w:p>
                        <w:p w14:paraId="0CE16F61" w14:textId="77777777" w:rsidR="00046B43" w:rsidRDefault="00533817">
                          <w:pPr>
                            <w:textDirection w:val="btLr"/>
                          </w:pPr>
                          <w:r>
                            <w:rPr>
                              <w:color w:val="003889"/>
                              <w:sz w:val="14"/>
                            </w:rPr>
                            <w:t>Chairman</w:t>
                          </w:r>
                        </w:p>
                        <w:p w14:paraId="3F7A9722" w14:textId="77777777" w:rsidR="00046B43" w:rsidRDefault="00046B43">
                          <w:pPr>
                            <w:textDirection w:val="btLr"/>
                          </w:pPr>
                        </w:p>
                        <w:p w14:paraId="5D04C459" w14:textId="77777777" w:rsidR="00046B43" w:rsidRDefault="00533817">
                          <w:pPr>
                            <w:textDirection w:val="btLr"/>
                          </w:pPr>
                          <w:r>
                            <w:rPr>
                              <w:b/>
                              <w:color w:val="003889"/>
                              <w:sz w:val="14"/>
                            </w:rPr>
                            <w:t>Joseph Antos, PhD</w:t>
                          </w:r>
                        </w:p>
                        <w:p w14:paraId="1AED71BC" w14:textId="77777777" w:rsidR="00046B43" w:rsidRDefault="00533817">
                          <w:pPr>
                            <w:textDirection w:val="btLr"/>
                          </w:pPr>
                          <w:r>
                            <w:rPr>
                              <w:color w:val="003889"/>
                              <w:sz w:val="14"/>
                            </w:rPr>
                            <w:t>Vice-Chairman</w:t>
                          </w:r>
                        </w:p>
                        <w:p w14:paraId="22310640" w14:textId="77777777" w:rsidR="00046B43" w:rsidRDefault="00046B43">
                          <w:pPr>
                            <w:textDirection w:val="btLr"/>
                          </w:pPr>
                        </w:p>
                        <w:p w14:paraId="4DC98DA1" w14:textId="77777777" w:rsidR="00046B43" w:rsidRDefault="00533817">
                          <w:pPr>
                            <w:textDirection w:val="btLr"/>
                          </w:pPr>
                          <w:r>
                            <w:rPr>
                              <w:b/>
                              <w:color w:val="003889"/>
                              <w:sz w:val="14"/>
                            </w:rPr>
                            <w:t>Victoria W. Bayless</w:t>
                          </w:r>
                        </w:p>
                        <w:p w14:paraId="484B4529" w14:textId="77777777" w:rsidR="00046B43" w:rsidRDefault="00046B43">
                          <w:pPr>
                            <w:textDirection w:val="btLr"/>
                          </w:pPr>
                        </w:p>
                        <w:p w14:paraId="0AA91069" w14:textId="77777777" w:rsidR="00046B43" w:rsidRDefault="00533817">
                          <w:pPr>
                            <w:textDirection w:val="btLr"/>
                          </w:pPr>
                          <w:r>
                            <w:rPr>
                              <w:b/>
                              <w:color w:val="003889"/>
                              <w:sz w:val="14"/>
                            </w:rPr>
                            <w:t>Stacia Cohen, RN, MBA</w:t>
                          </w:r>
                        </w:p>
                        <w:p w14:paraId="12E74FCF" w14:textId="77777777" w:rsidR="00046B43" w:rsidRDefault="00046B43">
                          <w:pPr>
                            <w:textDirection w:val="btLr"/>
                          </w:pPr>
                        </w:p>
                        <w:p w14:paraId="4EED6C80" w14:textId="77777777" w:rsidR="00046B43" w:rsidRDefault="00533817">
                          <w:pPr>
                            <w:textDirection w:val="btLr"/>
                          </w:pPr>
                          <w:r>
                            <w:rPr>
                              <w:b/>
                              <w:color w:val="003889"/>
                              <w:sz w:val="14"/>
                            </w:rPr>
                            <w:t>James N. Elliott, MD</w:t>
                          </w:r>
                        </w:p>
                        <w:p w14:paraId="05683C1A" w14:textId="77777777" w:rsidR="00046B43" w:rsidRDefault="00046B43">
                          <w:pPr>
                            <w:textDirection w:val="btLr"/>
                          </w:pPr>
                        </w:p>
                        <w:p w14:paraId="0AD65D82" w14:textId="77777777" w:rsidR="00046B43" w:rsidRDefault="00533817">
                          <w:pPr>
                            <w:textDirection w:val="btLr"/>
                          </w:pPr>
                          <w:r>
                            <w:rPr>
                              <w:b/>
                              <w:color w:val="003889"/>
                              <w:sz w:val="14"/>
                            </w:rPr>
                            <w:t>Maulik Joshi, DrPH</w:t>
                          </w:r>
                        </w:p>
                        <w:p w14:paraId="5CCDF035" w14:textId="77777777" w:rsidR="00046B43" w:rsidRDefault="00046B43">
                          <w:pPr>
                            <w:textDirection w:val="btLr"/>
                          </w:pPr>
                        </w:p>
                        <w:p w14:paraId="638512FE" w14:textId="77777777" w:rsidR="00046B43" w:rsidRDefault="00533817">
                          <w:pPr>
                            <w:textDirection w:val="btLr"/>
                          </w:pPr>
                          <w:r>
                            <w:rPr>
                              <w:b/>
                              <w:color w:val="003889"/>
                              <w:sz w:val="14"/>
                            </w:rPr>
                            <w:t>Sam Malhotra</w:t>
                          </w:r>
                        </w:p>
                        <w:p w14:paraId="03369024" w14:textId="77777777" w:rsidR="00046B43" w:rsidRDefault="00046B43">
                          <w:pPr>
                            <w:textDirection w:val="btLr"/>
                          </w:pPr>
                        </w:p>
                        <w:p w14:paraId="5F445DD6" w14:textId="77777777" w:rsidR="00046B43" w:rsidRDefault="00046B43">
                          <w:pPr>
                            <w:textDirection w:val="btLr"/>
                          </w:pPr>
                        </w:p>
                        <w:p w14:paraId="5CD0D3C1" w14:textId="77777777" w:rsidR="00046B43" w:rsidRDefault="00046B43">
                          <w:pPr>
                            <w:textDirection w:val="btLr"/>
                          </w:pPr>
                        </w:p>
                        <w:p w14:paraId="52586B01" w14:textId="77777777" w:rsidR="00046B43" w:rsidRDefault="00533817">
                          <w:pPr>
                            <w:textDirection w:val="btLr"/>
                          </w:pPr>
                          <w:r>
                            <w:rPr>
                              <w:b/>
                              <w:color w:val="003889"/>
                              <w:sz w:val="14"/>
                            </w:rPr>
                            <w:t>Katie Wunderlich</w:t>
                          </w:r>
                        </w:p>
                        <w:p w14:paraId="250DE1AD" w14:textId="77777777" w:rsidR="00046B43" w:rsidRDefault="00533817">
                          <w:pPr>
                            <w:textDirection w:val="btLr"/>
                          </w:pPr>
                          <w:r>
                            <w:rPr>
                              <w:color w:val="003889"/>
                              <w:sz w:val="14"/>
                            </w:rPr>
                            <w:t>Executive Director</w:t>
                          </w:r>
                        </w:p>
                        <w:p w14:paraId="20977B4C" w14:textId="77777777" w:rsidR="00046B43" w:rsidRDefault="00046B43">
                          <w:pPr>
                            <w:textDirection w:val="btLr"/>
                          </w:pPr>
                        </w:p>
                        <w:p w14:paraId="6E61D717" w14:textId="77777777" w:rsidR="00046B43" w:rsidRDefault="00533817">
                          <w:pPr>
                            <w:textDirection w:val="btLr"/>
                          </w:pPr>
                          <w:r>
                            <w:rPr>
                              <w:b/>
                              <w:color w:val="003889"/>
                              <w:sz w:val="14"/>
                            </w:rPr>
                            <w:t>Allan Pack</w:t>
                          </w:r>
                        </w:p>
                        <w:p w14:paraId="3A858E4F" w14:textId="77777777" w:rsidR="00046B43" w:rsidRDefault="00533817">
                          <w:pPr>
                            <w:textDirection w:val="btLr"/>
                          </w:pPr>
                          <w:r>
                            <w:rPr>
                              <w:color w:val="003889"/>
                              <w:sz w:val="14"/>
                            </w:rPr>
                            <w:t>Director</w:t>
                          </w:r>
                        </w:p>
                        <w:p w14:paraId="30B13767" w14:textId="77777777" w:rsidR="00046B43" w:rsidRDefault="00533817">
                          <w:pPr>
                            <w:textDirection w:val="btLr"/>
                          </w:pPr>
                          <w:r>
                            <w:rPr>
                              <w:color w:val="003889"/>
                              <w:sz w:val="14"/>
                            </w:rPr>
                            <w:t>Population-Based Methodologies</w:t>
                          </w:r>
                        </w:p>
                        <w:p w14:paraId="19A747EE" w14:textId="77777777" w:rsidR="00046B43" w:rsidRDefault="00046B43">
                          <w:pPr>
                            <w:textDirection w:val="btLr"/>
                          </w:pPr>
                        </w:p>
                        <w:p w14:paraId="417F4350" w14:textId="77777777" w:rsidR="00046B43" w:rsidRDefault="00533817">
                          <w:pPr>
                            <w:textDirection w:val="btLr"/>
                          </w:pPr>
                          <w:r>
                            <w:rPr>
                              <w:b/>
                              <w:color w:val="003889"/>
                              <w:sz w:val="14"/>
                            </w:rPr>
                            <w:t>Tequila Terry</w:t>
                          </w:r>
                        </w:p>
                        <w:p w14:paraId="4A462356" w14:textId="77777777" w:rsidR="00046B43" w:rsidRDefault="00533817">
                          <w:pPr>
                            <w:textDirection w:val="btLr"/>
                          </w:pPr>
                          <w:r>
                            <w:rPr>
                              <w:color w:val="003889"/>
                              <w:sz w:val="14"/>
                            </w:rPr>
                            <w:t xml:space="preserve">Director </w:t>
                          </w:r>
                          <w:r>
                            <w:rPr>
                              <w:color w:val="003889"/>
                              <w:sz w:val="14"/>
                            </w:rPr>
                            <w:br/>
                            <w:t>Payment Reform &amp; Stakeholder Alignment</w:t>
                          </w:r>
                        </w:p>
                        <w:p w14:paraId="7FC67AD2" w14:textId="77777777" w:rsidR="00046B43" w:rsidRDefault="00046B43">
                          <w:pPr>
                            <w:textDirection w:val="btLr"/>
                          </w:pPr>
                        </w:p>
                        <w:p w14:paraId="7C62CFA8" w14:textId="77777777" w:rsidR="00046B43" w:rsidRDefault="00533817">
                          <w:pPr>
                            <w:textDirection w:val="btLr"/>
                          </w:pPr>
                          <w:r>
                            <w:rPr>
                              <w:b/>
                              <w:color w:val="003889"/>
                              <w:sz w:val="14"/>
                            </w:rPr>
                            <w:t>Gerard J. Schmith</w:t>
                          </w:r>
                        </w:p>
                        <w:p w14:paraId="75C56C85" w14:textId="77777777" w:rsidR="00046B43" w:rsidRDefault="00533817">
                          <w:pPr>
                            <w:textDirection w:val="btLr"/>
                          </w:pPr>
                          <w:r>
                            <w:rPr>
                              <w:color w:val="003889"/>
                              <w:sz w:val="14"/>
                            </w:rPr>
                            <w:t>Director</w:t>
                          </w:r>
                        </w:p>
                        <w:p w14:paraId="31E11A56" w14:textId="77777777" w:rsidR="00046B43" w:rsidRDefault="00533817">
                          <w:pPr>
                            <w:textDirection w:val="btLr"/>
                          </w:pPr>
                          <w:r>
                            <w:rPr>
                              <w:color w:val="003889"/>
                              <w:sz w:val="14"/>
                            </w:rPr>
                            <w:t>Revenue &amp; Regulation Compliance</w:t>
                          </w:r>
                        </w:p>
                        <w:p w14:paraId="23BC1E00" w14:textId="77777777" w:rsidR="00046B43" w:rsidRDefault="00046B43">
                          <w:pPr>
                            <w:textDirection w:val="btLr"/>
                          </w:pPr>
                        </w:p>
                        <w:p w14:paraId="02D7A7CB" w14:textId="77777777" w:rsidR="00046B43" w:rsidRDefault="00533817">
                          <w:pPr>
                            <w:textDirection w:val="btLr"/>
                          </w:pPr>
                          <w:r>
                            <w:rPr>
                              <w:b/>
                              <w:color w:val="003889"/>
                              <w:sz w:val="14"/>
                            </w:rPr>
                            <w:t>William Henderson</w:t>
                          </w:r>
                        </w:p>
                        <w:p w14:paraId="264CB64B" w14:textId="77777777" w:rsidR="00046B43" w:rsidRDefault="00533817">
                          <w:pPr>
                            <w:textDirection w:val="btLr"/>
                          </w:pPr>
                          <w:r>
                            <w:rPr>
                              <w:color w:val="003889"/>
                              <w:sz w:val="14"/>
                            </w:rPr>
                            <w:t>Director</w:t>
                          </w:r>
                        </w:p>
                        <w:p w14:paraId="67FA20C8" w14:textId="77777777" w:rsidR="00046B43" w:rsidRDefault="00533817">
                          <w:pPr>
                            <w:textDirection w:val="btLr"/>
                          </w:pPr>
                          <w:r>
                            <w:rPr>
                              <w:color w:val="003889"/>
                              <w:sz w:val="14"/>
                            </w:rPr>
                            <w:t>Medical Economics &amp; Data Analytics</w:t>
                          </w:r>
                        </w:p>
                        <w:p w14:paraId="01C878B8" w14:textId="77777777" w:rsidR="00046B43" w:rsidRDefault="00046B43">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4673600</wp:posOffset>
              </wp:positionH>
              <wp:positionV relativeFrom="paragraph">
                <wp:posOffset>965200</wp:posOffset>
              </wp:positionV>
              <wp:extent cx="1876425" cy="7127875"/>
              <wp:effectExtent b="0" l="0" r="0" t="0"/>
              <wp:wrapSquare wrapText="bothSides" distB="0" distT="0" distL="114300" distR="114300"/>
              <wp:docPr id="39"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1876425" cy="7127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0024B"/>
    <w:multiLevelType w:val="multilevel"/>
    <w:tmpl w:val="2B363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AD3440F"/>
    <w:multiLevelType w:val="multilevel"/>
    <w:tmpl w:val="75FA8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43"/>
    <w:rsid w:val="00046B43"/>
    <w:rsid w:val="00533817"/>
    <w:rsid w:val="0060220F"/>
    <w:rsid w:val="00780AB8"/>
    <w:rsid w:val="0087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BFF1A"/>
  <w15:docId w15:val="{7E8E33FB-4123-4253-A432-0B1093AF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noProof/>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style>
  <w:style w:type="paragraph" w:styleId="BalloonText">
    <w:name w:val="Balloon Text"/>
    <w:basedOn w:val="Normal"/>
    <w:link w:val="BalloonTextChar"/>
    <w:uiPriority w:val="99"/>
    <w:semiHidden/>
    <w:unhideWhenUsed/>
    <w:rsid w:val="0051663C"/>
    <w:rPr>
      <w:rFonts w:ascii="Times New Roman" w:hAnsi="Times New Roman" w:cs="Times New Roman"/>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scrc.maryland.gov/Pages/hsp_info1.aspx" TargetMode="External"/><Relationship Id="rId13" Type="http://schemas.openxmlformats.org/officeDocument/2006/relationships/hyperlink" Target="mailto:oscar.ibarra@maryland.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laudine.williams@maryland.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ch.goldberg@maryland.gov"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geoff.dougherty@maryland.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ps@thestpaulgroup.com"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u5TdmD/mb+VH69Ciq5FIvK/y8g==">AMUW2mUm5YlM1HjYbSII9xf1WXr3uyCxPzQYJ1LWav5y5+VsbM0W1NXglwuUxmh2gXtXR75mlFzadrC55HDTA0KLLUzqZ0tJaqVsAHVhtAlmmT9j8vuw4028J0CIkD1EWZADQwa86g7r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833D9934-A284-417E-A869-6F03889E869A}"/>
</file>

<file path=customXml/itemProps3.xml><?xml version="1.0" encoding="utf-8"?>
<ds:datastoreItem xmlns:ds="http://schemas.openxmlformats.org/officeDocument/2006/customXml" ds:itemID="{80D2ED76-93AC-4D6E-817B-211BD9AABB5F}"/>
</file>

<file path=customXml/itemProps4.xml><?xml version="1.0" encoding="utf-8"?>
<ds:datastoreItem xmlns:ds="http://schemas.openxmlformats.org/officeDocument/2006/customXml" ds:itemID="{78929A3F-0627-4E0C-92E7-35D323D03C54}"/>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5229</Characters>
  <Application>Microsoft Office Word</Application>
  <DocSecurity>0</DocSecurity>
  <Lines>43</Lines>
  <Paragraphs>12</Paragraphs>
  <ScaleCrop>false</ScaleCrop>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Lin</dc:creator>
  <cp:lastModifiedBy>Oscar Ibarra</cp:lastModifiedBy>
  <cp:revision>3</cp:revision>
  <dcterms:created xsi:type="dcterms:W3CDTF">2021-10-29T23:02:00Z</dcterms:created>
  <dcterms:modified xsi:type="dcterms:W3CDTF">2021-11-01T14:19:00Z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