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C65" w:rsidRDefault="00010C65">
      <w:bookmarkStart w:id="0" w:name="_GoBack"/>
      <w:bookmarkEnd w:id="0"/>
    </w:p>
    <w:p w:rsidR="00010C65" w:rsidRDefault="00010C65"/>
    <w:p w:rsidR="00010C65" w:rsidRDefault="00010C65"/>
    <w:p w:rsidR="00010C65" w:rsidRDefault="00010C65"/>
    <w:p w:rsidR="00010C65" w:rsidRDefault="00010C65"/>
    <w:p w:rsidR="00010C65" w:rsidRDefault="00010C65"/>
    <w:p w:rsidR="00010C65" w:rsidRDefault="00010C65"/>
    <w:p w:rsidR="00010C65" w:rsidRDefault="00010C65"/>
    <w:p w:rsidR="00010C65" w:rsidRDefault="00010C65"/>
    <w:p w:rsidR="00010C65" w:rsidRDefault="00010C65"/>
    <w:p w:rsidR="00010C65" w:rsidRDefault="00010C65"/>
    <w:p w:rsidR="00010C65" w:rsidRDefault="00010C65"/>
    <w:p w:rsidR="00010C65" w:rsidRDefault="00010C65"/>
    <w:p w:rsidR="00010C65" w:rsidRDefault="00010C65"/>
    <w:p w:rsidR="00010C65" w:rsidRDefault="007E29B2" w:rsidP="00EC71DD">
      <w:pPr>
        <w:pStyle w:val="Subtitle"/>
        <w:jc w:val="center"/>
      </w:pPr>
      <w:r w:rsidRPr="006D4FA3">
        <w:rPr>
          <w:i w:val="0"/>
          <w:sz w:val="48"/>
          <w:szCs w:val="48"/>
        </w:rPr>
        <w:t xml:space="preserve">Consumer </w:t>
      </w:r>
      <w:r>
        <w:rPr>
          <w:i w:val="0"/>
          <w:sz w:val="48"/>
          <w:szCs w:val="48"/>
        </w:rPr>
        <w:t>Preference Driven</w:t>
      </w:r>
      <w:r w:rsidRPr="006D4FA3">
        <w:rPr>
          <w:i w:val="0"/>
          <w:sz w:val="48"/>
          <w:szCs w:val="48"/>
        </w:rPr>
        <w:t xml:space="preserve"> Market Share</w:t>
      </w:r>
      <w:r>
        <w:rPr>
          <w:i w:val="0"/>
          <w:sz w:val="48"/>
          <w:szCs w:val="48"/>
        </w:rPr>
        <w:t xml:space="preserve"> Measurement</w:t>
      </w:r>
    </w:p>
    <w:p w:rsidR="00417C00" w:rsidRPr="006D4FA3" w:rsidRDefault="007E29B2" w:rsidP="00EC71DD">
      <w:pPr>
        <w:pStyle w:val="Title"/>
        <w:jc w:val="center"/>
        <w:rPr>
          <w:i/>
          <w:sz w:val="32"/>
          <w:szCs w:val="32"/>
        </w:rPr>
      </w:pPr>
      <w:r>
        <w:rPr>
          <w:i/>
          <w:sz w:val="32"/>
          <w:szCs w:val="32"/>
        </w:rPr>
        <w:t>"</w:t>
      </w:r>
      <w:r w:rsidR="00010C65" w:rsidRPr="006D4FA3">
        <w:rPr>
          <w:i/>
          <w:sz w:val="32"/>
          <w:szCs w:val="32"/>
        </w:rPr>
        <w:t xml:space="preserve">The Money Follows the </w:t>
      </w:r>
      <w:r w:rsidR="002E6D2B" w:rsidRPr="006D4FA3">
        <w:rPr>
          <w:i/>
          <w:sz w:val="32"/>
          <w:szCs w:val="32"/>
        </w:rPr>
        <w:t>Peopl</w:t>
      </w:r>
      <w:r w:rsidR="002E6D2B">
        <w:rPr>
          <w:i/>
          <w:sz w:val="32"/>
          <w:szCs w:val="32"/>
        </w:rPr>
        <w:t>e</w:t>
      </w:r>
      <w:r>
        <w:rPr>
          <w:i/>
          <w:sz w:val="32"/>
          <w:szCs w:val="32"/>
        </w:rPr>
        <w:t>"</w:t>
      </w:r>
    </w:p>
    <w:p w:rsidR="004B2CCC" w:rsidRDefault="004B2CCC" w:rsidP="00EC71DD">
      <w:pPr>
        <w:jc w:val="center"/>
      </w:pPr>
    </w:p>
    <w:p w:rsidR="00EC71DD" w:rsidRDefault="00EC71DD" w:rsidP="00EC71DD">
      <w:pPr>
        <w:jc w:val="center"/>
      </w:pPr>
    </w:p>
    <w:p w:rsidR="00EC71DD" w:rsidRDefault="00EC71DD" w:rsidP="00EC71DD">
      <w:pPr>
        <w:jc w:val="center"/>
      </w:pPr>
    </w:p>
    <w:p w:rsidR="00EC71DD" w:rsidRDefault="00EC71DD" w:rsidP="00EC71DD">
      <w:pPr>
        <w:jc w:val="center"/>
      </w:pPr>
    </w:p>
    <w:p w:rsidR="00EC71DD" w:rsidRDefault="00EC71DD" w:rsidP="00EC71DD">
      <w:pPr>
        <w:jc w:val="center"/>
      </w:pPr>
    </w:p>
    <w:p w:rsidR="004B2CCC" w:rsidRDefault="004B2CCC" w:rsidP="00EC71DD">
      <w:pPr>
        <w:jc w:val="center"/>
      </w:pPr>
    </w:p>
    <w:p w:rsidR="001D0C21" w:rsidRDefault="001D0C21" w:rsidP="00EC71DD">
      <w:pPr>
        <w:jc w:val="center"/>
        <w:rPr>
          <w:iCs/>
        </w:rPr>
      </w:pPr>
      <w:r>
        <w:rPr>
          <w:iCs/>
        </w:rPr>
        <w:t>A Combined Response on Measuring Market Share</w:t>
      </w:r>
    </w:p>
    <w:p w:rsidR="00EC71DD" w:rsidRPr="00EC71DD" w:rsidRDefault="001D0C21" w:rsidP="00EC71DD">
      <w:pPr>
        <w:jc w:val="center"/>
        <w:rPr>
          <w:iCs/>
        </w:rPr>
      </w:pPr>
      <w:r>
        <w:rPr>
          <w:iCs/>
        </w:rPr>
        <w:t xml:space="preserve">Kaiser Permanente and </w:t>
      </w:r>
      <w:r w:rsidR="00010C65" w:rsidRPr="00EC71DD">
        <w:rPr>
          <w:iCs/>
        </w:rPr>
        <w:t>Holy Cross Hospital</w:t>
      </w:r>
    </w:p>
    <w:p w:rsidR="004B2CCC" w:rsidRPr="00EC71DD" w:rsidRDefault="00EC71DD" w:rsidP="00EC71DD">
      <w:pPr>
        <w:jc w:val="center"/>
      </w:pPr>
      <w:r w:rsidRPr="00EC71DD">
        <w:rPr>
          <w:iCs/>
        </w:rPr>
        <w:fldChar w:fldCharType="begin"/>
      </w:r>
      <w:r w:rsidRPr="00EC71DD">
        <w:rPr>
          <w:iCs/>
        </w:rPr>
        <w:instrText xml:space="preserve"> DATE \@ "MMMM d, yyyy" </w:instrText>
      </w:r>
      <w:r w:rsidRPr="00EC71DD">
        <w:rPr>
          <w:iCs/>
        </w:rPr>
        <w:fldChar w:fldCharType="separate"/>
      </w:r>
      <w:r w:rsidR="00FD7D48">
        <w:rPr>
          <w:iCs/>
          <w:noProof/>
        </w:rPr>
        <w:t>October 27, 2014</w:t>
      </w:r>
      <w:r w:rsidRPr="00EC71DD">
        <w:rPr>
          <w:iCs/>
        </w:rPr>
        <w:fldChar w:fldCharType="end"/>
      </w:r>
    </w:p>
    <w:p w:rsidR="004B2CCC" w:rsidRDefault="007A3E32" w:rsidP="007A3E32">
      <w:pPr>
        <w:tabs>
          <w:tab w:val="left" w:pos="3438"/>
        </w:tabs>
      </w:pPr>
      <w:r>
        <w:tab/>
      </w:r>
    </w:p>
    <w:p w:rsidR="004B2CCC" w:rsidRDefault="004B2CCC"/>
    <w:p w:rsidR="004B2CCC" w:rsidRDefault="004B2CCC"/>
    <w:p w:rsidR="00134176" w:rsidRDefault="00134176">
      <w:r>
        <w:br w:type="page"/>
      </w:r>
    </w:p>
    <w:p w:rsidR="00134176" w:rsidRDefault="001151B0" w:rsidP="00134176">
      <w:pPr>
        <w:pStyle w:val="Heading2"/>
      </w:pPr>
      <w:r>
        <w:lastRenderedPageBreak/>
        <w:t>Introduction/Summary</w:t>
      </w:r>
    </w:p>
    <w:p w:rsidR="00267918" w:rsidRPr="00267918" w:rsidRDefault="00267918" w:rsidP="001151B0">
      <w:pPr>
        <w:spacing w:line="480" w:lineRule="auto"/>
        <w:rPr>
          <w:sz w:val="18"/>
          <w:szCs w:val="18"/>
        </w:rPr>
      </w:pPr>
    </w:p>
    <w:p w:rsidR="001151B0" w:rsidRDefault="001151B0" w:rsidP="001151B0">
      <w:pPr>
        <w:spacing w:line="480" w:lineRule="auto"/>
      </w:pPr>
      <w:r>
        <w:tab/>
        <w:t xml:space="preserve">This paper is in response to a request from the HSCRC for "white papers" on a variety of topics related to the implementation of the new Maryland All </w:t>
      </w:r>
      <w:r w:rsidR="002E6D2B">
        <w:t xml:space="preserve">Payer </w:t>
      </w:r>
      <w:r>
        <w:t xml:space="preserve">system.  It is focused on developing a resource allocation methodology </w:t>
      </w:r>
      <w:r w:rsidR="005C713B">
        <w:t xml:space="preserve">consistent </w:t>
      </w:r>
      <w:r>
        <w:t>with</w:t>
      </w:r>
      <w:r w:rsidR="005C713B">
        <w:t xml:space="preserve"> </w:t>
      </w:r>
      <w:r>
        <w:t xml:space="preserve">the overall terms of the waiver performance requirements.  </w:t>
      </w:r>
    </w:p>
    <w:p w:rsidR="001151B0" w:rsidRDefault="001151B0" w:rsidP="001151B0">
      <w:pPr>
        <w:spacing w:line="480" w:lineRule="auto"/>
      </w:pPr>
      <w:r>
        <w:tab/>
        <w:t xml:space="preserve">The goal of this proposal is to define a system that guarantees compliance with the waiver performance requirements while simplifying </w:t>
      </w:r>
      <w:r w:rsidR="00ED6764">
        <w:t>regulation</w:t>
      </w:r>
      <w:r>
        <w:t>, providing flexibility and encouraging the innovation we will need to meet the very str</w:t>
      </w:r>
      <w:r w:rsidR="005C713B">
        <w:t>i</w:t>
      </w:r>
      <w:r>
        <w:t>nge</w:t>
      </w:r>
      <w:r w:rsidR="005C713B">
        <w:t>nt</w:t>
      </w:r>
      <w:r>
        <w:t xml:space="preserve"> tests of the new all pay</w:t>
      </w:r>
      <w:r w:rsidR="002E6D2B">
        <w:t>e</w:t>
      </w:r>
      <w:r>
        <w:t>r system.</w:t>
      </w:r>
    </w:p>
    <w:p w:rsidR="001151B0" w:rsidRDefault="001151B0" w:rsidP="001151B0">
      <w:pPr>
        <w:spacing w:line="480" w:lineRule="auto"/>
      </w:pPr>
      <w:r>
        <w:tab/>
        <w:t>The paper is built on the experiences of a large hospital (Holy Cross) and borrows</w:t>
      </w:r>
      <w:r w:rsidR="005C713B">
        <w:t xml:space="preserve"> heavily from the approach that</w:t>
      </w:r>
      <w:r>
        <w:t xml:space="preserve"> is utilized by Kaiser Permanente in allocating resources among their hospitals in their 3.4 million member Northern California Region.  It, therefore, has been "road tested" and found to be highly reliable.</w:t>
      </w:r>
    </w:p>
    <w:p w:rsidR="001151B0" w:rsidRPr="001151B0" w:rsidRDefault="001151B0" w:rsidP="001151B0">
      <w:pPr>
        <w:spacing w:line="480" w:lineRule="auto"/>
      </w:pPr>
      <w:r>
        <w:tab/>
        <w:t>The paper focuses on both the goals and the challenges of waiver implementation and then takes the reader through its approach to managing resource allocation and the speci</w:t>
      </w:r>
      <w:r w:rsidR="00FC4A72">
        <w:t>fic implementation steps</w:t>
      </w:r>
      <w:r>
        <w:t xml:space="preserve"> and data support issues central to converting this approach to day</w:t>
      </w:r>
      <w:r w:rsidR="00A60CF1">
        <w:t>–</w:t>
      </w:r>
      <w:r>
        <w:t>to</w:t>
      </w:r>
      <w:r w:rsidR="00A60CF1">
        <w:t>-</w:t>
      </w:r>
      <w:r>
        <w:t xml:space="preserve"> day action.</w:t>
      </w:r>
    </w:p>
    <w:p w:rsidR="000910B7" w:rsidRDefault="000910B7" w:rsidP="004D187B">
      <w:pPr>
        <w:pStyle w:val="Heading2"/>
      </w:pPr>
      <w:r>
        <w:t>Context</w:t>
      </w:r>
    </w:p>
    <w:p w:rsidR="00735CE6" w:rsidRDefault="009B2C17" w:rsidP="004A7CB7">
      <w:pPr>
        <w:spacing w:line="480" w:lineRule="auto"/>
        <w:ind w:firstLine="720"/>
      </w:pPr>
      <w:r w:rsidRPr="006D4FA3">
        <w:rPr>
          <w:u w:val="single"/>
        </w:rPr>
        <w:t xml:space="preserve">For nearly four decades, Maryland’s unique all payer hospital payment system </w:t>
      </w:r>
      <w:r w:rsidR="00EF48B3" w:rsidRPr="006D4FA3">
        <w:rPr>
          <w:u w:val="single"/>
        </w:rPr>
        <w:t>provided a unique model for</w:t>
      </w:r>
      <w:r w:rsidRPr="006D4FA3">
        <w:rPr>
          <w:u w:val="single"/>
        </w:rPr>
        <w:t xml:space="preserve"> innovative hospital payment</w:t>
      </w:r>
      <w:r w:rsidR="00EF48B3" w:rsidRPr="006D4FA3">
        <w:rPr>
          <w:u w:val="single"/>
        </w:rPr>
        <w:t xml:space="preserve"> methodology</w:t>
      </w:r>
      <w:r>
        <w:t xml:space="preserve">. </w:t>
      </w:r>
      <w:r w:rsidR="002B43F8">
        <w:t xml:space="preserve"> It has produced lower cost</w:t>
      </w:r>
      <w:r w:rsidR="00AE7175">
        <w:t xml:space="preserve"> </w:t>
      </w:r>
      <w:r w:rsidR="00C86AA3">
        <w:t xml:space="preserve">per EIPA </w:t>
      </w:r>
      <w:r w:rsidR="00AE7175">
        <w:t>increases</w:t>
      </w:r>
      <w:r w:rsidR="002B43F8">
        <w:t xml:space="preserve"> and improved access for Marylanders.  </w:t>
      </w:r>
      <w:r>
        <w:lastRenderedPageBreak/>
        <w:t xml:space="preserve">However, the system also lagged in a number of </w:t>
      </w:r>
      <w:r w:rsidR="001D0C21">
        <w:t>utilization measures</w:t>
      </w:r>
      <w:r w:rsidR="00C86AA3">
        <w:t xml:space="preserve"> - making our cost per capita less favorable to national performance</w:t>
      </w:r>
      <w:r w:rsidR="002B43F8">
        <w:t>.</w:t>
      </w:r>
      <w:r w:rsidR="001D0C21">
        <w:t xml:space="preserve"> </w:t>
      </w:r>
      <w:r w:rsidR="004271C7">
        <w:t xml:space="preserve"> </w:t>
      </w:r>
    </w:p>
    <w:p w:rsidR="000D64B6" w:rsidRDefault="004B2CCC" w:rsidP="005B77E5">
      <w:pPr>
        <w:pStyle w:val="Heading2"/>
      </w:pPr>
      <w:r w:rsidRPr="004B2CCC">
        <w:t>Key Provisions</w:t>
      </w:r>
      <w:r w:rsidR="005D311E">
        <w:t xml:space="preserve"> of the New </w:t>
      </w:r>
      <w:r w:rsidR="002B43F8">
        <w:t>All Pay</w:t>
      </w:r>
      <w:r w:rsidR="002E6D2B">
        <w:t>e</w:t>
      </w:r>
      <w:r w:rsidR="002B43F8">
        <w:t xml:space="preserve">r </w:t>
      </w:r>
      <w:r w:rsidR="005D311E">
        <w:t>Demonstration</w:t>
      </w:r>
    </w:p>
    <w:p w:rsidR="005D311E" w:rsidRDefault="005D311E" w:rsidP="00424C98">
      <w:pPr>
        <w:spacing w:line="480" w:lineRule="auto"/>
      </w:pPr>
    </w:p>
    <w:p w:rsidR="000D64B6" w:rsidRDefault="000D64B6" w:rsidP="004A7CB7">
      <w:pPr>
        <w:spacing w:line="480" w:lineRule="auto"/>
        <w:ind w:firstLine="360"/>
      </w:pPr>
      <w:r>
        <w:t>The chief features of the new demonstration model are as follows:</w:t>
      </w:r>
    </w:p>
    <w:p w:rsidR="000D64B6" w:rsidRDefault="00857584" w:rsidP="00424C98">
      <w:pPr>
        <w:pStyle w:val="ListParagraph"/>
        <w:numPr>
          <w:ilvl w:val="0"/>
          <w:numId w:val="18"/>
        </w:numPr>
        <w:spacing w:line="480" w:lineRule="auto"/>
      </w:pPr>
      <w:r w:rsidRPr="00494FCE">
        <w:rPr>
          <w:b/>
          <w:i/>
        </w:rPr>
        <w:t>R</w:t>
      </w:r>
      <w:r w:rsidR="00494FCE">
        <w:rPr>
          <w:b/>
          <w:i/>
        </w:rPr>
        <w:t>evenue Limits</w:t>
      </w:r>
      <w:r>
        <w:rPr>
          <w:b/>
          <w:i/>
        </w:rPr>
        <w:t xml:space="preserve"> </w:t>
      </w:r>
      <w:r w:rsidR="005C713B">
        <w:t xml:space="preserve">- </w:t>
      </w:r>
      <w:r w:rsidR="00E23C99">
        <w:t>T</w:t>
      </w:r>
      <w:r w:rsidR="000D64B6">
        <w:t xml:space="preserve">he model provides an upper limit for </w:t>
      </w:r>
      <w:r w:rsidR="00265BC0">
        <w:t xml:space="preserve">annual </w:t>
      </w:r>
      <w:r w:rsidR="000D64B6">
        <w:t xml:space="preserve">hospital revenue growth for all payers. Hospital regulated inpatient and outpatient revenue </w:t>
      </w:r>
      <w:r w:rsidR="006A2A67">
        <w:t xml:space="preserve">for Maryland residents </w:t>
      </w:r>
      <w:r w:rsidR="000D64B6">
        <w:t xml:space="preserve">is limited to </w:t>
      </w:r>
      <w:r w:rsidR="00265BC0">
        <w:t xml:space="preserve">historical levels incremented by no more than </w:t>
      </w:r>
      <w:r w:rsidR="000D64B6">
        <w:t xml:space="preserve">the long-term </w:t>
      </w:r>
      <w:r w:rsidR="00B114D5">
        <w:t xml:space="preserve">growth </w:t>
      </w:r>
      <w:r w:rsidR="000D64B6">
        <w:t>trend in gross state product. For the first three years of the demonstration model, the per capita growth rate</w:t>
      </w:r>
      <w:r w:rsidR="00D61724">
        <w:t xml:space="preserve"> limit</w:t>
      </w:r>
      <w:r w:rsidR="000D64B6">
        <w:t xml:space="preserve"> is calculated at 3.58 percent annually.</w:t>
      </w:r>
      <w:r w:rsidR="006D49F8">
        <w:t xml:space="preserve"> With expected population growth of 0.7 percent annually, hospital revenue is effectively </w:t>
      </w:r>
      <w:r w:rsidR="00265BC0">
        <w:t>limited to growth of</w:t>
      </w:r>
      <w:r w:rsidR="006D49F8">
        <w:t xml:space="preserve"> 4.28 percent annually under this model.</w:t>
      </w:r>
    </w:p>
    <w:p w:rsidR="0062079A" w:rsidRDefault="00494FCE" w:rsidP="00424C98">
      <w:pPr>
        <w:pStyle w:val="ListParagraph"/>
        <w:numPr>
          <w:ilvl w:val="0"/>
          <w:numId w:val="18"/>
        </w:numPr>
        <w:spacing w:line="480" w:lineRule="auto"/>
      </w:pPr>
      <w:r>
        <w:rPr>
          <w:b/>
          <w:i/>
        </w:rPr>
        <w:t xml:space="preserve">Medicare Savings </w:t>
      </w:r>
      <w:r w:rsidR="00857584">
        <w:t xml:space="preserve">- </w:t>
      </w:r>
      <w:r w:rsidR="006D49F8">
        <w:t xml:space="preserve">The required cumulative </w:t>
      </w:r>
      <w:r w:rsidR="009B2C17">
        <w:t xml:space="preserve">Medicare </w:t>
      </w:r>
      <w:r w:rsidR="006D49F8">
        <w:t>savings under the demonstration model come to $</w:t>
      </w:r>
      <w:r w:rsidR="00B114D5">
        <w:t xml:space="preserve">330 </w:t>
      </w:r>
      <w:r w:rsidR="006D49F8">
        <w:t xml:space="preserve">million. </w:t>
      </w:r>
      <w:r w:rsidR="007D59D4">
        <w:t>The State will reduce its Medicare spending on a per beneficiary basis, matching the national growth rate in the first year of the demonstration model and growing slower than the nation by 0.5 percentage points annually for the remaining years of the demonstration model.</w:t>
      </w:r>
    </w:p>
    <w:p w:rsidR="007D59D4" w:rsidRDefault="00494FCE" w:rsidP="00E23C99">
      <w:pPr>
        <w:pStyle w:val="ListParagraph"/>
        <w:numPr>
          <w:ilvl w:val="0"/>
          <w:numId w:val="18"/>
        </w:numPr>
        <w:spacing w:line="480" w:lineRule="auto"/>
      </w:pPr>
      <w:r w:rsidRPr="00494FCE">
        <w:rPr>
          <w:b/>
          <w:i/>
        </w:rPr>
        <w:t>Readmission Reductions</w:t>
      </w:r>
      <w:r w:rsidR="00857584">
        <w:t xml:space="preserve"> - </w:t>
      </w:r>
      <w:r w:rsidR="006D49F8">
        <w:t xml:space="preserve">The State must reduce its 30-day </w:t>
      </w:r>
      <w:r w:rsidR="00443B70">
        <w:t xml:space="preserve">Medicare </w:t>
      </w:r>
      <w:r w:rsidR="006D49F8">
        <w:t>readmissions rate to the national average by the end of the five-year demonstration model.</w:t>
      </w:r>
    </w:p>
    <w:p w:rsidR="006D49F8" w:rsidRDefault="00494FCE" w:rsidP="00424C98">
      <w:pPr>
        <w:pStyle w:val="ListParagraph"/>
        <w:numPr>
          <w:ilvl w:val="0"/>
          <w:numId w:val="18"/>
        </w:numPr>
        <w:spacing w:line="480" w:lineRule="auto"/>
      </w:pPr>
      <w:r>
        <w:rPr>
          <w:b/>
          <w:i/>
        </w:rPr>
        <w:lastRenderedPageBreak/>
        <w:t>Hospital Acquired Condition Reductions</w:t>
      </w:r>
      <w:r w:rsidR="00857584" w:rsidRPr="00494FCE">
        <w:t xml:space="preserve"> </w:t>
      </w:r>
      <w:r w:rsidR="00857584">
        <w:t xml:space="preserve">- </w:t>
      </w:r>
      <w:r w:rsidR="006D49F8">
        <w:t>The State will reduce potentially preventable complications as measured under the Maryland Hospital Acquired Condition (MHAC) program by 30 percent by the end of the five-year demonstration model.</w:t>
      </w:r>
    </w:p>
    <w:p w:rsidR="004B2CCC" w:rsidRDefault="000D64B6" w:rsidP="00EA32A1">
      <w:pPr>
        <w:pStyle w:val="Heading2"/>
      </w:pPr>
      <w:r>
        <w:t xml:space="preserve">Challenges </w:t>
      </w:r>
      <w:r w:rsidR="00F4265A">
        <w:t>under the All-Payer Demonstration Model</w:t>
      </w:r>
    </w:p>
    <w:p w:rsidR="00EA32A1" w:rsidRDefault="00EA32A1" w:rsidP="00424C98">
      <w:pPr>
        <w:spacing w:line="480" w:lineRule="auto"/>
      </w:pPr>
    </w:p>
    <w:p w:rsidR="008C5D80" w:rsidRDefault="008C5D80" w:rsidP="004A7CB7">
      <w:pPr>
        <w:spacing w:line="480" w:lineRule="auto"/>
        <w:ind w:firstLine="720"/>
      </w:pPr>
      <w:r w:rsidRPr="004B2CCC">
        <w:t xml:space="preserve">The new system sets a </w:t>
      </w:r>
      <w:r w:rsidR="002557FE">
        <w:t xml:space="preserve">ceiling </w:t>
      </w:r>
      <w:r w:rsidRPr="004B2CCC">
        <w:t xml:space="preserve">on growth in spending </w:t>
      </w:r>
      <w:r w:rsidR="002557FE">
        <w:t>for</w:t>
      </w:r>
      <w:r w:rsidRPr="004B2CCC">
        <w:t xml:space="preserve"> </w:t>
      </w:r>
      <w:r w:rsidR="009B2C17">
        <w:t xml:space="preserve">regulated </w:t>
      </w:r>
      <w:r w:rsidRPr="004B2CCC">
        <w:t xml:space="preserve">hospital services that is equivalent to the long term </w:t>
      </w:r>
      <w:r w:rsidR="002557FE">
        <w:t>per capita economic growth of the S</w:t>
      </w:r>
      <w:r w:rsidRPr="004B2CCC">
        <w:t>tate</w:t>
      </w:r>
      <w:r w:rsidR="00857584">
        <w:t>.   Such a re</w:t>
      </w:r>
      <w:r w:rsidR="006A2A67">
        <w:t xml:space="preserve">venue ceiling </w:t>
      </w:r>
      <w:r w:rsidRPr="004B2CCC">
        <w:t xml:space="preserve">target has not been </w:t>
      </w:r>
      <w:r w:rsidR="00D61724">
        <w:t xml:space="preserve">previously </w:t>
      </w:r>
      <w:r w:rsidRPr="004B2CCC">
        <w:t>achieved over any substantial period and is on its face</w:t>
      </w:r>
      <w:r w:rsidR="00857584">
        <w:t xml:space="preserve"> very ag</w:t>
      </w:r>
      <w:r w:rsidRPr="004B2CCC">
        <w:t>gressive</w:t>
      </w:r>
      <w:r w:rsidR="00857584">
        <w:t xml:space="preserve">.  </w:t>
      </w:r>
      <w:r w:rsidR="006A2A67">
        <w:t xml:space="preserve">While Maryland’s gross </w:t>
      </w:r>
      <w:r w:rsidR="00E6053C">
        <w:t xml:space="preserve">per capita </w:t>
      </w:r>
      <w:r w:rsidR="006A2A67">
        <w:t xml:space="preserve">state product grew </w:t>
      </w:r>
      <w:r w:rsidR="009B2C17">
        <w:t xml:space="preserve">at an annual average rate of </w:t>
      </w:r>
      <w:r w:rsidR="006A2A67">
        <w:t>3</w:t>
      </w:r>
      <w:r w:rsidR="004C0108">
        <w:t>.58 percent</w:t>
      </w:r>
      <w:r w:rsidR="006A2A67">
        <w:t xml:space="preserve"> over the ten-year analysis period, hospital gross patient revenue per capita grew at 6.8 percent over the same timeframe.</w:t>
      </w:r>
      <w:r w:rsidR="00A538B9">
        <w:t xml:space="preserve"> </w:t>
      </w:r>
      <w:r w:rsidR="00E6053C">
        <w:t xml:space="preserve">In the US over </w:t>
      </w:r>
      <w:r w:rsidR="00A538B9">
        <w:t xml:space="preserve">the past </w:t>
      </w:r>
      <w:r w:rsidR="00E6053C">
        <w:t>50 years</w:t>
      </w:r>
      <w:r w:rsidR="00A538B9">
        <w:t xml:space="preserve">, </w:t>
      </w:r>
      <w:r w:rsidR="00E6053C">
        <w:t xml:space="preserve">health spending has grown three times as fast as the overall economy.  </w:t>
      </w:r>
      <w:r w:rsidR="006A2A67">
        <w:t xml:space="preserve">While hospital revenue growth has been lower in recent years in response to activities to save the historic all-payer waiver, the long-term trends suggest that substantial changes will have to occur in the industry </w:t>
      </w:r>
      <w:r w:rsidR="00E6053C">
        <w:t xml:space="preserve">and in the overall delivery system </w:t>
      </w:r>
      <w:r w:rsidR="006A2A67">
        <w:t>to maintain financial health while delivering quality care to Maryland residents.</w:t>
      </w:r>
    </w:p>
    <w:p w:rsidR="00F37492" w:rsidRPr="004B2CCC" w:rsidRDefault="00F37492" w:rsidP="00424C98">
      <w:pPr>
        <w:spacing w:line="480" w:lineRule="auto"/>
      </w:pPr>
    </w:p>
    <w:p w:rsidR="008C5D80" w:rsidRPr="004B2CCC" w:rsidRDefault="00FB1C8B" w:rsidP="004A7CB7">
      <w:pPr>
        <w:spacing w:line="480" w:lineRule="auto"/>
        <w:ind w:firstLine="720"/>
      </w:pPr>
      <w:r>
        <w:t>While there are multiple goals to achieve under the hospital demonstration model, limiting spending to the annual revenue growth ceiling is central to the model’s success</w:t>
      </w:r>
      <w:r w:rsidR="001D0C21">
        <w:t xml:space="preserve">, and the utilization </w:t>
      </w:r>
      <w:r w:rsidR="002D41D8">
        <w:t>levels and growth rates</w:t>
      </w:r>
      <w:r w:rsidR="001D0C21">
        <w:t xml:space="preserve"> observed in the past must be addressed if we are to improve patient outcomes, patient experience and </w:t>
      </w:r>
      <w:r w:rsidR="001D0C21">
        <w:lastRenderedPageBreak/>
        <w:t xml:space="preserve">efficiency of care delivery.   </w:t>
      </w:r>
      <w:r>
        <w:t>Goals for readmission reduct</w:t>
      </w:r>
      <w:r w:rsidR="00462B18">
        <w:t>ions and MHACs may be viewed as specific targets in service of this larger goal</w:t>
      </w:r>
      <w:r w:rsidR="00A538B9">
        <w:t>.  T</w:t>
      </w:r>
      <w:r w:rsidR="00462B18">
        <w:t xml:space="preserve">he focus of this paper </w:t>
      </w:r>
      <w:r w:rsidR="005A4F19">
        <w:t xml:space="preserve">is creation of </w:t>
      </w:r>
      <w:r w:rsidR="001D0C21">
        <w:t xml:space="preserve">the methodology </w:t>
      </w:r>
      <w:r w:rsidR="005A4F19">
        <w:t>for</w:t>
      </w:r>
      <w:r w:rsidR="001D0C21">
        <w:t xml:space="preserve"> allowing the resources to follow </w:t>
      </w:r>
      <w:r w:rsidR="005A4F19">
        <w:t xml:space="preserve">patient and population need.  </w:t>
      </w:r>
      <w:r w:rsidR="00D61724">
        <w:t>The approach that this paper advocates</w:t>
      </w:r>
      <w:r w:rsidR="005A4F19">
        <w:t xml:space="preserve"> is to </w:t>
      </w:r>
      <w:r w:rsidR="00F64885">
        <w:t>chang</w:t>
      </w:r>
      <w:r w:rsidR="005A4F19">
        <w:t>e</w:t>
      </w:r>
      <w:r w:rsidR="00F64885">
        <w:t xml:space="preserve"> hospital incentives to align with utilization improvement </w:t>
      </w:r>
      <w:r w:rsidR="005A4F19">
        <w:t>goals</w:t>
      </w:r>
      <w:r w:rsidR="00F64885">
        <w:t xml:space="preserve"> while rewarding appropriate service delivery</w:t>
      </w:r>
      <w:r w:rsidR="00462B18">
        <w:t xml:space="preserve">. </w:t>
      </w:r>
      <w:r w:rsidR="008C5D80" w:rsidRPr="004B2CCC">
        <w:t xml:space="preserve">To manage total hospital service revenue differently and to meet the objective of changing the trajectory of the cost curve for these services to fit within the target, hospitals need to become successful in areas of care management, service delivery and care coordination that have not in the past been their </w:t>
      </w:r>
      <w:r w:rsidR="00F7691B">
        <w:t>primary focus</w:t>
      </w:r>
      <w:r w:rsidR="008C5D80" w:rsidRPr="004B2CCC">
        <w:t xml:space="preserve">. </w:t>
      </w:r>
      <w:r w:rsidR="00F7691B">
        <w:t xml:space="preserve"> Now t</w:t>
      </w:r>
      <w:r w:rsidR="00462B18">
        <w:t xml:space="preserve">he focus must shift from the </w:t>
      </w:r>
      <w:r w:rsidR="00F7691B">
        <w:t xml:space="preserve">incremental </w:t>
      </w:r>
      <w:r w:rsidR="00A60CF1">
        <w:t>service-</w:t>
      </w:r>
      <w:r w:rsidR="00462B18">
        <w:t xml:space="preserve">driven </w:t>
      </w:r>
      <w:r w:rsidR="00B87888">
        <w:t xml:space="preserve">perspective </w:t>
      </w:r>
      <w:r w:rsidR="00462B18">
        <w:t xml:space="preserve">to alternative approaches that </w:t>
      </w:r>
      <w:r w:rsidR="008C5D80" w:rsidRPr="004B2CCC">
        <w:t xml:space="preserve">will likely include spending on interventions that </w:t>
      </w:r>
      <w:r w:rsidR="00B87888">
        <w:t xml:space="preserve">are outside of regulated </w:t>
      </w:r>
      <w:r w:rsidR="00F7691B">
        <w:t>services</w:t>
      </w:r>
      <w:r w:rsidR="00462B18">
        <w:t>.</w:t>
      </w:r>
      <w:r w:rsidR="008C5D80" w:rsidRPr="004B2CCC">
        <w:t xml:space="preserve"> </w:t>
      </w:r>
      <w:r w:rsidR="00462B18">
        <w:t>T</w:t>
      </w:r>
      <w:r w:rsidR="008C5D80" w:rsidRPr="004B2CCC">
        <w:t xml:space="preserve">he key to changing the system is creating and maintaining </w:t>
      </w:r>
      <w:r w:rsidR="008C5D80" w:rsidRPr="002B43F8">
        <w:rPr>
          <w:u w:val="single"/>
        </w:rPr>
        <w:t>incentives</w:t>
      </w:r>
      <w:r w:rsidR="008C5D80" w:rsidRPr="004B2CCC">
        <w:t xml:space="preserve"> for hospital management to coordinate with patients, medical staff and other providers to better manage the patient’s health</w:t>
      </w:r>
      <w:r w:rsidR="00A925DB">
        <w:t>.</w:t>
      </w:r>
      <w:r w:rsidR="00D43E3F">
        <w:t xml:space="preserve"> </w:t>
      </w:r>
    </w:p>
    <w:p w:rsidR="004B2CCC" w:rsidRDefault="00E12D09" w:rsidP="009E6B2C">
      <w:pPr>
        <w:pStyle w:val="Heading2"/>
      </w:pPr>
      <w:r>
        <w:t>An</w:t>
      </w:r>
      <w:r w:rsidR="004B2CCC" w:rsidRPr="004B2CCC">
        <w:t xml:space="preserve"> Approach to Meeting These Challenges</w:t>
      </w:r>
    </w:p>
    <w:p w:rsidR="009E6B2C" w:rsidRDefault="009E6B2C" w:rsidP="00424C98">
      <w:pPr>
        <w:spacing w:line="480" w:lineRule="auto"/>
      </w:pPr>
    </w:p>
    <w:p w:rsidR="004B2CCC" w:rsidRDefault="004B2CCC" w:rsidP="004A7CB7">
      <w:pPr>
        <w:spacing w:line="480" w:lineRule="auto"/>
        <w:ind w:firstLine="360"/>
      </w:pPr>
      <w:r w:rsidRPr="004B2CCC">
        <w:t xml:space="preserve">This paper </w:t>
      </w:r>
      <w:r w:rsidR="008E51CA">
        <w:t>discusses an approach</w:t>
      </w:r>
      <w:r w:rsidRPr="004B2CCC">
        <w:t xml:space="preserve"> to allocate funds to the hospital</w:t>
      </w:r>
      <w:r w:rsidR="007A74BE">
        <w:t>s</w:t>
      </w:r>
      <w:r w:rsidRPr="004B2CCC">
        <w:t xml:space="preserve"> </w:t>
      </w:r>
      <w:r w:rsidR="008E51CA">
        <w:t>under the demonstration model</w:t>
      </w:r>
      <w:r w:rsidRPr="004B2CCC">
        <w:t xml:space="preserve"> and </w:t>
      </w:r>
      <w:r w:rsidR="008E51CA">
        <w:t>methods for distributing</w:t>
      </w:r>
      <w:r w:rsidRPr="004B2CCC">
        <w:t xml:space="preserve"> that amount to individual institutions in a manner that increase</w:t>
      </w:r>
      <w:r w:rsidR="00B87888">
        <w:t xml:space="preserve">s the likelihood of meeting </w:t>
      </w:r>
      <w:r w:rsidR="00DA24E9">
        <w:t>the goals of the demonstration model</w:t>
      </w:r>
      <w:r w:rsidRPr="004B2CCC">
        <w:t xml:space="preserve"> and </w:t>
      </w:r>
      <w:r w:rsidR="00D61724">
        <w:t xml:space="preserve">achieving </w:t>
      </w:r>
      <w:r w:rsidRPr="004B2CCC">
        <w:t>the</w:t>
      </w:r>
      <w:r w:rsidR="00DA24E9">
        <w:t xml:space="preserve"> three part aim of healthcare reform</w:t>
      </w:r>
      <w:r w:rsidRPr="004B2CCC">
        <w:t xml:space="preserve">.  </w:t>
      </w:r>
      <w:r w:rsidR="001C01FB">
        <w:t>Its basic approach is summarized below, followed by two reco</w:t>
      </w:r>
      <w:r w:rsidR="000443A9">
        <w:t>mmendations for implementing it</w:t>
      </w:r>
      <w:r w:rsidR="000443A9" w:rsidRPr="00AB05D7">
        <w:t>.</w:t>
      </w:r>
    </w:p>
    <w:p w:rsidR="008C5D80" w:rsidRDefault="00A538B9" w:rsidP="001C01FB">
      <w:pPr>
        <w:spacing w:line="480" w:lineRule="auto"/>
      </w:pPr>
      <w:r>
        <w:rPr>
          <w:bCs/>
        </w:rPr>
        <w:lastRenderedPageBreak/>
        <w:t>The approach a</w:t>
      </w:r>
      <w:r w:rsidR="00E36872">
        <w:rPr>
          <w:bCs/>
        </w:rPr>
        <w:t>llow</w:t>
      </w:r>
      <w:r w:rsidR="00D61724">
        <w:rPr>
          <w:bCs/>
        </w:rPr>
        <w:t>s</w:t>
      </w:r>
      <w:r w:rsidR="00E36872">
        <w:rPr>
          <w:bCs/>
        </w:rPr>
        <w:t xml:space="preserve"> </w:t>
      </w:r>
      <w:r w:rsidR="0016437B" w:rsidRPr="0016437B">
        <w:rPr>
          <w:bCs/>
        </w:rPr>
        <w:t>system-wide</w:t>
      </w:r>
      <w:r w:rsidR="00E1549B" w:rsidRPr="0016437B">
        <w:rPr>
          <w:bCs/>
        </w:rPr>
        <w:t xml:space="preserve"> </w:t>
      </w:r>
      <w:r w:rsidR="00993A06">
        <w:rPr>
          <w:bCs/>
        </w:rPr>
        <w:t>revenue growth</w:t>
      </w:r>
      <w:r w:rsidR="008C5D80" w:rsidRPr="0016437B">
        <w:rPr>
          <w:bCs/>
        </w:rPr>
        <w:t xml:space="preserve"> </w:t>
      </w:r>
      <w:r w:rsidR="001C01FB">
        <w:rPr>
          <w:bCs/>
        </w:rPr>
        <w:t xml:space="preserve">flow to hospitals to </w:t>
      </w:r>
      <w:r w:rsidR="008C5D80" w:rsidRPr="0016437B">
        <w:t xml:space="preserve">maximize </w:t>
      </w:r>
      <w:r w:rsidR="001C01FB">
        <w:t>their</w:t>
      </w:r>
      <w:r w:rsidR="008C5D80" w:rsidRPr="0016437B">
        <w:t xml:space="preserve"> ability to </w:t>
      </w:r>
      <w:r w:rsidR="00436A0C" w:rsidRPr="0016437B">
        <w:t>prepare for</w:t>
      </w:r>
      <w:r w:rsidR="008C5D80" w:rsidRPr="0016437B">
        <w:t xml:space="preserve"> the challenge of new patient care management </w:t>
      </w:r>
      <w:r>
        <w:t xml:space="preserve">and preserves </w:t>
      </w:r>
      <w:r w:rsidR="008C5D80" w:rsidRPr="0016437B">
        <w:t>a</w:t>
      </w:r>
      <w:r w:rsidR="00436A0C" w:rsidRPr="0016437B">
        <w:t xml:space="preserve"> </w:t>
      </w:r>
      <w:r>
        <w:t xml:space="preserve">state </w:t>
      </w:r>
      <w:r w:rsidR="00436A0C" w:rsidRPr="0016437B">
        <w:t>financial</w:t>
      </w:r>
      <w:r w:rsidR="008C5D80" w:rsidRPr="0016437B">
        <w:t xml:space="preserve"> c</w:t>
      </w:r>
      <w:r w:rsidR="00436A0C" w:rsidRPr="0016437B">
        <w:t>ushion for unanticipated events</w:t>
      </w:r>
      <w:r w:rsidR="0016437B" w:rsidRPr="0016437B">
        <w:t xml:space="preserve"> </w:t>
      </w:r>
      <w:r w:rsidR="0016437B" w:rsidRPr="0016437B">
        <w:rPr>
          <w:bCs/>
        </w:rPr>
        <w:t>funds during the firs</w:t>
      </w:r>
      <w:r w:rsidR="0016437B">
        <w:rPr>
          <w:bCs/>
        </w:rPr>
        <w:t>t three years of implementation</w:t>
      </w:r>
      <w:r w:rsidR="0016437B">
        <w:t>.</w:t>
      </w:r>
      <w:r w:rsidR="0016437B">
        <w:rPr>
          <w:rStyle w:val="FootnoteReference"/>
        </w:rPr>
        <w:footnoteReference w:id="1"/>
      </w:r>
    </w:p>
    <w:p w:rsidR="008C5D80" w:rsidRPr="004B2CCC" w:rsidRDefault="008C5D80" w:rsidP="001C01FB">
      <w:pPr>
        <w:spacing w:line="480" w:lineRule="auto"/>
      </w:pPr>
      <w:r w:rsidRPr="00937C53">
        <w:rPr>
          <w:bCs/>
        </w:rPr>
        <w:t xml:space="preserve">For individual hospital distribution of available funds, </w:t>
      </w:r>
      <w:r w:rsidR="007E29B2">
        <w:rPr>
          <w:bCs/>
        </w:rPr>
        <w:t xml:space="preserve">the "People Share" approach that we propose </w:t>
      </w:r>
      <w:r w:rsidR="00A538B9">
        <w:rPr>
          <w:bCs/>
        </w:rPr>
        <w:t xml:space="preserve"> </w:t>
      </w:r>
      <w:r w:rsidR="00103272">
        <w:rPr>
          <w:bCs/>
        </w:rPr>
        <w:t>allocate</w:t>
      </w:r>
      <w:r w:rsidR="00A538B9">
        <w:rPr>
          <w:bCs/>
        </w:rPr>
        <w:t>s</w:t>
      </w:r>
      <w:r w:rsidR="00103272">
        <w:rPr>
          <w:bCs/>
        </w:rPr>
        <w:t xml:space="preserve"> resources </w:t>
      </w:r>
      <w:r w:rsidR="00223927">
        <w:rPr>
          <w:bCs/>
        </w:rPr>
        <w:t xml:space="preserve">based on expressed Maryland resident care choices </w:t>
      </w:r>
      <w:r w:rsidR="00103272">
        <w:rPr>
          <w:bCs/>
        </w:rPr>
        <w:t xml:space="preserve">so that </w:t>
      </w:r>
      <w:r w:rsidR="002D1C06" w:rsidRPr="00AB05D7">
        <w:rPr>
          <w:bCs/>
          <w:i/>
        </w:rPr>
        <w:t>revenue</w:t>
      </w:r>
      <w:r w:rsidR="00103272" w:rsidRPr="00AB05D7">
        <w:rPr>
          <w:bCs/>
          <w:i/>
        </w:rPr>
        <w:t xml:space="preserve"> follows the patient</w:t>
      </w:r>
      <w:r w:rsidR="00103272">
        <w:rPr>
          <w:bCs/>
        </w:rPr>
        <w:t xml:space="preserve"> </w:t>
      </w:r>
      <w:r w:rsidR="00D43E3F">
        <w:rPr>
          <w:bCs/>
        </w:rPr>
        <w:t xml:space="preserve">and </w:t>
      </w:r>
      <w:r w:rsidR="00A538B9">
        <w:rPr>
          <w:bCs/>
        </w:rPr>
        <w:t xml:space="preserve">rewards </w:t>
      </w:r>
      <w:r w:rsidR="00D43E3F">
        <w:rPr>
          <w:bCs/>
        </w:rPr>
        <w:t xml:space="preserve">favorable patient outcomes </w:t>
      </w:r>
      <w:r w:rsidR="00103272">
        <w:rPr>
          <w:bCs/>
        </w:rPr>
        <w:t xml:space="preserve">rather than </w:t>
      </w:r>
      <w:r w:rsidR="007E29B2">
        <w:rPr>
          <w:bCs/>
        </w:rPr>
        <w:t xml:space="preserve">rewarding </w:t>
      </w:r>
      <w:r w:rsidR="00D43E3F">
        <w:rPr>
          <w:bCs/>
        </w:rPr>
        <w:t xml:space="preserve">the volume of services delivered.  Market </w:t>
      </w:r>
      <w:r w:rsidR="00103272">
        <w:rPr>
          <w:bCs/>
        </w:rPr>
        <w:t>s</w:t>
      </w:r>
      <w:r w:rsidRPr="00937C53">
        <w:rPr>
          <w:bCs/>
        </w:rPr>
        <w:t xml:space="preserve">hare </w:t>
      </w:r>
      <w:r w:rsidR="001C01FB">
        <w:rPr>
          <w:bCs/>
        </w:rPr>
        <w:t>has</w:t>
      </w:r>
      <w:r w:rsidRPr="00937C53">
        <w:rPr>
          <w:bCs/>
        </w:rPr>
        <w:t xml:space="preserve"> </w:t>
      </w:r>
      <w:r w:rsidR="00103272">
        <w:rPr>
          <w:bCs/>
        </w:rPr>
        <w:t>traditionally</w:t>
      </w:r>
      <w:r w:rsidRPr="00937C53">
        <w:rPr>
          <w:bCs/>
        </w:rPr>
        <w:t xml:space="preserve"> </w:t>
      </w:r>
      <w:r w:rsidR="001C01FB">
        <w:rPr>
          <w:bCs/>
        </w:rPr>
        <w:t xml:space="preserve">been </w:t>
      </w:r>
      <w:r w:rsidRPr="00937C53">
        <w:rPr>
          <w:bCs/>
        </w:rPr>
        <w:t>calculated</w:t>
      </w:r>
      <w:r w:rsidR="00D43E3F">
        <w:rPr>
          <w:bCs/>
        </w:rPr>
        <w:t xml:space="preserve"> based on the total quantity of services delivered </w:t>
      </w:r>
      <w:r w:rsidR="001C01FB">
        <w:rPr>
          <w:bCs/>
        </w:rPr>
        <w:t>and therefore utilizing traditional market share alone</w:t>
      </w:r>
      <w:r w:rsidR="00D43E3F">
        <w:rPr>
          <w:bCs/>
        </w:rPr>
        <w:t xml:space="preserve"> will incent delivery of more services</w:t>
      </w:r>
      <w:r w:rsidR="00A538B9">
        <w:rPr>
          <w:bCs/>
        </w:rPr>
        <w:t xml:space="preserve">.  This </w:t>
      </w:r>
      <w:r w:rsidR="00D43E3F">
        <w:rPr>
          <w:bCs/>
        </w:rPr>
        <w:t>has led some to want to oppose the recognition of full market share movement – or to enter a maze of definitions about what growth should be recognized</w:t>
      </w:r>
      <w:r w:rsidR="00103272">
        <w:rPr>
          <w:bCs/>
        </w:rPr>
        <w:t>.</w:t>
      </w:r>
      <w:r w:rsidRPr="00937C53">
        <w:rPr>
          <w:bCs/>
        </w:rPr>
        <w:t xml:space="preserve"> </w:t>
      </w:r>
      <w:r w:rsidR="00D43E3F">
        <w:t xml:space="preserve">The adoption of the </w:t>
      </w:r>
      <w:r w:rsidR="00A60CF1">
        <w:t>P</w:t>
      </w:r>
      <w:r w:rsidR="00D43E3F">
        <w:t>eople</w:t>
      </w:r>
      <w:r w:rsidR="001259E2">
        <w:t xml:space="preserve"> Share</w:t>
      </w:r>
      <w:r w:rsidR="00D43E3F">
        <w:t xml:space="preserve"> </w:t>
      </w:r>
      <w:r w:rsidR="00103272">
        <w:t>approach</w:t>
      </w:r>
      <w:r w:rsidRPr="004B2CCC">
        <w:t xml:space="preserve"> will </w:t>
      </w:r>
      <w:r w:rsidR="00103272">
        <w:t>provide strong i</w:t>
      </w:r>
      <w:r w:rsidRPr="004B2CCC">
        <w:t>ncent</w:t>
      </w:r>
      <w:r w:rsidR="00103272">
        <w:t>ives</w:t>
      </w:r>
      <w:r w:rsidRPr="004B2CCC">
        <w:t xml:space="preserve"> </w:t>
      </w:r>
      <w:r w:rsidR="00103272">
        <w:t xml:space="preserve">for </w:t>
      </w:r>
      <w:r w:rsidRPr="004B2CCC">
        <w:t xml:space="preserve">individual hospitals to achieve </w:t>
      </w:r>
      <w:r w:rsidR="00103272">
        <w:t xml:space="preserve">all aspects of the </w:t>
      </w:r>
      <w:r w:rsidR="000A6AFE">
        <w:t>three part</w:t>
      </w:r>
      <w:r w:rsidR="00103272">
        <w:t xml:space="preserve"> aim of healthcare reform (</w:t>
      </w:r>
      <w:r w:rsidR="00924F0C">
        <w:t xml:space="preserve">Enhance the individual patient experience, produce better population outcomes and do so at </w:t>
      </w:r>
      <w:r w:rsidR="0088298E" w:rsidRPr="004B2CCC">
        <w:t>lower cost</w:t>
      </w:r>
      <w:r w:rsidR="00103272">
        <w:t xml:space="preserve">), </w:t>
      </w:r>
      <w:r w:rsidR="00D43E3F">
        <w:t xml:space="preserve">while </w:t>
      </w:r>
      <w:r w:rsidRPr="004B2CCC">
        <w:t xml:space="preserve">making administration of the system easier and allowing HSCRC staff </w:t>
      </w:r>
      <w:r w:rsidR="00D43E3F">
        <w:t xml:space="preserve">efforts </w:t>
      </w:r>
      <w:r w:rsidRPr="004B2CCC">
        <w:t xml:space="preserve">to </w:t>
      </w:r>
      <w:r w:rsidR="00D43E3F">
        <w:t>be focused</w:t>
      </w:r>
      <w:r w:rsidR="00D43E3F" w:rsidRPr="004B2CCC">
        <w:t xml:space="preserve"> </w:t>
      </w:r>
      <w:r w:rsidRPr="004B2CCC">
        <w:t xml:space="preserve">on </w:t>
      </w:r>
      <w:r w:rsidR="00CF3442">
        <w:t>necessary "</w:t>
      </w:r>
      <w:r w:rsidRPr="004B2CCC">
        <w:t>hospital specific</w:t>
      </w:r>
      <w:r w:rsidR="00CF3442">
        <w:t>"</w:t>
      </w:r>
      <w:r w:rsidRPr="004B2CCC">
        <w:t xml:space="preserve"> adjustments in fewer instances.</w:t>
      </w:r>
    </w:p>
    <w:p w:rsidR="004B2CCC" w:rsidRDefault="002304ED" w:rsidP="00424C98">
      <w:pPr>
        <w:pStyle w:val="Heading5"/>
        <w:spacing w:line="480" w:lineRule="auto"/>
      </w:pPr>
      <w:r>
        <w:lastRenderedPageBreak/>
        <w:t xml:space="preserve">Recommendation 1: </w:t>
      </w:r>
      <w:r w:rsidR="004B2CCC" w:rsidRPr="004B2CCC">
        <w:t xml:space="preserve">Revenue </w:t>
      </w:r>
      <w:r>
        <w:t>Growth</w:t>
      </w:r>
      <w:r w:rsidR="004B2CCC" w:rsidRPr="004B2CCC">
        <w:t xml:space="preserve"> in the First Three Years</w:t>
      </w:r>
    </w:p>
    <w:p w:rsidR="008C5D80" w:rsidRDefault="008C5D80" w:rsidP="004A7CB7">
      <w:pPr>
        <w:spacing w:line="480" w:lineRule="auto"/>
        <w:ind w:firstLine="720"/>
      </w:pPr>
      <w:r w:rsidRPr="004B2CCC">
        <w:t xml:space="preserve">To meet the </w:t>
      </w:r>
      <w:r w:rsidR="00ED035A">
        <w:t>demonstration model</w:t>
      </w:r>
      <w:r w:rsidRPr="004B2CCC">
        <w:t xml:space="preserve"> goals, major change</w:t>
      </w:r>
      <w:r w:rsidR="00ED035A">
        <w:t>s</w:t>
      </w:r>
      <w:r w:rsidRPr="004B2CCC">
        <w:t xml:space="preserve"> will be required in both approach and deployment of resources within a hospital’s operations. Given historical </w:t>
      </w:r>
      <w:r w:rsidR="00DB32CA">
        <w:t>trends noted earlier</w:t>
      </w:r>
      <w:r w:rsidRPr="004B2CCC">
        <w:t xml:space="preserve">, </w:t>
      </w:r>
      <w:r w:rsidR="00ED035A">
        <w:t>simply achieving</w:t>
      </w:r>
      <w:r w:rsidRPr="004B2CCC">
        <w:t xml:space="preserve"> the </w:t>
      </w:r>
      <w:r w:rsidR="00ED035A">
        <w:t>per capita</w:t>
      </w:r>
      <w:r w:rsidRPr="004B2CCC">
        <w:t xml:space="preserve"> target </w:t>
      </w:r>
      <w:r w:rsidR="00ED035A">
        <w:t xml:space="preserve">in the first three years will </w:t>
      </w:r>
      <w:r w:rsidR="00DB32CA">
        <w:t>require substantial changes in the delivery system to achieve the demonstration model goals in a sustainable manner</w:t>
      </w:r>
      <w:r w:rsidR="00ED035A">
        <w:t xml:space="preserve">. Hospital support </w:t>
      </w:r>
      <w:r w:rsidRPr="004B2CCC">
        <w:t xml:space="preserve">for the necessary changes will </w:t>
      </w:r>
      <w:r w:rsidR="00B37723">
        <w:t xml:space="preserve">be </w:t>
      </w:r>
      <w:r w:rsidR="00A538B9">
        <w:t xml:space="preserve">higher </w:t>
      </w:r>
      <w:r w:rsidRPr="004B2CCC">
        <w:t xml:space="preserve">if </w:t>
      </w:r>
      <w:r w:rsidR="00ED035A">
        <w:t>the HSCRC</w:t>
      </w:r>
      <w:r w:rsidRPr="004B2CCC">
        <w:t xml:space="preserve"> follow</w:t>
      </w:r>
      <w:r w:rsidR="00ED035A">
        <w:t xml:space="preserve">s </w:t>
      </w:r>
      <w:r w:rsidR="00A538B9">
        <w:t xml:space="preserve">the </w:t>
      </w:r>
      <w:r w:rsidR="00ED035A">
        <w:t xml:space="preserve">recommendation </w:t>
      </w:r>
      <w:r w:rsidRPr="004B2CCC">
        <w:t>of the “Guiding Principles” adopted by the Advisory Council to the Maryland HSCRC</w:t>
      </w:r>
      <w:r w:rsidR="00B37723">
        <w:t>:</w:t>
      </w:r>
    </w:p>
    <w:p w:rsidR="00B37723" w:rsidRDefault="00B37723" w:rsidP="00B37723">
      <w:pPr>
        <w:ind w:firstLine="720"/>
        <w:rPr>
          <w:rFonts w:asciiTheme="majorHAnsi" w:hAnsiTheme="majorHAnsi"/>
          <w:b/>
          <w:sz w:val="22"/>
          <w:szCs w:val="22"/>
        </w:rPr>
      </w:pPr>
      <w:r>
        <w:rPr>
          <w:rFonts w:asciiTheme="majorHAnsi" w:hAnsiTheme="majorHAnsi"/>
          <w:b/>
          <w:sz w:val="22"/>
          <w:szCs w:val="22"/>
        </w:rPr>
        <w:t xml:space="preserve">Recommendation </w:t>
      </w:r>
      <w:r w:rsidR="00A25E61" w:rsidRPr="00B35DDD">
        <w:rPr>
          <w:rFonts w:asciiTheme="majorHAnsi" w:hAnsiTheme="majorHAnsi"/>
          <w:b/>
          <w:sz w:val="22"/>
          <w:szCs w:val="22"/>
        </w:rPr>
        <w:t xml:space="preserve">2. </w:t>
      </w:r>
    </w:p>
    <w:p w:rsidR="00A25E61" w:rsidRPr="00B35DDD" w:rsidRDefault="00A25E61" w:rsidP="00B37723">
      <w:pPr>
        <w:ind w:firstLine="720"/>
        <w:rPr>
          <w:rFonts w:asciiTheme="majorHAnsi" w:hAnsiTheme="majorHAnsi"/>
          <w:b/>
          <w:sz w:val="22"/>
          <w:szCs w:val="22"/>
        </w:rPr>
      </w:pPr>
      <w:r w:rsidRPr="00B35DDD">
        <w:rPr>
          <w:rFonts w:asciiTheme="majorHAnsi" w:hAnsiTheme="majorHAnsi"/>
          <w:b/>
          <w:sz w:val="22"/>
          <w:szCs w:val="22"/>
        </w:rPr>
        <w:t xml:space="preserve">Meet budget targets while making important investments in </w:t>
      </w:r>
    </w:p>
    <w:p w:rsidR="00A25E61" w:rsidRPr="00B35DDD" w:rsidRDefault="00A25E61" w:rsidP="00A56818">
      <w:pPr>
        <w:ind w:left="720"/>
        <w:rPr>
          <w:rFonts w:asciiTheme="majorHAnsi" w:hAnsiTheme="majorHAnsi"/>
          <w:b/>
          <w:sz w:val="22"/>
          <w:szCs w:val="22"/>
        </w:rPr>
      </w:pPr>
      <w:r w:rsidRPr="00B35DDD">
        <w:rPr>
          <w:rFonts w:asciiTheme="majorHAnsi" w:hAnsiTheme="majorHAnsi"/>
          <w:b/>
          <w:sz w:val="22"/>
          <w:szCs w:val="22"/>
        </w:rPr>
        <w:t>infrastructure and providing flexibility for private sector innovation</w:t>
      </w:r>
    </w:p>
    <w:p w:rsidR="004C5DDF" w:rsidRPr="00B35DDD" w:rsidRDefault="004C5DDF" w:rsidP="00A56818">
      <w:pPr>
        <w:ind w:firstLine="720"/>
        <w:rPr>
          <w:rFonts w:asciiTheme="majorHAnsi" w:hAnsiTheme="majorHAnsi"/>
          <w:b/>
          <w:sz w:val="22"/>
          <w:szCs w:val="22"/>
        </w:rPr>
      </w:pPr>
    </w:p>
    <w:p w:rsidR="0016437B" w:rsidRPr="00B35DDD" w:rsidRDefault="00A25E61" w:rsidP="00A56818">
      <w:pPr>
        <w:pStyle w:val="ListParagraph"/>
        <w:numPr>
          <w:ilvl w:val="1"/>
          <w:numId w:val="3"/>
        </w:numPr>
        <w:rPr>
          <w:rFonts w:asciiTheme="majorHAnsi" w:hAnsiTheme="majorHAnsi"/>
          <w:b/>
          <w:sz w:val="22"/>
          <w:szCs w:val="22"/>
        </w:rPr>
      </w:pPr>
      <w:r w:rsidRPr="00B35DDD">
        <w:rPr>
          <w:rFonts w:asciiTheme="majorHAnsi" w:hAnsiTheme="majorHAnsi"/>
          <w:b/>
          <w:sz w:val="22"/>
          <w:szCs w:val="22"/>
        </w:rPr>
        <w:t>The Advisory Council urges the HSCRC to strike a balance between near-term cost control, which is paramount, and making the required investments in physical and human infrastructure necessary for success. If we do not meet the near-term targets, there will be no long-term program. But if we fail to make the needed infrastructure investments, we will not have the toolkit of reforms necessary to achieve lasting success.</w:t>
      </w:r>
    </w:p>
    <w:p w:rsidR="004C5DDF" w:rsidRPr="00B35DDD" w:rsidRDefault="004C5DDF" w:rsidP="00A56818">
      <w:pPr>
        <w:pStyle w:val="ListParagraph"/>
        <w:ind w:left="1815"/>
        <w:rPr>
          <w:rFonts w:asciiTheme="majorHAnsi" w:hAnsiTheme="majorHAnsi"/>
          <w:b/>
          <w:sz w:val="22"/>
          <w:szCs w:val="22"/>
        </w:rPr>
      </w:pPr>
    </w:p>
    <w:p w:rsidR="0016437B" w:rsidRPr="00B35DDD" w:rsidRDefault="0016437B" w:rsidP="00A56818">
      <w:pPr>
        <w:pStyle w:val="ListParagraph"/>
        <w:numPr>
          <w:ilvl w:val="1"/>
          <w:numId w:val="3"/>
        </w:numPr>
        <w:rPr>
          <w:rFonts w:asciiTheme="majorHAnsi" w:hAnsiTheme="majorHAnsi"/>
          <w:b/>
          <w:sz w:val="22"/>
          <w:szCs w:val="22"/>
        </w:rPr>
      </w:pPr>
      <w:r w:rsidRPr="00B35DDD">
        <w:rPr>
          <w:rFonts w:asciiTheme="majorHAnsi" w:hAnsiTheme="majorHAnsi"/>
          <w:b/>
          <w:sz w:val="22"/>
          <w:szCs w:val="22"/>
        </w:rPr>
        <w:t>Given the challenging targets in this initiative, goals should be set in the aggregate as close to the targets as practicable based on the degree of comfort that individual institutional targets will be met.</w:t>
      </w:r>
    </w:p>
    <w:p w:rsidR="004C5DDF" w:rsidRPr="00B35DDD" w:rsidRDefault="004C5DDF" w:rsidP="00A56818">
      <w:pPr>
        <w:rPr>
          <w:rFonts w:asciiTheme="majorHAnsi" w:hAnsiTheme="majorHAnsi"/>
          <w:b/>
          <w:sz w:val="22"/>
          <w:szCs w:val="22"/>
        </w:rPr>
      </w:pPr>
    </w:p>
    <w:p w:rsidR="004C5DDF" w:rsidRPr="00B35DDD" w:rsidRDefault="0016437B" w:rsidP="00A56818">
      <w:pPr>
        <w:pStyle w:val="ListParagraph"/>
        <w:numPr>
          <w:ilvl w:val="1"/>
          <w:numId w:val="3"/>
        </w:numPr>
        <w:rPr>
          <w:rFonts w:asciiTheme="majorHAnsi" w:hAnsiTheme="majorHAnsi"/>
          <w:b/>
          <w:sz w:val="22"/>
          <w:szCs w:val="22"/>
        </w:rPr>
      </w:pPr>
      <w:r w:rsidRPr="00B35DDD">
        <w:rPr>
          <w:rFonts w:asciiTheme="majorHAnsi" w:hAnsiTheme="majorHAnsi"/>
          <w:b/>
          <w:sz w:val="22"/>
          <w:szCs w:val="22"/>
        </w:rPr>
        <w:t xml:space="preserve">There should be incentives for hospitals to meet and exceed the challenging targets of the new model; hospitals should be able to retain and reinvest a high percentage of their savings. </w:t>
      </w:r>
    </w:p>
    <w:p w:rsidR="004C5DDF" w:rsidRPr="00B35DDD" w:rsidRDefault="004C5DDF" w:rsidP="00A56818">
      <w:pPr>
        <w:pStyle w:val="ListParagraph"/>
        <w:rPr>
          <w:rFonts w:asciiTheme="majorHAnsi" w:hAnsiTheme="majorHAnsi"/>
          <w:b/>
          <w:sz w:val="22"/>
          <w:szCs w:val="22"/>
        </w:rPr>
      </w:pPr>
    </w:p>
    <w:p w:rsidR="00D54C90" w:rsidRPr="00B35DDD" w:rsidRDefault="0016437B" w:rsidP="00A56818">
      <w:pPr>
        <w:pStyle w:val="ListParagraph"/>
        <w:numPr>
          <w:ilvl w:val="1"/>
          <w:numId w:val="3"/>
        </w:numPr>
        <w:rPr>
          <w:rFonts w:asciiTheme="majorHAnsi" w:hAnsiTheme="majorHAnsi"/>
          <w:b/>
          <w:sz w:val="22"/>
          <w:szCs w:val="22"/>
        </w:rPr>
      </w:pPr>
      <w:r w:rsidRPr="00B35DDD">
        <w:rPr>
          <w:rFonts w:asciiTheme="majorHAnsi" w:hAnsiTheme="majorHAnsi"/>
          <w:b/>
          <w:sz w:val="22"/>
          <w:szCs w:val="22"/>
        </w:rPr>
        <w:t xml:space="preserve">A portion of the savings that hospitals achieve could be reinvested into “common good” investments. But given the tightness of the revenue caps under the new model, a new and secure funding source for this type of infrastructure is also essential. </w:t>
      </w:r>
    </w:p>
    <w:p w:rsidR="00D54C90" w:rsidRPr="00B35DDD" w:rsidRDefault="00D54C90" w:rsidP="00A56818">
      <w:pPr>
        <w:pStyle w:val="ListParagraph"/>
        <w:rPr>
          <w:rFonts w:asciiTheme="majorHAnsi" w:hAnsiTheme="majorHAnsi"/>
          <w:b/>
          <w:sz w:val="22"/>
          <w:szCs w:val="22"/>
        </w:rPr>
      </w:pPr>
    </w:p>
    <w:p w:rsidR="0016437B" w:rsidRPr="00B35DDD" w:rsidRDefault="00D54C90" w:rsidP="00A56818">
      <w:pPr>
        <w:ind w:left="720"/>
        <w:rPr>
          <w:rFonts w:asciiTheme="majorHAnsi" w:hAnsiTheme="majorHAnsi"/>
          <w:b/>
          <w:sz w:val="22"/>
          <w:szCs w:val="22"/>
        </w:rPr>
      </w:pPr>
      <w:r w:rsidRPr="00B35DDD">
        <w:rPr>
          <w:rFonts w:asciiTheme="majorHAnsi" w:hAnsiTheme="majorHAnsi"/>
          <w:b/>
          <w:sz w:val="22"/>
          <w:szCs w:val="22"/>
          <w:u w:val="single"/>
        </w:rPr>
        <w:t>Source</w:t>
      </w:r>
      <w:r w:rsidRPr="00B35DDD">
        <w:rPr>
          <w:rFonts w:asciiTheme="majorHAnsi" w:hAnsiTheme="majorHAnsi"/>
          <w:b/>
          <w:sz w:val="22"/>
          <w:szCs w:val="22"/>
        </w:rPr>
        <w:t xml:space="preserve">: </w:t>
      </w:r>
      <w:r w:rsidR="0016437B" w:rsidRPr="00B35DDD">
        <w:rPr>
          <w:rFonts w:asciiTheme="majorHAnsi" w:hAnsiTheme="majorHAnsi"/>
          <w:b/>
          <w:i/>
          <w:sz w:val="22"/>
          <w:szCs w:val="22"/>
        </w:rPr>
        <w:t>Guiding Principles for Implementation of Population-Based and Patient Centered Payment Systems: A Report from the Advisory Council to the Maryland Health Services Cost Review Commission, January 31, 2014, p. 5</w:t>
      </w:r>
    </w:p>
    <w:p w:rsidR="0016437B" w:rsidRPr="00955319" w:rsidRDefault="0016437B" w:rsidP="00424C98">
      <w:pPr>
        <w:spacing w:line="480" w:lineRule="auto"/>
        <w:rPr>
          <w:b/>
        </w:rPr>
      </w:pPr>
    </w:p>
    <w:p w:rsidR="0016437B" w:rsidRDefault="00B37723" w:rsidP="00424C98">
      <w:pPr>
        <w:spacing w:line="480" w:lineRule="auto"/>
      </w:pPr>
      <w:r>
        <w:lastRenderedPageBreak/>
        <w:tab/>
        <w:t xml:space="preserve">It is critical that the benefits </w:t>
      </w:r>
      <w:r w:rsidR="00A60CF1">
        <w:t>of</w:t>
      </w:r>
      <w:r>
        <w:t xml:space="preserve"> good performance against the waiver targets accrue to hospitals.  The targets already reflect a performance level we have never come close to attaining over any period of time and they will take massive investment by, and reinvention of, hospitals if they are to be attained. </w:t>
      </w:r>
    </w:p>
    <w:p w:rsidR="008C5D80" w:rsidRDefault="00C800BB" w:rsidP="004A7CB7">
      <w:pPr>
        <w:spacing w:line="480" w:lineRule="auto"/>
        <w:ind w:firstLine="720"/>
      </w:pPr>
      <w:r>
        <w:t>At the same time</w:t>
      </w:r>
      <w:r w:rsidR="00865ABF">
        <w:t>, t</w:t>
      </w:r>
      <w:r w:rsidR="00BD595A">
        <w:t>he HSCRC needs a cushion</w:t>
      </w:r>
      <w:r w:rsidR="008C5D80" w:rsidRPr="004B2CCC">
        <w:t xml:space="preserve"> </w:t>
      </w:r>
      <w:r w:rsidR="00BD595A">
        <w:t xml:space="preserve">or reserve </w:t>
      </w:r>
      <w:r w:rsidR="008C5D80" w:rsidRPr="004B2CCC">
        <w:t xml:space="preserve">to ensure compliance </w:t>
      </w:r>
      <w:r w:rsidR="00BD595A">
        <w:t xml:space="preserve">with the terms of the demonstration model. That reserve needs to be </w:t>
      </w:r>
      <w:r w:rsidR="008C5D80" w:rsidRPr="004B2CCC">
        <w:t xml:space="preserve">maintained at a specified but </w:t>
      </w:r>
      <w:r>
        <w:t>reasonable</w:t>
      </w:r>
      <w:r w:rsidR="008C5D80" w:rsidRPr="004B2CCC">
        <w:t xml:space="preserve"> level so </w:t>
      </w:r>
      <w:r w:rsidR="00BD595A">
        <w:t>that funds are available for un</w:t>
      </w:r>
      <w:r w:rsidR="008C5D80" w:rsidRPr="004B2CCC">
        <w:t>foreseen events</w:t>
      </w:r>
      <w:r w:rsidR="00BD595A">
        <w:t xml:space="preserve">. Its size should reflect the risk of the system missing its growth targets, but that amount should be small </w:t>
      </w:r>
      <w:r w:rsidR="00BD595A" w:rsidRPr="004B2CCC">
        <w:t xml:space="preserve">(say </w:t>
      </w:r>
      <w:r w:rsidR="00865ABF">
        <w:t>0.25</w:t>
      </w:r>
      <w:r>
        <w:t>-0.5)</w:t>
      </w:r>
      <w:r w:rsidR="00865ABF">
        <w:t xml:space="preserve"> percentage points </w:t>
      </w:r>
      <w:r w:rsidR="00BD595A" w:rsidRPr="004B2CCC">
        <w:t>of the annual expenditure level)</w:t>
      </w:r>
      <w:r w:rsidR="0051635C">
        <w:t xml:space="preserve"> given the fact that over 90 percent of industry regulated revenue is subject to global budgets.</w:t>
      </w:r>
      <w:r w:rsidR="00865ABF">
        <w:rPr>
          <w:rStyle w:val="FootnoteReference"/>
        </w:rPr>
        <w:footnoteReference w:id="2"/>
      </w:r>
      <w:r w:rsidR="00030C7F">
        <w:t xml:space="preserve">  That cushion would be reviewed each year as described below.</w:t>
      </w:r>
    </w:p>
    <w:p w:rsidR="008C5D80" w:rsidRDefault="00865ABF" w:rsidP="004A7CB7">
      <w:pPr>
        <w:spacing w:line="480" w:lineRule="auto"/>
        <w:ind w:firstLine="720"/>
      </w:pPr>
      <w:r>
        <w:t>An</w:t>
      </w:r>
      <w:r w:rsidR="008C5D80" w:rsidRPr="004B2CCC">
        <w:t xml:space="preserve"> </w:t>
      </w:r>
      <w:r>
        <w:t>HSCRC commitment</w:t>
      </w:r>
      <w:r w:rsidR="0012567B">
        <w:t xml:space="preserve"> to </w:t>
      </w:r>
      <w:r w:rsidR="00030C7F">
        <w:t xml:space="preserve">distribute funds in accord with this principle </w:t>
      </w:r>
      <w:r>
        <w:t xml:space="preserve">would mitigate the need </w:t>
      </w:r>
      <w:r w:rsidR="00927360">
        <w:t>to develop additional line item</w:t>
      </w:r>
      <w:r w:rsidR="008C5D80" w:rsidRPr="004B2CCC">
        <w:t xml:space="preserve"> funding requests</w:t>
      </w:r>
      <w:r>
        <w:t xml:space="preserve"> for specific hospital needs</w:t>
      </w:r>
      <w:r w:rsidR="003351AF">
        <w:t xml:space="preserve"> and allow a more reasoned approach to many of the discussions about </w:t>
      </w:r>
      <w:r w:rsidR="00CF3442">
        <w:t>implementation</w:t>
      </w:r>
      <w:r w:rsidR="003351AF">
        <w:t xml:space="preserve">, </w:t>
      </w:r>
      <w:r w:rsidR="00030C7F">
        <w:t xml:space="preserve">while reinforcing </w:t>
      </w:r>
      <w:r w:rsidR="003351AF">
        <w:t xml:space="preserve">the </w:t>
      </w:r>
      <w:r w:rsidR="00A60CF1">
        <w:t>closed-</w:t>
      </w:r>
      <w:r w:rsidR="003351AF">
        <w:t xml:space="preserve">end nature of the </w:t>
      </w:r>
      <w:r w:rsidR="00030C7F">
        <w:t xml:space="preserve">funding. </w:t>
      </w:r>
      <w:r>
        <w:t xml:space="preserve">Under this </w:t>
      </w:r>
      <w:r w:rsidR="003351AF">
        <w:t>approach</w:t>
      </w:r>
      <w:r>
        <w:t>, a</w:t>
      </w:r>
      <w:r w:rsidR="008C5D80" w:rsidRPr="004B2CCC">
        <w:t xml:space="preserve">ny excess spending will need to be funded from the cushion </w:t>
      </w:r>
      <w:r>
        <w:t xml:space="preserve">established in the first year, </w:t>
      </w:r>
      <w:r w:rsidR="008C5D80" w:rsidRPr="004B2CCC">
        <w:t>which will need to be reb</w:t>
      </w:r>
      <w:r w:rsidR="00362FF6">
        <w:t xml:space="preserve">uilt by reducing the following </w:t>
      </w:r>
      <w:r w:rsidR="0012379B">
        <w:t>year’s available resources or budgeted for in advance in establishing subsequent years’ revenue growth rates.</w:t>
      </w:r>
    </w:p>
    <w:p w:rsidR="00820AC3" w:rsidRDefault="002726F6" w:rsidP="00424C98">
      <w:pPr>
        <w:spacing w:line="480" w:lineRule="auto"/>
      </w:pPr>
      <w:r>
        <w:lastRenderedPageBreak/>
        <w:tab/>
        <w:t>One of the great strengths of th</w:t>
      </w:r>
      <w:r w:rsidR="00C800BB">
        <w:t>e "people share" methodology de</w:t>
      </w:r>
      <w:r>
        <w:t>scribed is that it</w:t>
      </w:r>
      <w:r w:rsidR="00CF3442">
        <w:t>s basic "per capita" mechanism</w:t>
      </w:r>
      <w:r>
        <w:t xml:space="preserve"> offers high reliability in meeting the </w:t>
      </w:r>
      <w:r w:rsidR="00C800BB">
        <w:t xml:space="preserve">spending </w:t>
      </w:r>
      <w:r>
        <w:t xml:space="preserve">target, while </w:t>
      </w:r>
      <w:r w:rsidR="00CF3442">
        <w:t xml:space="preserve">providing </w:t>
      </w:r>
      <w:r>
        <w:t>significant f</w:t>
      </w:r>
      <w:r w:rsidR="00C800BB">
        <w:t>lexi</w:t>
      </w:r>
      <w:r>
        <w:t xml:space="preserve">bility for hospitals and less onerous and costly administrative responsibilities for regulators.  </w:t>
      </w:r>
    </w:p>
    <w:p w:rsidR="004B2CCC" w:rsidRDefault="00EB28AF" w:rsidP="00EB28AF">
      <w:pPr>
        <w:pStyle w:val="Heading5"/>
        <w:spacing w:line="480" w:lineRule="auto"/>
      </w:pPr>
      <w:r>
        <w:t>Recommendation 2: Revenue Follows the Patient</w:t>
      </w:r>
    </w:p>
    <w:p w:rsidR="00EB28AF" w:rsidRPr="00EB28AF" w:rsidRDefault="00EB28AF" w:rsidP="00EB28AF"/>
    <w:p w:rsidR="00E12D09" w:rsidRDefault="007E10DD" w:rsidP="002726F6">
      <w:pPr>
        <w:spacing w:line="480" w:lineRule="auto"/>
        <w:ind w:firstLine="720"/>
      </w:pPr>
      <w:r>
        <w:t>The regulatory</w:t>
      </w:r>
      <w:r w:rsidR="008C5D80" w:rsidRPr="004B2CCC">
        <w:t xml:space="preserve"> system </w:t>
      </w:r>
      <w:r>
        <w:t>should create</w:t>
      </w:r>
      <w:r w:rsidR="008C5D80" w:rsidRPr="004B2CCC">
        <w:t xml:space="preserve"> incentives that will automatically reward individual institution behavior that is aligned with state goals (lower cost, higher quality, better patient experience).</w:t>
      </w:r>
      <w:r>
        <w:t xml:space="preserve"> </w:t>
      </w:r>
      <w:r w:rsidR="008C5D80" w:rsidRPr="004B2CCC">
        <w:t xml:space="preserve"> While not eliminating the need for </w:t>
      </w:r>
      <w:r w:rsidR="0055730C">
        <w:t>adjustments</w:t>
      </w:r>
      <w:r w:rsidR="008C5D80" w:rsidRPr="004B2CCC">
        <w:t xml:space="preserve"> in some</w:t>
      </w:r>
      <w:r w:rsidR="00560D8B">
        <w:t xml:space="preserve"> specific</w:t>
      </w:r>
      <w:r w:rsidR="008C5D80" w:rsidRPr="004B2CCC">
        <w:t xml:space="preserve"> cases, it should make these inst</w:t>
      </w:r>
      <w:r w:rsidR="00C800BB">
        <w:t xml:space="preserve">ances fewer and more manageable.  </w:t>
      </w:r>
      <w:r w:rsidR="00604F18">
        <w:t>The financial incentives of the hospital would drive reduced readmission</w:t>
      </w:r>
      <w:r w:rsidR="00A60CF1">
        <w:t>s</w:t>
      </w:r>
      <w:r w:rsidR="00604F18">
        <w:t>, better coordination across the spectrum of care delivery, and reduced utilization of hospital resources in ways that make economic sense from the specific circumstances of each hospital.</w:t>
      </w:r>
      <w:r w:rsidR="00E12D09">
        <w:t xml:space="preserve"> </w:t>
      </w:r>
    </w:p>
    <w:p w:rsidR="00181992" w:rsidRDefault="00181992" w:rsidP="00424C98">
      <w:pPr>
        <w:spacing w:line="480" w:lineRule="auto"/>
      </w:pPr>
    </w:p>
    <w:p w:rsidR="00E12D09" w:rsidRDefault="00E12D09" w:rsidP="004A7CB7">
      <w:pPr>
        <w:spacing w:line="480" w:lineRule="auto"/>
        <w:ind w:firstLine="720"/>
      </w:pPr>
      <w:r>
        <w:t xml:space="preserve">To control system revenue in the early years of this model, the HSCRC has implemented global budgets for </w:t>
      </w:r>
      <w:r w:rsidR="005A5154">
        <w:t xml:space="preserve">the </w:t>
      </w:r>
      <w:r>
        <w:t>State’s hospital</w:t>
      </w:r>
      <w:r w:rsidR="005A5154">
        <w:t>s</w:t>
      </w:r>
      <w:r>
        <w:t>. Global budget</w:t>
      </w:r>
      <w:r w:rsidR="003351AF">
        <w:t>s</w:t>
      </w:r>
      <w:r>
        <w:t xml:space="preserve"> stabilize revenue from both provider and payer perspectives, and this methodology dramatically shifts incentives away from higher volumes under fee-for-service reimbursements schemes. However, methods for updating budgets in the future will affect hospital incentives for delivering care.</w:t>
      </w:r>
      <w:r w:rsidR="00181992">
        <w:t xml:space="preserve"> If budgets are static without regard to shifts of patients between facilities, for example, hospitals will have little financial </w:t>
      </w:r>
      <w:r w:rsidR="00181992">
        <w:lastRenderedPageBreak/>
        <w:t xml:space="preserve">incentive to maintain a broad spectrum of services, </w:t>
      </w:r>
      <w:r w:rsidR="002726F6">
        <w:t xml:space="preserve">top </w:t>
      </w:r>
      <w:r w:rsidR="00181992">
        <w:t xml:space="preserve">quality of care, </w:t>
      </w:r>
      <w:r w:rsidR="002726F6">
        <w:t>or to</w:t>
      </w:r>
      <w:r w:rsidR="00C800BB">
        <w:t xml:space="preserve"> pursue </w:t>
      </w:r>
      <w:r w:rsidR="00181992">
        <w:t>innovations</w:t>
      </w:r>
      <w:r w:rsidR="002726F6">
        <w:t xml:space="preserve"> if that involves more costs</w:t>
      </w:r>
      <w:r w:rsidR="00181992">
        <w:t>.</w:t>
      </w:r>
    </w:p>
    <w:p w:rsidR="00E12D09" w:rsidRDefault="00E12D09" w:rsidP="00424C98">
      <w:pPr>
        <w:spacing w:line="480" w:lineRule="auto"/>
      </w:pPr>
    </w:p>
    <w:p w:rsidR="00F36AF4" w:rsidRDefault="00373C4B" w:rsidP="004A7CB7">
      <w:pPr>
        <w:spacing w:line="480" w:lineRule="auto"/>
        <w:ind w:firstLine="720"/>
      </w:pPr>
      <w:r>
        <w:t>An important financial incentive for hospitals to</w:t>
      </w:r>
      <w:r w:rsidR="008C5D80" w:rsidRPr="004B2CCC">
        <w:t xml:space="preserve"> </w:t>
      </w:r>
      <w:r>
        <w:t>achieve</w:t>
      </w:r>
      <w:r w:rsidR="008C5D80" w:rsidRPr="004B2CCC">
        <w:t xml:space="preserve"> all three objectives </w:t>
      </w:r>
      <w:r>
        <w:t xml:space="preserve">of the three part aim under the demonstration model </w:t>
      </w:r>
      <w:r w:rsidR="008C5D80" w:rsidRPr="004B2CCC">
        <w:t xml:space="preserve">is </w:t>
      </w:r>
      <w:r w:rsidR="00A60CF1">
        <w:t>facilitated</w:t>
      </w:r>
      <w:r w:rsidR="00A60CF1" w:rsidRPr="004B2CCC">
        <w:t xml:space="preserve"> </w:t>
      </w:r>
      <w:r w:rsidR="008C5D80" w:rsidRPr="004B2CCC">
        <w:t xml:space="preserve">by </w:t>
      </w:r>
      <w:r w:rsidR="00C800BB">
        <w:t>allowing</w:t>
      </w:r>
      <w:r w:rsidR="002C4D9F" w:rsidRPr="004B2CCC">
        <w:t xml:space="preserve"> </w:t>
      </w:r>
      <w:r w:rsidR="00C800BB">
        <w:t>market s</w:t>
      </w:r>
      <w:r w:rsidR="008C5D80" w:rsidRPr="004B2CCC">
        <w:t xml:space="preserve">hare </w:t>
      </w:r>
      <w:r w:rsidR="002C4D9F">
        <w:t xml:space="preserve">to remain </w:t>
      </w:r>
      <w:r>
        <w:t xml:space="preserve">a </w:t>
      </w:r>
      <w:r w:rsidR="008C5D80" w:rsidRPr="004B2CCC">
        <w:t>significant</w:t>
      </w:r>
      <w:r w:rsidR="00F257F6" w:rsidRPr="00F257F6">
        <w:rPr>
          <w:color w:val="FF0000"/>
        </w:rPr>
        <w:t xml:space="preserve"> </w:t>
      </w:r>
      <w:r>
        <w:t xml:space="preserve">determinant in </w:t>
      </w:r>
      <w:r w:rsidR="008C5D80" w:rsidRPr="004B2CCC">
        <w:t>the distribu</w:t>
      </w:r>
      <w:r>
        <w:t>tion of resources</w:t>
      </w:r>
      <w:r w:rsidR="002C4D9F">
        <w:t xml:space="preserve">, but to refine how it is calculated so that unnecessary volume </w:t>
      </w:r>
      <w:r w:rsidR="00E57829">
        <w:t>does not generate</w:t>
      </w:r>
      <w:r w:rsidR="002C4D9F">
        <w:t xml:space="preserve"> additional revenue</w:t>
      </w:r>
      <w:r>
        <w:t xml:space="preserve">. </w:t>
      </w:r>
      <w:r w:rsidR="00831A14">
        <w:t>The</w:t>
      </w:r>
      <w:r w:rsidR="00C800BB">
        <w:t xml:space="preserve"> traditional measure of market s</w:t>
      </w:r>
      <w:r w:rsidR="008C5D80" w:rsidRPr="004B2CCC">
        <w:t>hare</w:t>
      </w:r>
      <w:r w:rsidR="00831A14">
        <w:t xml:space="preserve">, however, </w:t>
      </w:r>
      <w:r w:rsidR="008C5D80" w:rsidRPr="004B2CCC">
        <w:t xml:space="preserve">is primarily </w:t>
      </w:r>
      <w:r w:rsidR="00E57829">
        <w:t xml:space="preserve">driven by </w:t>
      </w:r>
      <w:r w:rsidR="00A13BAF">
        <w:t>volumes of service delivered</w:t>
      </w:r>
      <w:r w:rsidR="00E57829">
        <w:t xml:space="preserve">.  </w:t>
      </w:r>
      <w:r w:rsidR="002C4D9F">
        <w:t>Recognition of this issue has led to discussions of how to promote “good volume” vs “bad volume, which has focused attention on Potentially Avoidable Utilization</w:t>
      </w:r>
      <w:r w:rsidR="00C800BB">
        <w:t xml:space="preserve"> which is a complex and controversial measure</w:t>
      </w:r>
      <w:r w:rsidR="002C4D9F">
        <w:t xml:space="preserve">.  </w:t>
      </w:r>
      <w:r w:rsidR="00F36AF4" w:rsidRPr="004B2CCC">
        <w:t xml:space="preserve">If </w:t>
      </w:r>
      <w:r w:rsidR="00C800BB">
        <w:t>m</w:t>
      </w:r>
      <w:r w:rsidR="002C4D9F">
        <w:t>arket share measurement</w:t>
      </w:r>
      <w:r w:rsidR="00F36AF4" w:rsidRPr="004B2CCC">
        <w:t xml:space="preserve"> is not </w:t>
      </w:r>
      <w:r w:rsidR="00E57829">
        <w:t>refined</w:t>
      </w:r>
      <w:r w:rsidR="00F36AF4" w:rsidRPr="004B2CCC">
        <w:t>, then global budgets</w:t>
      </w:r>
      <w:r w:rsidR="00E57829">
        <w:t xml:space="preserve"> have the potential to</w:t>
      </w:r>
      <w:r w:rsidR="00BC4264">
        <w:t xml:space="preserve"> encourage cuts in </w:t>
      </w:r>
      <w:r w:rsidR="00F36AF4" w:rsidRPr="004B2CCC">
        <w:t>hours or locations or even the avai</w:t>
      </w:r>
      <w:r w:rsidR="00F36AF4">
        <w:t xml:space="preserve">lability of high cost services, </w:t>
      </w:r>
      <w:r w:rsidR="00F36AF4" w:rsidRPr="004B2CCC">
        <w:t>making it difficult for patients to access needed care</w:t>
      </w:r>
      <w:r w:rsidR="00E57829">
        <w:t xml:space="preserve">.  </w:t>
      </w:r>
      <w:r w:rsidR="002C4D9F">
        <w:t xml:space="preserve">For this reason a refined market share measurement that incents improvement in quality and patient experience while not rewarding the </w:t>
      </w:r>
      <w:r w:rsidR="00154290">
        <w:t>provisi</w:t>
      </w:r>
      <w:r w:rsidR="002C4D9F">
        <w:t xml:space="preserve">on of unnecessary services needs to be developed.  </w:t>
      </w:r>
      <w:r w:rsidR="005A5154">
        <w:t>This approach provides deference to Patient Choice</w:t>
      </w:r>
      <w:r w:rsidR="00AB05D7">
        <w:t>s</w:t>
      </w:r>
      <w:r w:rsidR="005A5154">
        <w:t xml:space="preserve"> as the ultimate arbiter of </w:t>
      </w:r>
      <w:r w:rsidR="00924F0C">
        <w:t xml:space="preserve">value – considering </w:t>
      </w:r>
      <w:r w:rsidR="005A5154">
        <w:t xml:space="preserve">the patient experience, quality </w:t>
      </w:r>
      <w:r w:rsidR="00924F0C">
        <w:t xml:space="preserve">of outcomes </w:t>
      </w:r>
      <w:r w:rsidR="005A5154">
        <w:t xml:space="preserve">and </w:t>
      </w:r>
      <w:r w:rsidR="00924F0C">
        <w:t xml:space="preserve">cost </w:t>
      </w:r>
      <w:r w:rsidR="005A5154">
        <w:t>efficiency.  The proportion of people using hospital services rather than the amount of service provided becomes the measure of market share – and ultimately the revenue regulation mechanism.</w:t>
      </w:r>
    </w:p>
    <w:p w:rsidR="00E57829" w:rsidRDefault="00E57829" w:rsidP="00E57829"/>
    <w:p w:rsidR="00E57829" w:rsidRPr="00E57829" w:rsidRDefault="00E57829" w:rsidP="00E57829"/>
    <w:p w:rsidR="00EB28AF" w:rsidRDefault="00EB28AF" w:rsidP="00B67799">
      <w:pPr>
        <w:pStyle w:val="Heading2"/>
      </w:pPr>
      <w:r w:rsidRPr="004B2CCC">
        <w:lastRenderedPageBreak/>
        <w:t xml:space="preserve">Meeting </w:t>
      </w:r>
      <w:r w:rsidR="00D256EE">
        <w:t>Demonstration Model</w:t>
      </w:r>
      <w:r w:rsidRPr="004B2CCC">
        <w:t xml:space="preserve"> Goals Through the Use of “People Share”</w:t>
      </w:r>
    </w:p>
    <w:p w:rsidR="005D311E" w:rsidRDefault="005D311E" w:rsidP="00A37D53">
      <w:pPr>
        <w:spacing w:line="480" w:lineRule="auto"/>
      </w:pPr>
    </w:p>
    <w:p w:rsidR="00E57829" w:rsidRDefault="00E57829" w:rsidP="00A37D53">
      <w:pPr>
        <w:spacing w:line="480" w:lineRule="auto"/>
      </w:pPr>
      <w:r>
        <w:rPr>
          <w:u w:val="single"/>
        </w:rPr>
        <w:t xml:space="preserve">Why </w:t>
      </w:r>
      <w:r w:rsidR="007C0661">
        <w:rPr>
          <w:u w:val="single"/>
        </w:rPr>
        <w:t>P</w:t>
      </w:r>
      <w:r>
        <w:rPr>
          <w:u w:val="single"/>
        </w:rPr>
        <w:t xml:space="preserve">eople </w:t>
      </w:r>
      <w:r w:rsidR="007C0661">
        <w:rPr>
          <w:u w:val="single"/>
        </w:rPr>
        <w:t>S</w:t>
      </w:r>
      <w:r>
        <w:rPr>
          <w:u w:val="single"/>
        </w:rPr>
        <w:t>hare</w:t>
      </w:r>
      <w:r w:rsidR="007C0661">
        <w:rPr>
          <w:u w:val="single"/>
        </w:rPr>
        <w:t>?</w:t>
      </w:r>
    </w:p>
    <w:p w:rsidR="00D8760B" w:rsidRDefault="00A37D53" w:rsidP="004A7CB7">
      <w:pPr>
        <w:spacing w:line="480" w:lineRule="auto"/>
        <w:ind w:firstLine="720"/>
      </w:pPr>
      <w:r w:rsidRPr="006725ED">
        <w:t xml:space="preserve">To </w:t>
      </w:r>
      <w:r>
        <w:t>address</w:t>
      </w:r>
      <w:r w:rsidRPr="006725ED">
        <w:t xml:space="preserve"> the principle that “the money should follow the people” </w:t>
      </w:r>
      <w:r w:rsidR="00E57829">
        <w:t xml:space="preserve">while at the same time ensuring that simply adding volume does </w:t>
      </w:r>
      <w:r w:rsidRPr="006725ED">
        <w:t>necessarily increase revenue</w:t>
      </w:r>
      <w:r w:rsidR="00E57829">
        <w:t xml:space="preserve"> under the new system, we should count user market share ("</w:t>
      </w:r>
      <w:r w:rsidR="007C0661">
        <w:t>P</w:t>
      </w:r>
      <w:r w:rsidR="00E57829">
        <w:t xml:space="preserve">eople </w:t>
      </w:r>
      <w:r w:rsidR="007C0661">
        <w:t>S</w:t>
      </w:r>
      <w:r w:rsidR="00E57829">
        <w:t xml:space="preserve">hare").  This would be accomplished by determining an individual user's </w:t>
      </w:r>
      <w:r w:rsidRPr="006725ED">
        <w:t xml:space="preserve">preference for </w:t>
      </w:r>
      <w:r w:rsidR="00E57829">
        <w:t xml:space="preserve">a </w:t>
      </w:r>
      <w:r w:rsidRPr="006725ED">
        <w:t xml:space="preserve">hospital </w:t>
      </w:r>
      <w:r w:rsidR="00E57829">
        <w:t xml:space="preserve">over a year, </w:t>
      </w:r>
      <w:r w:rsidRPr="006725ED">
        <w:t>based on th</w:t>
      </w:r>
      <w:r w:rsidR="00E57829">
        <w:t>at</w:t>
      </w:r>
      <w:r w:rsidRPr="006725ED">
        <w:t xml:space="preserve"> individual’s actual use of services</w:t>
      </w:r>
      <w:r>
        <w:t xml:space="preserve">. </w:t>
      </w:r>
      <w:r w:rsidR="00E57829">
        <w:t xml:space="preserve"> </w:t>
      </w:r>
      <w:r w:rsidRPr="008F0242">
        <w:t xml:space="preserve">By introducing this </w:t>
      </w:r>
      <w:r w:rsidR="00D8760B">
        <w:t>“People S</w:t>
      </w:r>
      <w:r w:rsidRPr="008F0242">
        <w:t>hare</w:t>
      </w:r>
      <w:r w:rsidR="00D8760B">
        <w:t>”</w:t>
      </w:r>
      <w:r w:rsidRPr="008F0242">
        <w:t xml:space="preserve"> method </w:t>
      </w:r>
      <w:r w:rsidR="00343F5E">
        <w:t>to set</w:t>
      </w:r>
      <w:r w:rsidRPr="008F0242">
        <w:t xml:space="preserve"> </w:t>
      </w:r>
      <w:r w:rsidR="00343F5E">
        <w:t xml:space="preserve">the </w:t>
      </w:r>
      <w:r w:rsidRPr="008F0242">
        <w:t>global budget</w:t>
      </w:r>
      <w:r w:rsidR="00343F5E">
        <w:t>s</w:t>
      </w:r>
      <w:r w:rsidRPr="008F0242">
        <w:t xml:space="preserve"> phase </w:t>
      </w:r>
      <w:r w:rsidR="00D8760B">
        <w:t>instead of the traditional market share measurement</w:t>
      </w:r>
      <w:r w:rsidRPr="008F0242">
        <w:t xml:space="preserve">, </w:t>
      </w:r>
      <w:r w:rsidR="00D8760B">
        <w:t>the HSCRC</w:t>
      </w:r>
      <w:r w:rsidRPr="008F0242">
        <w:t xml:space="preserve"> can establish a dynamic, sustainable model that equitably allocates the available resources according to patient preferences and provides the best chance of meeting the </w:t>
      </w:r>
      <w:r w:rsidR="00D8760B">
        <w:t>three part</w:t>
      </w:r>
      <w:r w:rsidRPr="008F0242">
        <w:t xml:space="preserve"> aim </w:t>
      </w:r>
      <w:r w:rsidR="00D8760B">
        <w:t>of the demonstration model. This approach provides strong incentives for</w:t>
      </w:r>
      <w:r w:rsidR="00343F5E">
        <w:t xml:space="preserve"> high quality </w:t>
      </w:r>
      <w:r w:rsidR="00154290">
        <w:t xml:space="preserve">and good patient experiences </w:t>
      </w:r>
      <w:r w:rsidR="00343F5E">
        <w:t xml:space="preserve">to attract patients </w:t>
      </w:r>
      <w:r w:rsidR="00154290">
        <w:t xml:space="preserve">as well as </w:t>
      </w:r>
      <w:r w:rsidR="00343F5E">
        <w:t>efficiency so the care provided does not outstrip the s</w:t>
      </w:r>
      <w:r w:rsidR="002C0778">
        <w:t>till</w:t>
      </w:r>
      <w:r w:rsidR="002C0778" w:rsidRPr="002C0778">
        <w:rPr>
          <w:color w:val="FF0000"/>
        </w:rPr>
        <w:t>-</w:t>
      </w:r>
      <w:r w:rsidR="00343F5E">
        <w:t>fixed</w:t>
      </w:r>
      <w:r w:rsidR="002C0778">
        <w:t xml:space="preserve"> </w:t>
      </w:r>
      <w:r w:rsidR="00343F5E">
        <w:t xml:space="preserve"> resources and commitment to population health for long range sustainability.</w:t>
      </w:r>
      <w:r w:rsidR="00B1748C">
        <w:t xml:space="preserve"> </w:t>
      </w:r>
    </w:p>
    <w:p w:rsidR="00A37D53" w:rsidRDefault="00A37D53" w:rsidP="00B1748C">
      <w:pPr>
        <w:spacing w:line="480" w:lineRule="auto"/>
      </w:pPr>
      <w:r w:rsidRPr="008F0242">
        <w:t xml:space="preserve"> </w:t>
      </w:r>
      <w:r w:rsidR="00B1748C">
        <w:tab/>
        <w:t>Because t</w:t>
      </w:r>
      <w:r w:rsidRPr="00D93842">
        <w:t xml:space="preserve">he </w:t>
      </w:r>
      <w:r w:rsidR="00D8760B">
        <w:t>demonstration model target is</w:t>
      </w:r>
      <w:r w:rsidRPr="00D93842">
        <w:t xml:space="preserve"> defined in terms of per </w:t>
      </w:r>
      <w:r w:rsidR="00D8760B">
        <w:t xml:space="preserve">capita expenditures, </w:t>
      </w:r>
      <w:r w:rsidRPr="00D93842">
        <w:t xml:space="preserve">adopting a measure of market share that counts each person only once (People Share) to calculate market share makes it possible to link those </w:t>
      </w:r>
      <w:r w:rsidR="001551A7">
        <w:t>individual patient</w:t>
      </w:r>
      <w:r w:rsidR="001551A7" w:rsidRPr="00D93842">
        <w:t xml:space="preserve"> </w:t>
      </w:r>
      <w:r w:rsidRPr="00D93842">
        <w:t xml:space="preserve">choices to the per person revenue in a transparent way.  By </w:t>
      </w:r>
      <w:r w:rsidR="00484BBE">
        <w:t>calculating</w:t>
      </w:r>
      <w:r w:rsidRPr="00D93842">
        <w:t xml:space="preserve"> revenue </w:t>
      </w:r>
      <w:r w:rsidR="001551A7">
        <w:t>allocation</w:t>
      </w:r>
      <w:r w:rsidR="001551A7" w:rsidRPr="00D93842">
        <w:t xml:space="preserve"> </w:t>
      </w:r>
      <w:r w:rsidR="00343F5E">
        <w:t xml:space="preserve">to each hospital on this </w:t>
      </w:r>
      <w:r w:rsidRPr="00D93842">
        <w:t>per capita</w:t>
      </w:r>
      <w:r w:rsidR="00343F5E">
        <w:t xml:space="preserve"> basis</w:t>
      </w:r>
      <w:r w:rsidRPr="00D93842">
        <w:t xml:space="preserve">, the system can </w:t>
      </w:r>
      <w:r w:rsidR="001551A7">
        <w:t xml:space="preserve">be set up to </w:t>
      </w:r>
      <w:r w:rsidRPr="00D93842">
        <w:t xml:space="preserve">routinely comply with the aggregate </w:t>
      </w:r>
      <w:r w:rsidR="00484BBE">
        <w:t>demonstration model</w:t>
      </w:r>
      <w:r w:rsidRPr="00D93842">
        <w:t xml:space="preserve"> limit across institutions.  This </w:t>
      </w:r>
      <w:r w:rsidR="00B1748C">
        <w:t xml:space="preserve">approach would </w:t>
      </w:r>
      <w:r w:rsidRPr="00D93842">
        <w:t xml:space="preserve">free the system from unintended variation </w:t>
      </w:r>
      <w:r w:rsidRPr="00D93842">
        <w:lastRenderedPageBreak/>
        <w:t>of service cost related to volume or price</w:t>
      </w:r>
      <w:r w:rsidR="00343F5E">
        <w:t>,</w:t>
      </w:r>
      <w:r w:rsidRPr="00D93842">
        <w:t xml:space="preserve"> ensure </w:t>
      </w:r>
      <w:r w:rsidR="00D8760B">
        <w:t>demonstration model</w:t>
      </w:r>
      <w:r w:rsidRPr="00D93842">
        <w:t xml:space="preserve"> compliance without the need for excessive reserves or cushions</w:t>
      </w:r>
      <w:r w:rsidR="00343F5E">
        <w:t xml:space="preserve"> and simplify administration</w:t>
      </w:r>
      <w:r w:rsidRPr="00D93842">
        <w:t>.</w:t>
      </w:r>
      <w:r>
        <w:t xml:space="preserve"> </w:t>
      </w:r>
      <w:r w:rsidRPr="00D93842">
        <w:t xml:space="preserve">In addition to allowing a clear mathematical “line of sight” to the </w:t>
      </w:r>
      <w:r w:rsidR="00D8760B">
        <w:t>demonstration model</w:t>
      </w:r>
      <w:r w:rsidRPr="00D93842">
        <w:t xml:space="preserve"> target, using “People Share” within the “per hospital” distribution methodology will ensure </w:t>
      </w:r>
      <w:r w:rsidR="00B1748C">
        <w:t xml:space="preserve">that </w:t>
      </w:r>
      <w:r w:rsidRPr="00D93842">
        <w:t xml:space="preserve">the non-financial goals of the </w:t>
      </w:r>
      <w:r w:rsidR="00B1748C">
        <w:t>demonstration model</w:t>
      </w:r>
      <w:r w:rsidRPr="00D93842">
        <w:t xml:space="preserve"> and the welfare of the population remain top of mind </w:t>
      </w:r>
      <w:r w:rsidR="00B1748C">
        <w:t xml:space="preserve">in hospital manager’s decisions. </w:t>
      </w:r>
      <w:r w:rsidRPr="00D93842">
        <w:t>The patient’s right to choose which hospital or other provider to use for needed services w</w:t>
      </w:r>
      <w:r w:rsidR="00B1748C">
        <w:t xml:space="preserve">ill be directly tied to revenue – an </w:t>
      </w:r>
      <w:r w:rsidRPr="00D93842">
        <w:t xml:space="preserve">essential </w:t>
      </w:r>
      <w:r w:rsidR="00B1748C">
        <w:t xml:space="preserve">element </w:t>
      </w:r>
      <w:r w:rsidRPr="00D93842">
        <w:t>to achieving the objective</w:t>
      </w:r>
      <w:r w:rsidR="00DA232E">
        <w:t>s</w:t>
      </w:r>
      <w:r w:rsidRPr="00D93842">
        <w:t xml:space="preserve"> of the </w:t>
      </w:r>
      <w:r w:rsidR="00DA232E">
        <w:t>demonstration model</w:t>
      </w:r>
      <w:r>
        <w:t>.</w:t>
      </w:r>
    </w:p>
    <w:p w:rsidR="00343F5E" w:rsidRPr="00343F5E" w:rsidRDefault="00AD2B48" w:rsidP="00B1748C">
      <w:pPr>
        <w:spacing w:line="480" w:lineRule="auto"/>
      </w:pPr>
      <w:r>
        <w:rPr>
          <w:u w:val="single"/>
        </w:rPr>
        <w:t xml:space="preserve">How </w:t>
      </w:r>
      <w:r w:rsidR="00343F5E">
        <w:rPr>
          <w:u w:val="single"/>
        </w:rPr>
        <w:t>People Share Work</w:t>
      </w:r>
      <w:r w:rsidR="00C03698">
        <w:rPr>
          <w:u w:val="single"/>
        </w:rPr>
        <w:t>s</w:t>
      </w:r>
    </w:p>
    <w:p w:rsidR="00A37D53" w:rsidRPr="00D7146C" w:rsidRDefault="002D27F5" w:rsidP="004A7CB7">
      <w:pPr>
        <w:spacing w:line="480" w:lineRule="auto"/>
        <w:ind w:firstLine="720"/>
      </w:pPr>
      <w:r>
        <w:t xml:space="preserve">As conceptualized, </w:t>
      </w:r>
      <w:r w:rsidR="00A37D53" w:rsidRPr="00D7146C">
        <w:t xml:space="preserve">People Share </w:t>
      </w:r>
      <w:r>
        <w:t>would be</w:t>
      </w:r>
      <w:r w:rsidR="00A37D53" w:rsidRPr="00D7146C">
        <w:t xml:space="preserve"> measured by looking at the total use of hospital services by each hospital patient in Maryland and determining where the individual received the </w:t>
      </w:r>
      <w:r w:rsidR="00A37D53" w:rsidRPr="00D7146C">
        <w:rPr>
          <w:b/>
          <w:bCs/>
          <w:u w:val="single"/>
        </w:rPr>
        <w:t>plurality</w:t>
      </w:r>
      <w:r w:rsidR="00A37D53" w:rsidRPr="00D7146C">
        <w:t xml:space="preserve"> of their hospital services.  That hospital would get credit for having been chosen by that individual.  The aggregation of the choices of people primarily using </w:t>
      </w:r>
      <w:r w:rsidR="00343F5E">
        <w:t>a</w:t>
      </w:r>
      <w:r w:rsidR="00A37D53" w:rsidRPr="00D7146C">
        <w:t xml:space="preserve"> specific hospital </w:t>
      </w:r>
      <w:r>
        <w:t>versus</w:t>
      </w:r>
      <w:r w:rsidR="00A37D53" w:rsidRPr="00D7146C">
        <w:t xml:space="preserve"> the number of residents (within an age</w:t>
      </w:r>
      <w:r w:rsidR="00343F5E">
        <w:t>/</w:t>
      </w:r>
      <w:r w:rsidR="00A37D53" w:rsidRPr="00D7146C">
        <w:t xml:space="preserve">zip cohort) who chose to use any Maryland hospital this year would be </w:t>
      </w:r>
      <w:r w:rsidR="00343F5E">
        <w:t>that hospital's</w:t>
      </w:r>
      <w:r w:rsidR="00A37D53" w:rsidRPr="00D7146C">
        <w:t xml:space="preserve"> “People Share.”  </w:t>
      </w:r>
      <w:r w:rsidR="006C6206">
        <w:t xml:space="preserve">That is, the hospital’s allocated share of patients as a percentage of the total number of individuals receiving </w:t>
      </w:r>
      <w:r w:rsidR="00F64008">
        <w:t xml:space="preserve">hospital </w:t>
      </w:r>
      <w:r w:rsidR="006C6206">
        <w:t>care would determine its People Share.</w:t>
      </w:r>
    </w:p>
    <w:p w:rsidR="008C5D80" w:rsidRDefault="00195F68" w:rsidP="004A7CB7">
      <w:pPr>
        <w:spacing w:line="480" w:lineRule="auto"/>
        <w:ind w:firstLine="720"/>
      </w:pPr>
      <w:r>
        <w:t xml:space="preserve">The determination of plurality of service would be based on </w:t>
      </w:r>
      <w:r w:rsidR="002A3E28">
        <w:t xml:space="preserve">CMAEDs.  </w:t>
      </w:r>
      <w:r w:rsidR="008C5D80" w:rsidRPr="008F0242">
        <w:t xml:space="preserve">Using case weighted </w:t>
      </w:r>
      <w:r w:rsidR="003957CF">
        <w:t>case mix adjusted equivalent discharges (</w:t>
      </w:r>
      <w:r w:rsidR="008C5D80" w:rsidRPr="008F0242">
        <w:t>CMAEDs</w:t>
      </w:r>
      <w:r w:rsidR="003957CF">
        <w:t>)</w:t>
      </w:r>
      <w:r w:rsidR="008C5D80" w:rsidRPr="008F0242">
        <w:t xml:space="preserve"> to determine where the plurality of services were received </w:t>
      </w:r>
      <w:r w:rsidR="003957CF">
        <w:t xml:space="preserve">would </w:t>
      </w:r>
      <w:r w:rsidR="002B6E3B">
        <w:t>automatically correct for</w:t>
      </w:r>
      <w:r w:rsidR="008C5D80" w:rsidRPr="008F0242">
        <w:t xml:space="preserve"> pricing </w:t>
      </w:r>
      <w:r w:rsidR="002B6E3B">
        <w:t>variances among hospitals</w:t>
      </w:r>
      <w:r w:rsidR="002B6E3B" w:rsidRPr="008F0242">
        <w:t xml:space="preserve"> </w:t>
      </w:r>
      <w:r w:rsidR="008C5D80" w:rsidRPr="008F0242">
        <w:t xml:space="preserve">that </w:t>
      </w:r>
      <w:r w:rsidR="002B6E3B">
        <w:t>would be</w:t>
      </w:r>
      <w:r w:rsidR="002B6E3B" w:rsidRPr="008F0242">
        <w:t xml:space="preserve"> </w:t>
      </w:r>
      <w:r w:rsidR="008C5D80" w:rsidRPr="008F0242">
        <w:t xml:space="preserve">present if assignment is made on </w:t>
      </w:r>
      <w:r w:rsidR="008C5D80" w:rsidRPr="008F0242">
        <w:lastRenderedPageBreak/>
        <w:t xml:space="preserve">the basis of </w:t>
      </w:r>
      <w:r w:rsidR="002B6E3B">
        <w:t>charges</w:t>
      </w:r>
      <w:r w:rsidR="008C5D80" w:rsidRPr="008F0242">
        <w:t>.</w:t>
      </w:r>
      <w:r w:rsidR="006C6206">
        <w:t xml:space="preserve"> </w:t>
      </w:r>
      <w:r w:rsidR="00935052">
        <w:t>Because utilization is standardized for inpatient services based on diagnosis related groups for inpatient services, hospitals do not receive credit for relatively high use of services within an inpatient stay. T</w:t>
      </w:r>
      <w:r w:rsidR="008C5D80" w:rsidRPr="008F0242">
        <w:t xml:space="preserve">his approach aligns hospital incentives most closely with the State target (which is per capita-based) while </w:t>
      </w:r>
      <w:r w:rsidR="001551A7">
        <w:t xml:space="preserve">making it </w:t>
      </w:r>
      <w:r w:rsidR="002A3E28">
        <w:t>unwise to</w:t>
      </w:r>
      <w:r w:rsidR="008C5D80" w:rsidRPr="008F0242">
        <w:t xml:space="preserve"> provide a greater volume of services than might be necessary to any one individual in order to increase revenue.</w:t>
      </w:r>
      <w:r w:rsidR="002B79F9">
        <w:rPr>
          <w:rStyle w:val="FootnoteReference"/>
        </w:rPr>
        <w:footnoteReference w:id="3"/>
      </w:r>
      <w:r w:rsidR="002C0778">
        <w:t xml:space="preserve"> </w:t>
      </w:r>
    </w:p>
    <w:p w:rsidR="008C5D80" w:rsidRDefault="008C5D80" w:rsidP="008A777A">
      <w:pPr>
        <w:spacing w:line="480" w:lineRule="auto"/>
        <w:ind w:firstLine="720"/>
      </w:pPr>
      <w:r w:rsidRPr="008F0242">
        <w:t>The same methodology can be used for both market share adjustment of global budgets (in the near term) and for establishing the revenue targets for each hospital in future years</w:t>
      </w:r>
      <w:r w:rsidR="002C0778">
        <w:t xml:space="preserve"> on a risk</w:t>
      </w:r>
      <w:r w:rsidR="002C0778" w:rsidRPr="002C0778">
        <w:rPr>
          <w:color w:val="FF0000"/>
        </w:rPr>
        <w:t>-</w:t>
      </w:r>
      <w:r w:rsidR="00FA4AF2">
        <w:t>adjusted basis</w:t>
      </w:r>
      <w:r w:rsidRPr="008F0242">
        <w:t xml:space="preserve">. Having measured the people share as a percent of the users in each zip/age/sex (and possibly disease status) cohort, applying that percentage to the entire population (users and non-users) in that cohort and multiplying it by the per capita target figure for that cohort in the following year would provide a routine way of calculating the revenue target for any individual hospital. </w:t>
      </w:r>
    </w:p>
    <w:p w:rsidR="00AD2B48" w:rsidRDefault="00AD2B48" w:rsidP="008A777A">
      <w:pPr>
        <w:spacing w:line="480" w:lineRule="auto"/>
        <w:ind w:firstLine="720"/>
      </w:pPr>
    </w:p>
    <w:p w:rsidR="00D93842" w:rsidRDefault="00B10F65" w:rsidP="00F43B9B">
      <w:pPr>
        <w:pStyle w:val="Heading2"/>
      </w:pPr>
      <w:r>
        <w:t>Implementation</w:t>
      </w:r>
      <w:r w:rsidR="0092289F">
        <w:t xml:space="preserve">/Data Requirements </w:t>
      </w:r>
    </w:p>
    <w:p w:rsidR="00F43B9B" w:rsidRDefault="00F43B9B" w:rsidP="00424C98">
      <w:pPr>
        <w:numPr>
          <w:ilvl w:val="1"/>
          <w:numId w:val="10"/>
        </w:numPr>
        <w:spacing w:line="480" w:lineRule="auto"/>
      </w:pPr>
    </w:p>
    <w:p w:rsidR="006520A2" w:rsidRDefault="006A1C1E" w:rsidP="00424C98">
      <w:pPr>
        <w:numPr>
          <w:ilvl w:val="1"/>
          <w:numId w:val="10"/>
        </w:numPr>
        <w:spacing w:line="480" w:lineRule="auto"/>
      </w:pPr>
      <w:r>
        <w:t>Because People Share tracks individual hospital use, HSCRC databases alone cannot be used to construct a People Share measure. To perform this calculation, the HSCRC would use</w:t>
      </w:r>
      <w:r w:rsidR="006C0FA2" w:rsidRPr="006725ED">
        <w:t xml:space="preserve"> the CRISP </w:t>
      </w:r>
      <w:r w:rsidR="006520A2">
        <w:t xml:space="preserve">methodology for </w:t>
      </w:r>
      <w:r w:rsidR="001551A7">
        <w:t>i</w:t>
      </w:r>
      <w:r w:rsidR="0092289F">
        <w:t>n</w:t>
      </w:r>
      <w:r w:rsidR="001551A7">
        <w:t xml:space="preserve">dexing </w:t>
      </w:r>
      <w:r w:rsidR="006520A2">
        <w:t xml:space="preserve">individuals </w:t>
      </w:r>
      <w:r w:rsidR="001551A7">
        <w:t xml:space="preserve">with a common identifier </w:t>
      </w:r>
      <w:r w:rsidR="006520A2">
        <w:t xml:space="preserve">and then aggregating hospital use for each person.  </w:t>
      </w:r>
    </w:p>
    <w:p w:rsidR="006C0FA2" w:rsidRPr="006725ED" w:rsidRDefault="006520A2" w:rsidP="00B10F65">
      <w:pPr>
        <w:numPr>
          <w:ilvl w:val="1"/>
          <w:numId w:val="10"/>
        </w:numPr>
        <w:spacing w:line="480" w:lineRule="auto"/>
      </w:pPr>
      <w:r>
        <w:lastRenderedPageBreak/>
        <w:t xml:space="preserve">The </w:t>
      </w:r>
      <w:r w:rsidR="001551A7">
        <w:t xml:space="preserve">historical 2013 and 2014 </w:t>
      </w:r>
      <w:r>
        <w:t xml:space="preserve">CRISP </w:t>
      </w:r>
      <w:r w:rsidR="001551A7">
        <w:t xml:space="preserve">indexed abstract </w:t>
      </w:r>
      <w:r>
        <w:t xml:space="preserve">data can be used to evaluate the impact of People Share.  The HSCRC can use the CRISP </w:t>
      </w:r>
      <w:r w:rsidR="006C0FA2" w:rsidRPr="006725ED">
        <w:t xml:space="preserve">refined hospital data to compare </w:t>
      </w:r>
      <w:r w:rsidR="001551A7">
        <w:t xml:space="preserve">traditional </w:t>
      </w:r>
      <w:r w:rsidR="006C0FA2" w:rsidRPr="006725ED">
        <w:t xml:space="preserve">market share </w:t>
      </w:r>
      <w:r w:rsidR="001551A7">
        <w:t xml:space="preserve">computations throughout the state </w:t>
      </w:r>
      <w:r w:rsidR="006C0FA2" w:rsidRPr="006725ED">
        <w:t xml:space="preserve">with the refined approach suggested – calculating “people share” </w:t>
      </w:r>
      <w:r>
        <w:t xml:space="preserve">versus </w:t>
      </w:r>
      <w:r w:rsidR="006C0FA2" w:rsidRPr="006725ED">
        <w:t xml:space="preserve">traditional market share to </w:t>
      </w:r>
      <w:r w:rsidR="00B10F65">
        <w:t>evaluate</w:t>
      </w:r>
      <w:r w:rsidR="006C0FA2" w:rsidRPr="006725ED">
        <w:t xml:space="preserve"> </w:t>
      </w:r>
      <w:r w:rsidR="001551A7">
        <w:t xml:space="preserve">whether it </w:t>
      </w:r>
      <w:r w:rsidR="00D51611">
        <w:t>reward</w:t>
      </w:r>
      <w:r w:rsidR="002B6E3B">
        <w:t>s</w:t>
      </w:r>
      <w:r w:rsidR="00D51611">
        <w:t xml:space="preserve"> </w:t>
      </w:r>
      <w:r w:rsidR="002B6E3B">
        <w:t xml:space="preserve">appropriate </w:t>
      </w:r>
      <w:r w:rsidR="001551A7">
        <w:t>volume</w:t>
      </w:r>
      <w:r w:rsidR="00D51611">
        <w:t>.</w:t>
      </w:r>
      <w:r>
        <w:t xml:space="preserve">  </w:t>
      </w:r>
      <w:r w:rsidR="001551A7">
        <w:t xml:space="preserve">A valuable step in this process would be to look at whether the high performing hospitals in terms of utilization measures are rewarded more appropriately through </w:t>
      </w:r>
      <w:r w:rsidR="00C03698">
        <w:t>People Share</w:t>
      </w:r>
      <w:r w:rsidR="001551A7">
        <w:t xml:space="preserve"> or traditional market share calculations.  </w:t>
      </w:r>
      <w:r w:rsidR="00CF35A1">
        <w:t>To test this approach</w:t>
      </w:r>
      <w:r w:rsidR="00B10F65">
        <w:t>, a</w:t>
      </w:r>
      <w:r w:rsidR="006C0FA2" w:rsidRPr="006725ED">
        <w:t xml:space="preserve"> </w:t>
      </w:r>
      <w:r w:rsidR="00CF35A1">
        <w:t xml:space="preserve">statewide </w:t>
      </w:r>
      <w:r w:rsidR="006C0FA2" w:rsidRPr="006725ED">
        <w:t xml:space="preserve">“people share” base year of </w:t>
      </w:r>
      <w:r w:rsidR="00CF35A1" w:rsidRPr="006725ED">
        <w:t>2013</w:t>
      </w:r>
      <w:r w:rsidR="00CF35A1">
        <w:t xml:space="preserve"> and 2014 </w:t>
      </w:r>
      <w:r w:rsidR="006C0FA2" w:rsidRPr="006725ED">
        <w:t xml:space="preserve">should be </w:t>
      </w:r>
      <w:r w:rsidR="00CF35A1">
        <w:t>constructed and each individual hospital</w:t>
      </w:r>
      <w:r w:rsidR="00501000" w:rsidRPr="00501000">
        <w:rPr>
          <w:color w:val="FF0000"/>
        </w:rPr>
        <w:t>’</w:t>
      </w:r>
      <w:r w:rsidR="00CF35A1">
        <w:t>s</w:t>
      </w:r>
      <w:r w:rsidR="00501000">
        <w:t xml:space="preserve"> </w:t>
      </w:r>
      <w:r w:rsidR="00CF35A1">
        <w:t xml:space="preserve"> “people share” </w:t>
      </w:r>
      <w:r w:rsidR="006C0FA2" w:rsidRPr="006725ED">
        <w:t xml:space="preserve">computed for use in </w:t>
      </w:r>
      <w:r w:rsidR="00CF35A1">
        <w:t xml:space="preserve">evaluating how it would compare to traditional market share in computing </w:t>
      </w:r>
      <w:r w:rsidR="006C0FA2" w:rsidRPr="006725ED">
        <w:t xml:space="preserve">2015 </w:t>
      </w:r>
      <w:r w:rsidR="00CF35A1">
        <w:t>potential revenue</w:t>
      </w:r>
      <w:r w:rsidR="006C0FA2" w:rsidRPr="006725ED">
        <w:t xml:space="preserve"> movement</w:t>
      </w:r>
      <w:r w:rsidR="00B10F65">
        <w:t>.</w:t>
      </w:r>
    </w:p>
    <w:p w:rsidR="006C0FA2" w:rsidRPr="006725ED" w:rsidRDefault="006C0FA2" w:rsidP="006520A2">
      <w:pPr>
        <w:spacing w:line="480" w:lineRule="auto"/>
        <w:ind w:firstLine="720"/>
      </w:pPr>
      <w:r w:rsidRPr="006725ED">
        <w:t xml:space="preserve">The same calculation </w:t>
      </w:r>
      <w:r w:rsidR="00CF35A1">
        <w:t>c</w:t>
      </w:r>
      <w:r w:rsidR="00CF35A1" w:rsidRPr="006725ED">
        <w:t xml:space="preserve">ould </w:t>
      </w:r>
      <w:r w:rsidRPr="006725ED">
        <w:t xml:space="preserve">be used </w:t>
      </w:r>
      <w:r w:rsidR="00CF35A1">
        <w:t xml:space="preserve">additionally </w:t>
      </w:r>
      <w:r w:rsidRPr="006725ED">
        <w:t xml:space="preserve">to compute a theoretically assigned revenue target for 2015 for each institution if people share were used along with the </w:t>
      </w:r>
      <w:r w:rsidR="00CF35A1">
        <w:t xml:space="preserve">historical utilization of population cells, </w:t>
      </w:r>
      <w:r w:rsidRPr="006725ED">
        <w:t xml:space="preserve">allowable </w:t>
      </w:r>
      <w:r w:rsidR="00CF35A1">
        <w:t xml:space="preserve">2015 </w:t>
      </w:r>
      <w:r w:rsidRPr="006725ED">
        <w:t xml:space="preserve">rate update and population adjustment to determine each hospital’s targeted revenue </w:t>
      </w:r>
      <w:r w:rsidR="00CF35A1">
        <w:t>if it were rolled forward from that hospitals</w:t>
      </w:r>
      <w:r w:rsidR="00CF35A1" w:rsidRPr="006725ED">
        <w:t xml:space="preserve"> </w:t>
      </w:r>
      <w:r w:rsidRPr="006725ED">
        <w:t>2014</w:t>
      </w:r>
      <w:r w:rsidR="00CF35A1">
        <w:t xml:space="preserve"> base</w:t>
      </w:r>
      <w:r w:rsidRPr="006725ED">
        <w:t xml:space="preserve">.   This would require calculation of the actual per capita service revenue from 2014 </w:t>
      </w:r>
      <w:r w:rsidR="00CF35A1" w:rsidRPr="006725ED">
        <w:t xml:space="preserve">in each age/sex/zip cohort </w:t>
      </w:r>
      <w:r w:rsidR="00CF35A1">
        <w:t xml:space="preserve">as the base from which </w:t>
      </w:r>
      <w:r w:rsidRPr="006725ED">
        <w:t>to establish the expected per capita expenditure per person for 2015</w:t>
      </w:r>
      <w:r w:rsidR="00BB011B">
        <w:t>.</w:t>
      </w:r>
    </w:p>
    <w:p w:rsidR="006C0FA2" w:rsidRPr="006725ED" w:rsidRDefault="006C0FA2" w:rsidP="00424C98">
      <w:pPr>
        <w:numPr>
          <w:ilvl w:val="1"/>
          <w:numId w:val="10"/>
        </w:numPr>
        <w:spacing w:line="480" w:lineRule="auto"/>
      </w:pPr>
      <w:r w:rsidRPr="006725ED">
        <w:t xml:space="preserve">The computed “available” revenue per capita within cohort should be aggregated for each hospital and that “allowed allocation” compared with the existing allocation to see if the formula above </w:t>
      </w:r>
      <w:r w:rsidR="00CF35A1">
        <w:t xml:space="preserve">would </w:t>
      </w:r>
      <w:r w:rsidRPr="006725ED">
        <w:t xml:space="preserve">result in logical movement of </w:t>
      </w:r>
      <w:r w:rsidR="00CF35A1">
        <w:t xml:space="preserve">the available </w:t>
      </w:r>
      <w:r w:rsidRPr="006725ED">
        <w:t>revenue among hospitals.</w:t>
      </w:r>
    </w:p>
    <w:p w:rsidR="006C0FA2" w:rsidRPr="006725ED" w:rsidRDefault="006C0FA2" w:rsidP="00424C98">
      <w:pPr>
        <w:numPr>
          <w:ilvl w:val="1"/>
          <w:numId w:val="10"/>
        </w:numPr>
        <w:spacing w:line="480" w:lineRule="auto"/>
      </w:pPr>
      <w:r w:rsidRPr="006725ED">
        <w:lastRenderedPageBreak/>
        <w:t>After doing this gross test</w:t>
      </w:r>
      <w:r w:rsidR="00BB011B">
        <w:t>,</w:t>
      </w:r>
      <w:r w:rsidRPr="006725ED">
        <w:t xml:space="preserve"> adjustments may still need to be made.  </w:t>
      </w:r>
      <w:r w:rsidR="00703BD1">
        <w:t xml:space="preserve">Adjustments for graduate medical </w:t>
      </w:r>
      <w:r w:rsidRPr="006725ED">
        <w:t xml:space="preserve">education and </w:t>
      </w:r>
      <w:r w:rsidR="00703BD1">
        <w:t xml:space="preserve">approved </w:t>
      </w:r>
      <w:r w:rsidRPr="006725ED">
        <w:t xml:space="preserve">capital </w:t>
      </w:r>
      <w:r w:rsidR="00703BD1">
        <w:t>projects</w:t>
      </w:r>
      <w:r w:rsidRPr="006725ED">
        <w:t xml:space="preserve"> would </w:t>
      </w:r>
      <w:r w:rsidR="00703BD1">
        <w:t xml:space="preserve">need to be considered.  Other possible adjustments may need to be made for </w:t>
      </w:r>
      <w:r w:rsidRPr="006725ED">
        <w:t>“excluded services” to be separately accounted for within the base as well as the rate year</w:t>
      </w:r>
      <w:r w:rsidR="00C03698">
        <w:t>.  These adjustments might include the possibility of carving out</w:t>
      </w:r>
      <w:r w:rsidRPr="006725ED">
        <w:t xml:space="preserve"> “traveler revenues” for patients who are using hospitals “out of area” whether by geographic accident (twisted ankle or heart attack at the shore) or by plan (actively choosing a particular distant hospital to provide a specialty service </w:t>
      </w:r>
      <w:r w:rsidR="00AB05D7">
        <w:t>-</w:t>
      </w:r>
      <w:r w:rsidRPr="006725ED">
        <w:t>organ transplant or CABG)</w:t>
      </w:r>
      <w:r w:rsidR="00BB011B">
        <w:t>.</w:t>
      </w:r>
      <w:r w:rsidR="00501000">
        <w:t xml:space="preserve"> </w:t>
      </w:r>
    </w:p>
    <w:p w:rsidR="006C0FA2" w:rsidRPr="006725ED" w:rsidRDefault="004B0F1B" w:rsidP="00424C98">
      <w:pPr>
        <w:numPr>
          <w:ilvl w:val="1"/>
          <w:numId w:val="10"/>
        </w:numPr>
        <w:spacing w:line="480" w:lineRule="auto"/>
      </w:pPr>
      <w:r>
        <w:t>R</w:t>
      </w:r>
      <w:r w:rsidR="006C0FA2" w:rsidRPr="006725ED">
        <w:t>efinement</w:t>
      </w:r>
      <w:r w:rsidR="002B6E3B">
        <w:t xml:space="preserve">s such as those above </w:t>
      </w:r>
      <w:r w:rsidR="006C0FA2" w:rsidRPr="006725ED">
        <w:t xml:space="preserve">may be merited but should be guided by data demonstrating the need for additional adjustments after </w:t>
      </w:r>
      <w:r w:rsidR="00703BD1">
        <w:t xml:space="preserve">a </w:t>
      </w:r>
      <w:r w:rsidR="002B6E3B">
        <w:t xml:space="preserve">base </w:t>
      </w:r>
      <w:r w:rsidR="00703BD1">
        <w:t>model has been established</w:t>
      </w:r>
      <w:r w:rsidR="006C0FA2" w:rsidRPr="006725ED">
        <w:t xml:space="preserve"> rather than </w:t>
      </w:r>
      <w:r w:rsidR="00CF35A1">
        <w:t xml:space="preserve">by </w:t>
      </w:r>
      <w:r w:rsidR="006C0FA2" w:rsidRPr="006725ED">
        <w:t xml:space="preserve">speculation about what services or patients </w:t>
      </w:r>
      <w:r w:rsidR="002B6E3B">
        <w:t>shoul</w:t>
      </w:r>
      <w:r w:rsidR="002B6E3B" w:rsidRPr="006725ED">
        <w:t xml:space="preserve">d </w:t>
      </w:r>
      <w:r w:rsidR="006C0FA2" w:rsidRPr="006725ED">
        <w:t>be treated differently in order to produce a logical distribution of revenue</w:t>
      </w:r>
      <w:r w:rsidR="00703BD1">
        <w:t>.</w:t>
      </w:r>
    </w:p>
    <w:p w:rsidR="00BC63B3" w:rsidRDefault="004B0F1B" w:rsidP="00BC63B3">
      <w:pPr>
        <w:pStyle w:val="Heading2"/>
      </w:pPr>
      <w:r>
        <w:t>Conclusion</w:t>
      </w:r>
    </w:p>
    <w:p w:rsidR="00BC63B3" w:rsidRDefault="00BC63B3" w:rsidP="00BC63B3">
      <w:pPr>
        <w:spacing w:line="480" w:lineRule="auto"/>
      </w:pPr>
    </w:p>
    <w:p w:rsidR="006C0FA2" w:rsidRDefault="006C0FA2" w:rsidP="00BC63B3">
      <w:pPr>
        <w:spacing w:line="480" w:lineRule="auto"/>
        <w:ind w:firstLine="720"/>
      </w:pPr>
      <w:r w:rsidRPr="00D7146C">
        <w:t xml:space="preserve">Summing people’s individual </w:t>
      </w:r>
      <w:r w:rsidR="00CF35A1">
        <w:t xml:space="preserve">choices </w:t>
      </w:r>
      <w:r w:rsidRPr="00D7146C">
        <w:t xml:space="preserve">of hospital to provide their services rather than using the accumulated share of dollars spent </w:t>
      </w:r>
      <w:r w:rsidR="002B6E3B">
        <w:t xml:space="preserve">or services provided </w:t>
      </w:r>
      <w:r w:rsidRPr="00D7146C">
        <w:t>at a hospital retains the</w:t>
      </w:r>
      <w:r w:rsidR="00CF35A1">
        <w:t xml:space="preserve"> full</w:t>
      </w:r>
      <w:r w:rsidRPr="00D7146C">
        <w:t xml:space="preserve"> importance of </w:t>
      </w:r>
      <w:r w:rsidR="00CF35A1">
        <w:t xml:space="preserve">each individual </w:t>
      </w:r>
      <w:r w:rsidRPr="00D7146C">
        <w:t xml:space="preserve">patient choice (incenting superior patient experience and perceived quality) while </w:t>
      </w:r>
      <w:r w:rsidR="004B0F1B">
        <w:t xml:space="preserve">eliminating or </w:t>
      </w:r>
      <w:r w:rsidRPr="00D7146C">
        <w:t xml:space="preserve">minimizing </w:t>
      </w:r>
      <w:r w:rsidR="00CF35A1">
        <w:t xml:space="preserve">the </w:t>
      </w:r>
      <w:r w:rsidR="004B0F1B">
        <w:t xml:space="preserve">advantage of </w:t>
      </w:r>
      <w:r w:rsidRPr="00D7146C">
        <w:t>providing a greater volume of services to any individual patient.</w:t>
      </w:r>
      <w:r w:rsidR="00BC63B3">
        <w:t xml:space="preserve"> </w:t>
      </w:r>
      <w:r w:rsidRPr="00D7146C">
        <w:t xml:space="preserve">In a system that allocates </w:t>
      </w:r>
      <w:r w:rsidR="00BC63B3">
        <w:t>revenue</w:t>
      </w:r>
      <w:r w:rsidRPr="00D7146C">
        <w:t xml:space="preserve"> by measuring each patient only once, the provision of additional services is much less likely to add revenue, but it will </w:t>
      </w:r>
      <w:r w:rsidR="00CF35A1">
        <w:t xml:space="preserve">certainly </w:t>
      </w:r>
      <w:r w:rsidRPr="00D7146C">
        <w:t xml:space="preserve">add cost.  This will set hospital incentives more in line with the objectives of the </w:t>
      </w:r>
      <w:r w:rsidR="00BC63B3">
        <w:t>demonstration model</w:t>
      </w:r>
      <w:r w:rsidRPr="00D7146C">
        <w:t xml:space="preserve"> – contain cost while improving quality and patient experience</w:t>
      </w:r>
      <w:r w:rsidR="00501000">
        <w:t xml:space="preserve"> </w:t>
      </w:r>
      <w:r w:rsidR="00501000">
        <w:lastRenderedPageBreak/>
        <w:t>without the necessity of pre</w:t>
      </w:r>
      <w:r w:rsidR="00501000" w:rsidRPr="00501000">
        <w:rPr>
          <w:color w:val="FF0000"/>
        </w:rPr>
        <w:t>-</w:t>
      </w:r>
      <w:r w:rsidR="00CF35A1">
        <w:t xml:space="preserve">deciding what level of “potentially” avoidable revenue </w:t>
      </w:r>
      <w:r w:rsidR="004B0F1B">
        <w:t>is</w:t>
      </w:r>
      <w:r w:rsidR="00CF35A1">
        <w:t xml:space="preserve"> easiest or most appropriate for elimination through regulation</w:t>
      </w:r>
      <w:r w:rsidRPr="00D7146C">
        <w:t>.</w:t>
      </w:r>
      <w:r w:rsidR="00CF35A1">
        <w:t xml:space="preserve">  Such incentive could be expected to promote greater cooperation among ins</w:t>
      </w:r>
      <w:r w:rsidR="00BC4DCC">
        <w:t>ti</w:t>
      </w:r>
      <w:r w:rsidR="00CF35A1">
        <w:t>tutions (and with the HSCRC) to change the utilization patterns that previously would have shown up as increased market share.</w:t>
      </w:r>
      <w:r w:rsidR="002B6E3B">
        <w:t xml:space="preserve">  The flexibility of the incentive may well result in various institutions investing in different approaches to reduce unnecessary services.  This should allow creativity that will be needed in order to achieve the aggressive revenue limits, and do so while </w:t>
      </w:r>
      <w:r w:rsidR="00CA0BCA">
        <w:t xml:space="preserve">automatically </w:t>
      </w:r>
      <w:r w:rsidR="002B6E3B">
        <w:t xml:space="preserve">maintaining </w:t>
      </w:r>
      <w:r w:rsidR="00CA0BCA">
        <w:t>absolute compliance with the overall statewide target.</w:t>
      </w:r>
    </w:p>
    <w:p w:rsidR="00346A79" w:rsidRPr="00D7146C" w:rsidRDefault="00346A79" w:rsidP="00BC63B3">
      <w:pPr>
        <w:spacing w:line="480" w:lineRule="auto"/>
        <w:ind w:firstLine="720"/>
      </w:pPr>
      <w:r>
        <w:t>The data exists to test this approach for accuracy and equity in the manner</w:t>
      </w:r>
      <w:r w:rsidR="006F5A81">
        <w:t xml:space="preserve"> </w:t>
      </w:r>
      <w:r>
        <w:t xml:space="preserve">described above.  We believe that needs to happen.  If that test produces our expected results (and preliminary </w:t>
      </w:r>
      <w:r w:rsidR="00CA0BCA">
        <w:t>statewide data analysis</w:t>
      </w:r>
      <w:r>
        <w:t xml:space="preserve"> show</w:t>
      </w:r>
      <w:r w:rsidR="00CA0BCA">
        <w:t>s that</w:t>
      </w:r>
      <w:r>
        <w:t xml:space="preserve"> "splitting" is not in fact prevalent and allocating users by hospital is likely easier than might be expected) we believe this approach would merit serious consideration for its ability to ensure compliance with Federal requirements, its outstanding alignment of incentives with the triple aim, and its simplicity.  We stand ready to work with the HSCRC on the testing and further discussion.</w:t>
      </w:r>
    </w:p>
    <w:sectPr w:rsidR="00346A79" w:rsidRPr="00D7146C" w:rsidSect="007A3E32">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7B2" w:rsidRDefault="002137B2" w:rsidP="004B2CCC">
      <w:r>
        <w:separator/>
      </w:r>
    </w:p>
  </w:endnote>
  <w:endnote w:type="continuationSeparator" w:id="0">
    <w:p w:rsidR="002137B2" w:rsidRDefault="002137B2" w:rsidP="004B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727002"/>
      <w:docPartObj>
        <w:docPartGallery w:val="Page Numbers (Bottom of Page)"/>
        <w:docPartUnique/>
      </w:docPartObj>
    </w:sdtPr>
    <w:sdtEndPr>
      <w:rPr>
        <w:color w:val="808080" w:themeColor="background1" w:themeShade="80"/>
        <w:spacing w:val="60"/>
      </w:rPr>
    </w:sdtEndPr>
    <w:sdtContent>
      <w:p w:rsidR="00AB05D7" w:rsidRDefault="00AB05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7D48">
          <w:rPr>
            <w:noProof/>
          </w:rPr>
          <w:t>16</w:t>
        </w:r>
        <w:r>
          <w:rPr>
            <w:noProof/>
          </w:rPr>
          <w:fldChar w:fldCharType="end"/>
        </w:r>
        <w:r>
          <w:t xml:space="preserve"> | </w:t>
        </w:r>
        <w:r>
          <w:rPr>
            <w:color w:val="808080" w:themeColor="background1" w:themeShade="80"/>
            <w:spacing w:val="60"/>
          </w:rPr>
          <w:t>Page</w:t>
        </w:r>
      </w:p>
    </w:sdtContent>
  </w:sdt>
  <w:p w:rsidR="00AB05D7" w:rsidRDefault="00AB0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7B2" w:rsidRDefault="002137B2" w:rsidP="004B2CCC">
      <w:r>
        <w:separator/>
      </w:r>
    </w:p>
  </w:footnote>
  <w:footnote w:type="continuationSeparator" w:id="0">
    <w:p w:rsidR="002137B2" w:rsidRDefault="002137B2" w:rsidP="004B2CCC">
      <w:r>
        <w:continuationSeparator/>
      </w:r>
    </w:p>
  </w:footnote>
  <w:footnote w:id="1">
    <w:p w:rsidR="00AB05D7" w:rsidRPr="002F0537" w:rsidRDefault="00AB05D7" w:rsidP="0016437B">
      <w:pPr>
        <w:rPr>
          <w:iCs/>
        </w:rPr>
      </w:pPr>
      <w:r>
        <w:rPr>
          <w:rStyle w:val="FootnoteReference"/>
        </w:rPr>
        <w:footnoteRef/>
      </w:r>
      <w:r>
        <w:t xml:space="preserve"> </w:t>
      </w:r>
      <w:r w:rsidRPr="002F0537">
        <w:rPr>
          <w:iCs/>
          <w:u w:val="single"/>
        </w:rPr>
        <w:t>Poss. Footnote</w:t>
      </w:r>
      <w:r w:rsidRPr="002F0537">
        <w:rPr>
          <w:iCs/>
        </w:rPr>
        <w:t xml:space="preserve">:  </w:t>
      </w:r>
      <w:r>
        <w:rPr>
          <w:iCs/>
        </w:rPr>
        <w:t>Over time i</w:t>
      </w:r>
      <w:r w:rsidRPr="002F0537">
        <w:rPr>
          <w:iCs/>
        </w:rPr>
        <w:t xml:space="preserve">n order to make people share most effective, consideration should be given to a new methodology for allocating education and long-term </w:t>
      </w:r>
      <w:r>
        <w:rPr>
          <w:iCs/>
        </w:rPr>
        <w:t xml:space="preserve">(capital) </w:t>
      </w:r>
      <w:r w:rsidRPr="002F0537">
        <w:rPr>
          <w:iCs/>
        </w:rPr>
        <w:t>funds</w:t>
      </w:r>
    </w:p>
    <w:p w:rsidR="00AB05D7" w:rsidRDefault="00AB05D7" w:rsidP="0016437B">
      <w:pPr>
        <w:pStyle w:val="FootnoteText"/>
      </w:pPr>
    </w:p>
  </w:footnote>
  <w:footnote w:id="2">
    <w:p w:rsidR="00AB05D7" w:rsidRDefault="00AB05D7">
      <w:pPr>
        <w:pStyle w:val="FootnoteText"/>
      </w:pPr>
      <w:r>
        <w:rPr>
          <w:rStyle w:val="FootnoteReference"/>
        </w:rPr>
        <w:footnoteRef/>
      </w:r>
      <w:r>
        <w:t xml:space="preserve"> The compliance corridor under the GBR arrangements establishes a compliance threshold of 0.5 percentage points, so the Commission could argue that the system’s exposure is 0.5 percentage points. This argument would presume that hospitals would generally attempt to hit the upper limit of the compliance corridor.</w:t>
      </w:r>
    </w:p>
  </w:footnote>
  <w:footnote w:id="3">
    <w:p w:rsidR="00AB05D7" w:rsidRDefault="00AB05D7">
      <w:pPr>
        <w:pStyle w:val="FootnoteText"/>
      </w:pPr>
      <w:r>
        <w:rPr>
          <w:rStyle w:val="FootnoteReference"/>
        </w:rPr>
        <w:footnoteRef/>
      </w:r>
      <w:r>
        <w:t xml:space="preserve"> </w:t>
      </w:r>
      <w:r w:rsidRPr="00ED69B8">
        <w:t>The above approach does not take into account the variance in efficiency that might exist within one institution</w:t>
      </w:r>
      <w:r w:rsidRPr="002C0778">
        <w:rPr>
          <w:color w:val="FF0000"/>
        </w:rPr>
        <w:t>’</w:t>
      </w:r>
      <w:r w:rsidRPr="00ED69B8">
        <w:t>s inpatient and outpatient services. This issue may require special consideration to refine the people share calculation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318D"/>
    <w:multiLevelType w:val="hybridMultilevel"/>
    <w:tmpl w:val="5AACE998"/>
    <w:lvl w:ilvl="0" w:tplc="1840D82E">
      <w:start w:val="1"/>
      <w:numFmt w:val="bullet"/>
      <w:lvlText w:val="•"/>
      <w:lvlJc w:val="left"/>
      <w:pPr>
        <w:tabs>
          <w:tab w:val="num" w:pos="720"/>
        </w:tabs>
        <w:ind w:left="720" w:hanging="360"/>
      </w:pPr>
      <w:rPr>
        <w:rFonts w:ascii="Arial" w:hAnsi="Arial" w:hint="default"/>
      </w:rPr>
    </w:lvl>
    <w:lvl w:ilvl="1" w:tplc="1BF86AA8" w:tentative="1">
      <w:start w:val="1"/>
      <w:numFmt w:val="bullet"/>
      <w:lvlText w:val="•"/>
      <w:lvlJc w:val="left"/>
      <w:pPr>
        <w:tabs>
          <w:tab w:val="num" w:pos="1440"/>
        </w:tabs>
        <w:ind w:left="1440" w:hanging="360"/>
      </w:pPr>
      <w:rPr>
        <w:rFonts w:ascii="Arial" w:hAnsi="Arial" w:hint="default"/>
      </w:rPr>
    </w:lvl>
    <w:lvl w:ilvl="2" w:tplc="115A31B6" w:tentative="1">
      <w:start w:val="1"/>
      <w:numFmt w:val="bullet"/>
      <w:lvlText w:val="•"/>
      <w:lvlJc w:val="left"/>
      <w:pPr>
        <w:tabs>
          <w:tab w:val="num" w:pos="2160"/>
        </w:tabs>
        <w:ind w:left="2160" w:hanging="360"/>
      </w:pPr>
      <w:rPr>
        <w:rFonts w:ascii="Arial" w:hAnsi="Arial" w:hint="default"/>
      </w:rPr>
    </w:lvl>
    <w:lvl w:ilvl="3" w:tplc="5D4A573A" w:tentative="1">
      <w:start w:val="1"/>
      <w:numFmt w:val="bullet"/>
      <w:lvlText w:val="•"/>
      <w:lvlJc w:val="left"/>
      <w:pPr>
        <w:tabs>
          <w:tab w:val="num" w:pos="2880"/>
        </w:tabs>
        <w:ind w:left="2880" w:hanging="360"/>
      </w:pPr>
      <w:rPr>
        <w:rFonts w:ascii="Arial" w:hAnsi="Arial" w:hint="default"/>
      </w:rPr>
    </w:lvl>
    <w:lvl w:ilvl="4" w:tplc="A3C8DE2E" w:tentative="1">
      <w:start w:val="1"/>
      <w:numFmt w:val="bullet"/>
      <w:lvlText w:val="•"/>
      <w:lvlJc w:val="left"/>
      <w:pPr>
        <w:tabs>
          <w:tab w:val="num" w:pos="3600"/>
        </w:tabs>
        <w:ind w:left="3600" w:hanging="360"/>
      </w:pPr>
      <w:rPr>
        <w:rFonts w:ascii="Arial" w:hAnsi="Arial" w:hint="default"/>
      </w:rPr>
    </w:lvl>
    <w:lvl w:ilvl="5" w:tplc="4AAAF348" w:tentative="1">
      <w:start w:val="1"/>
      <w:numFmt w:val="bullet"/>
      <w:lvlText w:val="•"/>
      <w:lvlJc w:val="left"/>
      <w:pPr>
        <w:tabs>
          <w:tab w:val="num" w:pos="4320"/>
        </w:tabs>
        <w:ind w:left="4320" w:hanging="360"/>
      </w:pPr>
      <w:rPr>
        <w:rFonts w:ascii="Arial" w:hAnsi="Arial" w:hint="default"/>
      </w:rPr>
    </w:lvl>
    <w:lvl w:ilvl="6" w:tplc="9C52A1DA" w:tentative="1">
      <w:start w:val="1"/>
      <w:numFmt w:val="bullet"/>
      <w:lvlText w:val="•"/>
      <w:lvlJc w:val="left"/>
      <w:pPr>
        <w:tabs>
          <w:tab w:val="num" w:pos="5040"/>
        </w:tabs>
        <w:ind w:left="5040" w:hanging="360"/>
      </w:pPr>
      <w:rPr>
        <w:rFonts w:ascii="Arial" w:hAnsi="Arial" w:hint="default"/>
      </w:rPr>
    </w:lvl>
    <w:lvl w:ilvl="7" w:tplc="A7026186" w:tentative="1">
      <w:start w:val="1"/>
      <w:numFmt w:val="bullet"/>
      <w:lvlText w:val="•"/>
      <w:lvlJc w:val="left"/>
      <w:pPr>
        <w:tabs>
          <w:tab w:val="num" w:pos="5760"/>
        </w:tabs>
        <w:ind w:left="5760" w:hanging="360"/>
      </w:pPr>
      <w:rPr>
        <w:rFonts w:ascii="Arial" w:hAnsi="Arial" w:hint="default"/>
      </w:rPr>
    </w:lvl>
    <w:lvl w:ilvl="8" w:tplc="C046F47A" w:tentative="1">
      <w:start w:val="1"/>
      <w:numFmt w:val="bullet"/>
      <w:lvlText w:val="•"/>
      <w:lvlJc w:val="left"/>
      <w:pPr>
        <w:tabs>
          <w:tab w:val="num" w:pos="6480"/>
        </w:tabs>
        <w:ind w:left="6480" w:hanging="360"/>
      </w:pPr>
      <w:rPr>
        <w:rFonts w:ascii="Arial" w:hAnsi="Arial" w:hint="default"/>
      </w:rPr>
    </w:lvl>
  </w:abstractNum>
  <w:abstractNum w:abstractNumId="1">
    <w:nsid w:val="0930342C"/>
    <w:multiLevelType w:val="hybridMultilevel"/>
    <w:tmpl w:val="5936C1C8"/>
    <w:lvl w:ilvl="0" w:tplc="96024E52">
      <w:start w:val="1"/>
      <w:numFmt w:val="bullet"/>
      <w:lvlText w:val="•"/>
      <w:lvlJc w:val="left"/>
      <w:pPr>
        <w:tabs>
          <w:tab w:val="num" w:pos="720"/>
        </w:tabs>
        <w:ind w:left="720" w:hanging="360"/>
      </w:pPr>
      <w:rPr>
        <w:rFonts w:ascii="Arial" w:hAnsi="Arial" w:hint="default"/>
      </w:rPr>
    </w:lvl>
    <w:lvl w:ilvl="1" w:tplc="1034F988" w:tentative="1">
      <w:start w:val="1"/>
      <w:numFmt w:val="bullet"/>
      <w:lvlText w:val="•"/>
      <w:lvlJc w:val="left"/>
      <w:pPr>
        <w:tabs>
          <w:tab w:val="num" w:pos="1440"/>
        </w:tabs>
        <w:ind w:left="1440" w:hanging="360"/>
      </w:pPr>
      <w:rPr>
        <w:rFonts w:ascii="Arial" w:hAnsi="Arial" w:hint="default"/>
      </w:rPr>
    </w:lvl>
    <w:lvl w:ilvl="2" w:tplc="75BE8AB6" w:tentative="1">
      <w:start w:val="1"/>
      <w:numFmt w:val="bullet"/>
      <w:lvlText w:val="•"/>
      <w:lvlJc w:val="left"/>
      <w:pPr>
        <w:tabs>
          <w:tab w:val="num" w:pos="2160"/>
        </w:tabs>
        <w:ind w:left="2160" w:hanging="360"/>
      </w:pPr>
      <w:rPr>
        <w:rFonts w:ascii="Arial" w:hAnsi="Arial" w:hint="default"/>
      </w:rPr>
    </w:lvl>
    <w:lvl w:ilvl="3" w:tplc="D17E681E" w:tentative="1">
      <w:start w:val="1"/>
      <w:numFmt w:val="bullet"/>
      <w:lvlText w:val="•"/>
      <w:lvlJc w:val="left"/>
      <w:pPr>
        <w:tabs>
          <w:tab w:val="num" w:pos="2880"/>
        </w:tabs>
        <w:ind w:left="2880" w:hanging="360"/>
      </w:pPr>
      <w:rPr>
        <w:rFonts w:ascii="Arial" w:hAnsi="Arial" w:hint="default"/>
      </w:rPr>
    </w:lvl>
    <w:lvl w:ilvl="4" w:tplc="CD6643C6" w:tentative="1">
      <w:start w:val="1"/>
      <w:numFmt w:val="bullet"/>
      <w:lvlText w:val="•"/>
      <w:lvlJc w:val="left"/>
      <w:pPr>
        <w:tabs>
          <w:tab w:val="num" w:pos="3600"/>
        </w:tabs>
        <w:ind w:left="3600" w:hanging="360"/>
      </w:pPr>
      <w:rPr>
        <w:rFonts w:ascii="Arial" w:hAnsi="Arial" w:hint="default"/>
      </w:rPr>
    </w:lvl>
    <w:lvl w:ilvl="5" w:tplc="77DC9282" w:tentative="1">
      <w:start w:val="1"/>
      <w:numFmt w:val="bullet"/>
      <w:lvlText w:val="•"/>
      <w:lvlJc w:val="left"/>
      <w:pPr>
        <w:tabs>
          <w:tab w:val="num" w:pos="4320"/>
        </w:tabs>
        <w:ind w:left="4320" w:hanging="360"/>
      </w:pPr>
      <w:rPr>
        <w:rFonts w:ascii="Arial" w:hAnsi="Arial" w:hint="default"/>
      </w:rPr>
    </w:lvl>
    <w:lvl w:ilvl="6" w:tplc="0FBC097C" w:tentative="1">
      <w:start w:val="1"/>
      <w:numFmt w:val="bullet"/>
      <w:lvlText w:val="•"/>
      <w:lvlJc w:val="left"/>
      <w:pPr>
        <w:tabs>
          <w:tab w:val="num" w:pos="5040"/>
        </w:tabs>
        <w:ind w:left="5040" w:hanging="360"/>
      </w:pPr>
      <w:rPr>
        <w:rFonts w:ascii="Arial" w:hAnsi="Arial" w:hint="default"/>
      </w:rPr>
    </w:lvl>
    <w:lvl w:ilvl="7" w:tplc="2FD09666" w:tentative="1">
      <w:start w:val="1"/>
      <w:numFmt w:val="bullet"/>
      <w:lvlText w:val="•"/>
      <w:lvlJc w:val="left"/>
      <w:pPr>
        <w:tabs>
          <w:tab w:val="num" w:pos="5760"/>
        </w:tabs>
        <w:ind w:left="5760" w:hanging="360"/>
      </w:pPr>
      <w:rPr>
        <w:rFonts w:ascii="Arial" w:hAnsi="Arial" w:hint="default"/>
      </w:rPr>
    </w:lvl>
    <w:lvl w:ilvl="8" w:tplc="38383A48" w:tentative="1">
      <w:start w:val="1"/>
      <w:numFmt w:val="bullet"/>
      <w:lvlText w:val="•"/>
      <w:lvlJc w:val="left"/>
      <w:pPr>
        <w:tabs>
          <w:tab w:val="num" w:pos="6480"/>
        </w:tabs>
        <w:ind w:left="6480" w:hanging="360"/>
      </w:pPr>
      <w:rPr>
        <w:rFonts w:ascii="Arial" w:hAnsi="Arial" w:hint="default"/>
      </w:rPr>
    </w:lvl>
  </w:abstractNum>
  <w:abstractNum w:abstractNumId="2">
    <w:nsid w:val="0BD23631"/>
    <w:multiLevelType w:val="hybridMultilevel"/>
    <w:tmpl w:val="A7E6C70E"/>
    <w:lvl w:ilvl="0" w:tplc="0C16220C">
      <w:start w:val="1"/>
      <w:numFmt w:val="bullet"/>
      <w:lvlText w:val="•"/>
      <w:lvlJc w:val="left"/>
      <w:pPr>
        <w:tabs>
          <w:tab w:val="num" w:pos="720"/>
        </w:tabs>
        <w:ind w:left="720" w:hanging="360"/>
      </w:pPr>
      <w:rPr>
        <w:rFonts w:ascii="Arial" w:hAnsi="Arial" w:hint="default"/>
      </w:rPr>
    </w:lvl>
    <w:lvl w:ilvl="1" w:tplc="99B669A6">
      <w:numFmt w:val="none"/>
      <w:lvlText w:val=""/>
      <w:lvlJc w:val="left"/>
      <w:pPr>
        <w:tabs>
          <w:tab w:val="num" w:pos="360"/>
        </w:tabs>
      </w:pPr>
    </w:lvl>
    <w:lvl w:ilvl="2" w:tplc="6728C31E" w:tentative="1">
      <w:start w:val="1"/>
      <w:numFmt w:val="bullet"/>
      <w:lvlText w:val="•"/>
      <w:lvlJc w:val="left"/>
      <w:pPr>
        <w:tabs>
          <w:tab w:val="num" w:pos="2160"/>
        </w:tabs>
        <w:ind w:left="2160" w:hanging="360"/>
      </w:pPr>
      <w:rPr>
        <w:rFonts w:ascii="Arial" w:hAnsi="Arial" w:hint="default"/>
      </w:rPr>
    </w:lvl>
    <w:lvl w:ilvl="3" w:tplc="118C7220" w:tentative="1">
      <w:start w:val="1"/>
      <w:numFmt w:val="bullet"/>
      <w:lvlText w:val="•"/>
      <w:lvlJc w:val="left"/>
      <w:pPr>
        <w:tabs>
          <w:tab w:val="num" w:pos="2880"/>
        </w:tabs>
        <w:ind w:left="2880" w:hanging="360"/>
      </w:pPr>
      <w:rPr>
        <w:rFonts w:ascii="Arial" w:hAnsi="Arial" w:hint="default"/>
      </w:rPr>
    </w:lvl>
    <w:lvl w:ilvl="4" w:tplc="CB4002E2" w:tentative="1">
      <w:start w:val="1"/>
      <w:numFmt w:val="bullet"/>
      <w:lvlText w:val="•"/>
      <w:lvlJc w:val="left"/>
      <w:pPr>
        <w:tabs>
          <w:tab w:val="num" w:pos="3600"/>
        </w:tabs>
        <w:ind w:left="3600" w:hanging="360"/>
      </w:pPr>
      <w:rPr>
        <w:rFonts w:ascii="Arial" w:hAnsi="Arial" w:hint="default"/>
      </w:rPr>
    </w:lvl>
    <w:lvl w:ilvl="5" w:tplc="DDAC991E" w:tentative="1">
      <w:start w:val="1"/>
      <w:numFmt w:val="bullet"/>
      <w:lvlText w:val="•"/>
      <w:lvlJc w:val="left"/>
      <w:pPr>
        <w:tabs>
          <w:tab w:val="num" w:pos="4320"/>
        </w:tabs>
        <w:ind w:left="4320" w:hanging="360"/>
      </w:pPr>
      <w:rPr>
        <w:rFonts w:ascii="Arial" w:hAnsi="Arial" w:hint="default"/>
      </w:rPr>
    </w:lvl>
    <w:lvl w:ilvl="6" w:tplc="97B69F8C" w:tentative="1">
      <w:start w:val="1"/>
      <w:numFmt w:val="bullet"/>
      <w:lvlText w:val="•"/>
      <w:lvlJc w:val="left"/>
      <w:pPr>
        <w:tabs>
          <w:tab w:val="num" w:pos="5040"/>
        </w:tabs>
        <w:ind w:left="5040" w:hanging="360"/>
      </w:pPr>
      <w:rPr>
        <w:rFonts w:ascii="Arial" w:hAnsi="Arial" w:hint="default"/>
      </w:rPr>
    </w:lvl>
    <w:lvl w:ilvl="7" w:tplc="2E4A48E0" w:tentative="1">
      <w:start w:val="1"/>
      <w:numFmt w:val="bullet"/>
      <w:lvlText w:val="•"/>
      <w:lvlJc w:val="left"/>
      <w:pPr>
        <w:tabs>
          <w:tab w:val="num" w:pos="5760"/>
        </w:tabs>
        <w:ind w:left="5760" w:hanging="360"/>
      </w:pPr>
      <w:rPr>
        <w:rFonts w:ascii="Arial" w:hAnsi="Arial" w:hint="default"/>
      </w:rPr>
    </w:lvl>
    <w:lvl w:ilvl="8" w:tplc="29C0EE1A" w:tentative="1">
      <w:start w:val="1"/>
      <w:numFmt w:val="bullet"/>
      <w:lvlText w:val="•"/>
      <w:lvlJc w:val="left"/>
      <w:pPr>
        <w:tabs>
          <w:tab w:val="num" w:pos="6480"/>
        </w:tabs>
        <w:ind w:left="6480" w:hanging="360"/>
      </w:pPr>
      <w:rPr>
        <w:rFonts w:ascii="Arial" w:hAnsi="Arial" w:hint="default"/>
      </w:rPr>
    </w:lvl>
  </w:abstractNum>
  <w:abstractNum w:abstractNumId="3">
    <w:nsid w:val="211D04C7"/>
    <w:multiLevelType w:val="multilevel"/>
    <w:tmpl w:val="91C22E16"/>
    <w:lvl w:ilvl="0">
      <w:start w:val="2"/>
      <w:numFmt w:val="decimal"/>
      <w:lvlText w:val="%1."/>
      <w:lvlJc w:val="left"/>
      <w:pPr>
        <w:tabs>
          <w:tab w:val="num" w:pos="720"/>
        </w:tabs>
        <w:ind w:left="720" w:hanging="360"/>
      </w:pPr>
    </w:lvl>
    <w:lvl w:ilvl="1">
      <w:start w:val="1"/>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4">
    <w:nsid w:val="25EF01A1"/>
    <w:multiLevelType w:val="hybridMultilevel"/>
    <w:tmpl w:val="3A08BFC6"/>
    <w:lvl w:ilvl="0" w:tplc="BDE0B1F4">
      <w:start w:val="1"/>
      <w:numFmt w:val="bullet"/>
      <w:lvlText w:val="•"/>
      <w:lvlJc w:val="left"/>
      <w:pPr>
        <w:tabs>
          <w:tab w:val="num" w:pos="720"/>
        </w:tabs>
        <w:ind w:left="720" w:hanging="360"/>
      </w:pPr>
      <w:rPr>
        <w:rFonts w:ascii="Arial" w:hAnsi="Arial" w:hint="default"/>
      </w:rPr>
    </w:lvl>
    <w:lvl w:ilvl="1" w:tplc="60FE5ACA" w:tentative="1">
      <w:start w:val="1"/>
      <w:numFmt w:val="bullet"/>
      <w:lvlText w:val="•"/>
      <w:lvlJc w:val="left"/>
      <w:pPr>
        <w:tabs>
          <w:tab w:val="num" w:pos="1440"/>
        </w:tabs>
        <w:ind w:left="1440" w:hanging="360"/>
      </w:pPr>
      <w:rPr>
        <w:rFonts w:ascii="Arial" w:hAnsi="Arial" w:hint="default"/>
      </w:rPr>
    </w:lvl>
    <w:lvl w:ilvl="2" w:tplc="909AD7D6" w:tentative="1">
      <w:start w:val="1"/>
      <w:numFmt w:val="bullet"/>
      <w:lvlText w:val="•"/>
      <w:lvlJc w:val="left"/>
      <w:pPr>
        <w:tabs>
          <w:tab w:val="num" w:pos="2160"/>
        </w:tabs>
        <w:ind w:left="2160" w:hanging="360"/>
      </w:pPr>
      <w:rPr>
        <w:rFonts w:ascii="Arial" w:hAnsi="Arial" w:hint="default"/>
      </w:rPr>
    </w:lvl>
    <w:lvl w:ilvl="3" w:tplc="EAA44184" w:tentative="1">
      <w:start w:val="1"/>
      <w:numFmt w:val="bullet"/>
      <w:lvlText w:val="•"/>
      <w:lvlJc w:val="left"/>
      <w:pPr>
        <w:tabs>
          <w:tab w:val="num" w:pos="2880"/>
        </w:tabs>
        <w:ind w:left="2880" w:hanging="360"/>
      </w:pPr>
      <w:rPr>
        <w:rFonts w:ascii="Arial" w:hAnsi="Arial" w:hint="default"/>
      </w:rPr>
    </w:lvl>
    <w:lvl w:ilvl="4" w:tplc="D1A685A2" w:tentative="1">
      <w:start w:val="1"/>
      <w:numFmt w:val="bullet"/>
      <w:lvlText w:val="•"/>
      <w:lvlJc w:val="left"/>
      <w:pPr>
        <w:tabs>
          <w:tab w:val="num" w:pos="3600"/>
        </w:tabs>
        <w:ind w:left="3600" w:hanging="360"/>
      </w:pPr>
      <w:rPr>
        <w:rFonts w:ascii="Arial" w:hAnsi="Arial" w:hint="default"/>
      </w:rPr>
    </w:lvl>
    <w:lvl w:ilvl="5" w:tplc="3B802C68" w:tentative="1">
      <w:start w:val="1"/>
      <w:numFmt w:val="bullet"/>
      <w:lvlText w:val="•"/>
      <w:lvlJc w:val="left"/>
      <w:pPr>
        <w:tabs>
          <w:tab w:val="num" w:pos="4320"/>
        </w:tabs>
        <w:ind w:left="4320" w:hanging="360"/>
      </w:pPr>
      <w:rPr>
        <w:rFonts w:ascii="Arial" w:hAnsi="Arial" w:hint="default"/>
      </w:rPr>
    </w:lvl>
    <w:lvl w:ilvl="6" w:tplc="EB12D24C" w:tentative="1">
      <w:start w:val="1"/>
      <w:numFmt w:val="bullet"/>
      <w:lvlText w:val="•"/>
      <w:lvlJc w:val="left"/>
      <w:pPr>
        <w:tabs>
          <w:tab w:val="num" w:pos="5040"/>
        </w:tabs>
        <w:ind w:left="5040" w:hanging="360"/>
      </w:pPr>
      <w:rPr>
        <w:rFonts w:ascii="Arial" w:hAnsi="Arial" w:hint="default"/>
      </w:rPr>
    </w:lvl>
    <w:lvl w:ilvl="7" w:tplc="38EC2D8E" w:tentative="1">
      <w:start w:val="1"/>
      <w:numFmt w:val="bullet"/>
      <w:lvlText w:val="•"/>
      <w:lvlJc w:val="left"/>
      <w:pPr>
        <w:tabs>
          <w:tab w:val="num" w:pos="5760"/>
        </w:tabs>
        <w:ind w:left="5760" w:hanging="360"/>
      </w:pPr>
      <w:rPr>
        <w:rFonts w:ascii="Arial" w:hAnsi="Arial" w:hint="default"/>
      </w:rPr>
    </w:lvl>
    <w:lvl w:ilvl="8" w:tplc="0CA8081A" w:tentative="1">
      <w:start w:val="1"/>
      <w:numFmt w:val="bullet"/>
      <w:lvlText w:val="•"/>
      <w:lvlJc w:val="left"/>
      <w:pPr>
        <w:tabs>
          <w:tab w:val="num" w:pos="6480"/>
        </w:tabs>
        <w:ind w:left="6480" w:hanging="360"/>
      </w:pPr>
      <w:rPr>
        <w:rFonts w:ascii="Arial" w:hAnsi="Arial" w:hint="default"/>
      </w:rPr>
    </w:lvl>
  </w:abstractNum>
  <w:abstractNum w:abstractNumId="5">
    <w:nsid w:val="35566E97"/>
    <w:multiLevelType w:val="hybridMultilevel"/>
    <w:tmpl w:val="20ACC16A"/>
    <w:lvl w:ilvl="0" w:tplc="86308568">
      <w:start w:val="1"/>
      <w:numFmt w:val="bullet"/>
      <w:lvlText w:val="•"/>
      <w:lvlJc w:val="left"/>
      <w:pPr>
        <w:tabs>
          <w:tab w:val="num" w:pos="720"/>
        </w:tabs>
        <w:ind w:left="720" w:hanging="360"/>
      </w:pPr>
      <w:rPr>
        <w:rFonts w:ascii="Arial" w:hAnsi="Arial" w:hint="default"/>
      </w:rPr>
    </w:lvl>
    <w:lvl w:ilvl="1" w:tplc="5AB06A38">
      <w:numFmt w:val="none"/>
      <w:lvlText w:val=""/>
      <w:lvlJc w:val="left"/>
      <w:pPr>
        <w:tabs>
          <w:tab w:val="num" w:pos="360"/>
        </w:tabs>
      </w:pPr>
    </w:lvl>
    <w:lvl w:ilvl="2" w:tplc="5F3007D6" w:tentative="1">
      <w:start w:val="1"/>
      <w:numFmt w:val="bullet"/>
      <w:lvlText w:val="•"/>
      <w:lvlJc w:val="left"/>
      <w:pPr>
        <w:tabs>
          <w:tab w:val="num" w:pos="2160"/>
        </w:tabs>
        <w:ind w:left="2160" w:hanging="360"/>
      </w:pPr>
      <w:rPr>
        <w:rFonts w:ascii="Arial" w:hAnsi="Arial" w:hint="default"/>
      </w:rPr>
    </w:lvl>
    <w:lvl w:ilvl="3" w:tplc="17F21460" w:tentative="1">
      <w:start w:val="1"/>
      <w:numFmt w:val="bullet"/>
      <w:lvlText w:val="•"/>
      <w:lvlJc w:val="left"/>
      <w:pPr>
        <w:tabs>
          <w:tab w:val="num" w:pos="2880"/>
        </w:tabs>
        <w:ind w:left="2880" w:hanging="360"/>
      </w:pPr>
      <w:rPr>
        <w:rFonts w:ascii="Arial" w:hAnsi="Arial" w:hint="default"/>
      </w:rPr>
    </w:lvl>
    <w:lvl w:ilvl="4" w:tplc="0D9C853A" w:tentative="1">
      <w:start w:val="1"/>
      <w:numFmt w:val="bullet"/>
      <w:lvlText w:val="•"/>
      <w:lvlJc w:val="left"/>
      <w:pPr>
        <w:tabs>
          <w:tab w:val="num" w:pos="3600"/>
        </w:tabs>
        <w:ind w:left="3600" w:hanging="360"/>
      </w:pPr>
      <w:rPr>
        <w:rFonts w:ascii="Arial" w:hAnsi="Arial" w:hint="default"/>
      </w:rPr>
    </w:lvl>
    <w:lvl w:ilvl="5" w:tplc="6EFC3260" w:tentative="1">
      <w:start w:val="1"/>
      <w:numFmt w:val="bullet"/>
      <w:lvlText w:val="•"/>
      <w:lvlJc w:val="left"/>
      <w:pPr>
        <w:tabs>
          <w:tab w:val="num" w:pos="4320"/>
        </w:tabs>
        <w:ind w:left="4320" w:hanging="360"/>
      </w:pPr>
      <w:rPr>
        <w:rFonts w:ascii="Arial" w:hAnsi="Arial" w:hint="default"/>
      </w:rPr>
    </w:lvl>
    <w:lvl w:ilvl="6" w:tplc="084CC12E" w:tentative="1">
      <w:start w:val="1"/>
      <w:numFmt w:val="bullet"/>
      <w:lvlText w:val="•"/>
      <w:lvlJc w:val="left"/>
      <w:pPr>
        <w:tabs>
          <w:tab w:val="num" w:pos="5040"/>
        </w:tabs>
        <w:ind w:left="5040" w:hanging="360"/>
      </w:pPr>
      <w:rPr>
        <w:rFonts w:ascii="Arial" w:hAnsi="Arial" w:hint="default"/>
      </w:rPr>
    </w:lvl>
    <w:lvl w:ilvl="7" w:tplc="AEFED81C" w:tentative="1">
      <w:start w:val="1"/>
      <w:numFmt w:val="bullet"/>
      <w:lvlText w:val="•"/>
      <w:lvlJc w:val="left"/>
      <w:pPr>
        <w:tabs>
          <w:tab w:val="num" w:pos="5760"/>
        </w:tabs>
        <w:ind w:left="5760" w:hanging="360"/>
      </w:pPr>
      <w:rPr>
        <w:rFonts w:ascii="Arial" w:hAnsi="Arial" w:hint="default"/>
      </w:rPr>
    </w:lvl>
    <w:lvl w:ilvl="8" w:tplc="490A6A3A" w:tentative="1">
      <w:start w:val="1"/>
      <w:numFmt w:val="bullet"/>
      <w:lvlText w:val="•"/>
      <w:lvlJc w:val="left"/>
      <w:pPr>
        <w:tabs>
          <w:tab w:val="num" w:pos="6480"/>
        </w:tabs>
        <w:ind w:left="6480" w:hanging="360"/>
      </w:pPr>
      <w:rPr>
        <w:rFonts w:ascii="Arial" w:hAnsi="Arial" w:hint="default"/>
      </w:rPr>
    </w:lvl>
  </w:abstractNum>
  <w:abstractNum w:abstractNumId="6">
    <w:nsid w:val="393B4056"/>
    <w:multiLevelType w:val="hybridMultilevel"/>
    <w:tmpl w:val="AC9EC64A"/>
    <w:lvl w:ilvl="0" w:tplc="B82039CC">
      <w:start w:val="1"/>
      <w:numFmt w:val="bullet"/>
      <w:lvlText w:val="•"/>
      <w:lvlJc w:val="left"/>
      <w:pPr>
        <w:tabs>
          <w:tab w:val="num" w:pos="720"/>
        </w:tabs>
        <w:ind w:left="720" w:hanging="360"/>
      </w:pPr>
      <w:rPr>
        <w:rFonts w:ascii="Arial" w:hAnsi="Arial" w:hint="default"/>
      </w:rPr>
    </w:lvl>
    <w:lvl w:ilvl="1" w:tplc="C6C05E64" w:tentative="1">
      <w:start w:val="1"/>
      <w:numFmt w:val="bullet"/>
      <w:lvlText w:val="•"/>
      <w:lvlJc w:val="left"/>
      <w:pPr>
        <w:tabs>
          <w:tab w:val="num" w:pos="1440"/>
        </w:tabs>
        <w:ind w:left="1440" w:hanging="360"/>
      </w:pPr>
      <w:rPr>
        <w:rFonts w:ascii="Arial" w:hAnsi="Arial" w:hint="default"/>
      </w:rPr>
    </w:lvl>
    <w:lvl w:ilvl="2" w:tplc="7ABE5132" w:tentative="1">
      <w:start w:val="1"/>
      <w:numFmt w:val="bullet"/>
      <w:lvlText w:val="•"/>
      <w:lvlJc w:val="left"/>
      <w:pPr>
        <w:tabs>
          <w:tab w:val="num" w:pos="2160"/>
        </w:tabs>
        <w:ind w:left="2160" w:hanging="360"/>
      </w:pPr>
      <w:rPr>
        <w:rFonts w:ascii="Arial" w:hAnsi="Arial" w:hint="default"/>
      </w:rPr>
    </w:lvl>
    <w:lvl w:ilvl="3" w:tplc="80666864" w:tentative="1">
      <w:start w:val="1"/>
      <w:numFmt w:val="bullet"/>
      <w:lvlText w:val="•"/>
      <w:lvlJc w:val="left"/>
      <w:pPr>
        <w:tabs>
          <w:tab w:val="num" w:pos="2880"/>
        </w:tabs>
        <w:ind w:left="2880" w:hanging="360"/>
      </w:pPr>
      <w:rPr>
        <w:rFonts w:ascii="Arial" w:hAnsi="Arial" w:hint="default"/>
      </w:rPr>
    </w:lvl>
    <w:lvl w:ilvl="4" w:tplc="24AA076E" w:tentative="1">
      <w:start w:val="1"/>
      <w:numFmt w:val="bullet"/>
      <w:lvlText w:val="•"/>
      <w:lvlJc w:val="left"/>
      <w:pPr>
        <w:tabs>
          <w:tab w:val="num" w:pos="3600"/>
        </w:tabs>
        <w:ind w:left="3600" w:hanging="360"/>
      </w:pPr>
      <w:rPr>
        <w:rFonts w:ascii="Arial" w:hAnsi="Arial" w:hint="default"/>
      </w:rPr>
    </w:lvl>
    <w:lvl w:ilvl="5" w:tplc="7F322CEE" w:tentative="1">
      <w:start w:val="1"/>
      <w:numFmt w:val="bullet"/>
      <w:lvlText w:val="•"/>
      <w:lvlJc w:val="left"/>
      <w:pPr>
        <w:tabs>
          <w:tab w:val="num" w:pos="4320"/>
        </w:tabs>
        <w:ind w:left="4320" w:hanging="360"/>
      </w:pPr>
      <w:rPr>
        <w:rFonts w:ascii="Arial" w:hAnsi="Arial" w:hint="default"/>
      </w:rPr>
    </w:lvl>
    <w:lvl w:ilvl="6" w:tplc="FA20363E" w:tentative="1">
      <w:start w:val="1"/>
      <w:numFmt w:val="bullet"/>
      <w:lvlText w:val="•"/>
      <w:lvlJc w:val="left"/>
      <w:pPr>
        <w:tabs>
          <w:tab w:val="num" w:pos="5040"/>
        </w:tabs>
        <w:ind w:left="5040" w:hanging="360"/>
      </w:pPr>
      <w:rPr>
        <w:rFonts w:ascii="Arial" w:hAnsi="Arial" w:hint="default"/>
      </w:rPr>
    </w:lvl>
    <w:lvl w:ilvl="7" w:tplc="304C597C" w:tentative="1">
      <w:start w:val="1"/>
      <w:numFmt w:val="bullet"/>
      <w:lvlText w:val="•"/>
      <w:lvlJc w:val="left"/>
      <w:pPr>
        <w:tabs>
          <w:tab w:val="num" w:pos="5760"/>
        </w:tabs>
        <w:ind w:left="5760" w:hanging="360"/>
      </w:pPr>
      <w:rPr>
        <w:rFonts w:ascii="Arial" w:hAnsi="Arial" w:hint="default"/>
      </w:rPr>
    </w:lvl>
    <w:lvl w:ilvl="8" w:tplc="75D4AFB0" w:tentative="1">
      <w:start w:val="1"/>
      <w:numFmt w:val="bullet"/>
      <w:lvlText w:val="•"/>
      <w:lvlJc w:val="left"/>
      <w:pPr>
        <w:tabs>
          <w:tab w:val="num" w:pos="6480"/>
        </w:tabs>
        <w:ind w:left="6480" w:hanging="360"/>
      </w:pPr>
      <w:rPr>
        <w:rFonts w:ascii="Arial" w:hAnsi="Arial" w:hint="default"/>
      </w:rPr>
    </w:lvl>
  </w:abstractNum>
  <w:abstractNum w:abstractNumId="7">
    <w:nsid w:val="3CB5391D"/>
    <w:multiLevelType w:val="hybridMultilevel"/>
    <w:tmpl w:val="780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83F23"/>
    <w:multiLevelType w:val="hybridMultilevel"/>
    <w:tmpl w:val="951E1346"/>
    <w:lvl w:ilvl="0" w:tplc="CB4CE19A">
      <w:start w:val="1"/>
      <w:numFmt w:val="bullet"/>
      <w:lvlText w:val="•"/>
      <w:lvlJc w:val="left"/>
      <w:pPr>
        <w:tabs>
          <w:tab w:val="num" w:pos="720"/>
        </w:tabs>
        <w:ind w:left="720" w:hanging="360"/>
      </w:pPr>
      <w:rPr>
        <w:rFonts w:ascii="Arial" w:hAnsi="Arial" w:hint="default"/>
      </w:rPr>
    </w:lvl>
    <w:lvl w:ilvl="1" w:tplc="8CF625F8">
      <w:numFmt w:val="none"/>
      <w:lvlText w:val=""/>
      <w:lvlJc w:val="left"/>
      <w:pPr>
        <w:tabs>
          <w:tab w:val="num" w:pos="360"/>
        </w:tabs>
      </w:pPr>
    </w:lvl>
    <w:lvl w:ilvl="2" w:tplc="08F27A36" w:tentative="1">
      <w:start w:val="1"/>
      <w:numFmt w:val="bullet"/>
      <w:lvlText w:val="•"/>
      <w:lvlJc w:val="left"/>
      <w:pPr>
        <w:tabs>
          <w:tab w:val="num" w:pos="2160"/>
        </w:tabs>
        <w:ind w:left="2160" w:hanging="360"/>
      </w:pPr>
      <w:rPr>
        <w:rFonts w:ascii="Arial" w:hAnsi="Arial" w:hint="default"/>
      </w:rPr>
    </w:lvl>
    <w:lvl w:ilvl="3" w:tplc="C560A558" w:tentative="1">
      <w:start w:val="1"/>
      <w:numFmt w:val="bullet"/>
      <w:lvlText w:val="•"/>
      <w:lvlJc w:val="left"/>
      <w:pPr>
        <w:tabs>
          <w:tab w:val="num" w:pos="2880"/>
        </w:tabs>
        <w:ind w:left="2880" w:hanging="360"/>
      </w:pPr>
      <w:rPr>
        <w:rFonts w:ascii="Arial" w:hAnsi="Arial" w:hint="default"/>
      </w:rPr>
    </w:lvl>
    <w:lvl w:ilvl="4" w:tplc="C3A29F06" w:tentative="1">
      <w:start w:val="1"/>
      <w:numFmt w:val="bullet"/>
      <w:lvlText w:val="•"/>
      <w:lvlJc w:val="left"/>
      <w:pPr>
        <w:tabs>
          <w:tab w:val="num" w:pos="3600"/>
        </w:tabs>
        <w:ind w:left="3600" w:hanging="360"/>
      </w:pPr>
      <w:rPr>
        <w:rFonts w:ascii="Arial" w:hAnsi="Arial" w:hint="default"/>
      </w:rPr>
    </w:lvl>
    <w:lvl w:ilvl="5" w:tplc="3510F74E" w:tentative="1">
      <w:start w:val="1"/>
      <w:numFmt w:val="bullet"/>
      <w:lvlText w:val="•"/>
      <w:lvlJc w:val="left"/>
      <w:pPr>
        <w:tabs>
          <w:tab w:val="num" w:pos="4320"/>
        </w:tabs>
        <w:ind w:left="4320" w:hanging="360"/>
      </w:pPr>
      <w:rPr>
        <w:rFonts w:ascii="Arial" w:hAnsi="Arial" w:hint="default"/>
      </w:rPr>
    </w:lvl>
    <w:lvl w:ilvl="6" w:tplc="383A56D8" w:tentative="1">
      <w:start w:val="1"/>
      <w:numFmt w:val="bullet"/>
      <w:lvlText w:val="•"/>
      <w:lvlJc w:val="left"/>
      <w:pPr>
        <w:tabs>
          <w:tab w:val="num" w:pos="5040"/>
        </w:tabs>
        <w:ind w:left="5040" w:hanging="360"/>
      </w:pPr>
      <w:rPr>
        <w:rFonts w:ascii="Arial" w:hAnsi="Arial" w:hint="default"/>
      </w:rPr>
    </w:lvl>
    <w:lvl w:ilvl="7" w:tplc="0DAA9092" w:tentative="1">
      <w:start w:val="1"/>
      <w:numFmt w:val="bullet"/>
      <w:lvlText w:val="•"/>
      <w:lvlJc w:val="left"/>
      <w:pPr>
        <w:tabs>
          <w:tab w:val="num" w:pos="5760"/>
        </w:tabs>
        <w:ind w:left="5760" w:hanging="360"/>
      </w:pPr>
      <w:rPr>
        <w:rFonts w:ascii="Arial" w:hAnsi="Arial" w:hint="default"/>
      </w:rPr>
    </w:lvl>
    <w:lvl w:ilvl="8" w:tplc="AD66CEEA" w:tentative="1">
      <w:start w:val="1"/>
      <w:numFmt w:val="bullet"/>
      <w:lvlText w:val="•"/>
      <w:lvlJc w:val="left"/>
      <w:pPr>
        <w:tabs>
          <w:tab w:val="num" w:pos="6480"/>
        </w:tabs>
        <w:ind w:left="6480" w:hanging="360"/>
      </w:pPr>
      <w:rPr>
        <w:rFonts w:ascii="Arial" w:hAnsi="Arial" w:hint="default"/>
      </w:rPr>
    </w:lvl>
  </w:abstractNum>
  <w:abstractNum w:abstractNumId="9">
    <w:nsid w:val="514F0F87"/>
    <w:multiLevelType w:val="hybridMultilevel"/>
    <w:tmpl w:val="C9BEF610"/>
    <w:lvl w:ilvl="0" w:tplc="561CEA6C">
      <w:start w:val="1"/>
      <w:numFmt w:val="bullet"/>
      <w:lvlText w:val="•"/>
      <w:lvlJc w:val="left"/>
      <w:pPr>
        <w:tabs>
          <w:tab w:val="num" w:pos="720"/>
        </w:tabs>
        <w:ind w:left="720" w:hanging="360"/>
      </w:pPr>
      <w:rPr>
        <w:rFonts w:ascii="Arial" w:hAnsi="Arial" w:hint="default"/>
      </w:rPr>
    </w:lvl>
    <w:lvl w:ilvl="1" w:tplc="B2D2CFE0" w:tentative="1">
      <w:start w:val="1"/>
      <w:numFmt w:val="bullet"/>
      <w:lvlText w:val="•"/>
      <w:lvlJc w:val="left"/>
      <w:pPr>
        <w:tabs>
          <w:tab w:val="num" w:pos="1440"/>
        </w:tabs>
        <w:ind w:left="1440" w:hanging="360"/>
      </w:pPr>
      <w:rPr>
        <w:rFonts w:ascii="Arial" w:hAnsi="Arial" w:hint="default"/>
      </w:rPr>
    </w:lvl>
    <w:lvl w:ilvl="2" w:tplc="6C4E5696" w:tentative="1">
      <w:start w:val="1"/>
      <w:numFmt w:val="bullet"/>
      <w:lvlText w:val="•"/>
      <w:lvlJc w:val="left"/>
      <w:pPr>
        <w:tabs>
          <w:tab w:val="num" w:pos="2160"/>
        </w:tabs>
        <w:ind w:left="2160" w:hanging="360"/>
      </w:pPr>
      <w:rPr>
        <w:rFonts w:ascii="Arial" w:hAnsi="Arial" w:hint="default"/>
      </w:rPr>
    </w:lvl>
    <w:lvl w:ilvl="3" w:tplc="5350ACE2" w:tentative="1">
      <w:start w:val="1"/>
      <w:numFmt w:val="bullet"/>
      <w:lvlText w:val="•"/>
      <w:lvlJc w:val="left"/>
      <w:pPr>
        <w:tabs>
          <w:tab w:val="num" w:pos="2880"/>
        </w:tabs>
        <w:ind w:left="2880" w:hanging="360"/>
      </w:pPr>
      <w:rPr>
        <w:rFonts w:ascii="Arial" w:hAnsi="Arial" w:hint="default"/>
      </w:rPr>
    </w:lvl>
    <w:lvl w:ilvl="4" w:tplc="0A98C74C" w:tentative="1">
      <w:start w:val="1"/>
      <w:numFmt w:val="bullet"/>
      <w:lvlText w:val="•"/>
      <w:lvlJc w:val="left"/>
      <w:pPr>
        <w:tabs>
          <w:tab w:val="num" w:pos="3600"/>
        </w:tabs>
        <w:ind w:left="3600" w:hanging="360"/>
      </w:pPr>
      <w:rPr>
        <w:rFonts w:ascii="Arial" w:hAnsi="Arial" w:hint="default"/>
      </w:rPr>
    </w:lvl>
    <w:lvl w:ilvl="5" w:tplc="4FCCA450" w:tentative="1">
      <w:start w:val="1"/>
      <w:numFmt w:val="bullet"/>
      <w:lvlText w:val="•"/>
      <w:lvlJc w:val="left"/>
      <w:pPr>
        <w:tabs>
          <w:tab w:val="num" w:pos="4320"/>
        </w:tabs>
        <w:ind w:left="4320" w:hanging="360"/>
      </w:pPr>
      <w:rPr>
        <w:rFonts w:ascii="Arial" w:hAnsi="Arial" w:hint="default"/>
      </w:rPr>
    </w:lvl>
    <w:lvl w:ilvl="6" w:tplc="2E608EA0" w:tentative="1">
      <w:start w:val="1"/>
      <w:numFmt w:val="bullet"/>
      <w:lvlText w:val="•"/>
      <w:lvlJc w:val="left"/>
      <w:pPr>
        <w:tabs>
          <w:tab w:val="num" w:pos="5040"/>
        </w:tabs>
        <w:ind w:left="5040" w:hanging="360"/>
      </w:pPr>
      <w:rPr>
        <w:rFonts w:ascii="Arial" w:hAnsi="Arial" w:hint="default"/>
      </w:rPr>
    </w:lvl>
    <w:lvl w:ilvl="7" w:tplc="FA88DCC0" w:tentative="1">
      <w:start w:val="1"/>
      <w:numFmt w:val="bullet"/>
      <w:lvlText w:val="•"/>
      <w:lvlJc w:val="left"/>
      <w:pPr>
        <w:tabs>
          <w:tab w:val="num" w:pos="5760"/>
        </w:tabs>
        <w:ind w:left="5760" w:hanging="360"/>
      </w:pPr>
      <w:rPr>
        <w:rFonts w:ascii="Arial" w:hAnsi="Arial" w:hint="default"/>
      </w:rPr>
    </w:lvl>
    <w:lvl w:ilvl="8" w:tplc="764A64AC" w:tentative="1">
      <w:start w:val="1"/>
      <w:numFmt w:val="bullet"/>
      <w:lvlText w:val="•"/>
      <w:lvlJc w:val="left"/>
      <w:pPr>
        <w:tabs>
          <w:tab w:val="num" w:pos="6480"/>
        </w:tabs>
        <w:ind w:left="6480" w:hanging="360"/>
      </w:pPr>
      <w:rPr>
        <w:rFonts w:ascii="Arial" w:hAnsi="Arial" w:hint="default"/>
      </w:rPr>
    </w:lvl>
  </w:abstractNum>
  <w:abstractNum w:abstractNumId="10">
    <w:nsid w:val="5B2E36A1"/>
    <w:multiLevelType w:val="hybridMultilevel"/>
    <w:tmpl w:val="8B9C5104"/>
    <w:lvl w:ilvl="0" w:tplc="83B2C98A">
      <w:start w:val="1"/>
      <w:numFmt w:val="bullet"/>
      <w:lvlText w:val="•"/>
      <w:lvlJc w:val="left"/>
      <w:pPr>
        <w:tabs>
          <w:tab w:val="num" w:pos="720"/>
        </w:tabs>
        <w:ind w:left="720" w:hanging="360"/>
      </w:pPr>
      <w:rPr>
        <w:rFonts w:ascii="Arial" w:hAnsi="Arial" w:hint="default"/>
      </w:rPr>
    </w:lvl>
    <w:lvl w:ilvl="1" w:tplc="71C65AAC">
      <w:numFmt w:val="none"/>
      <w:lvlText w:val=""/>
      <w:lvlJc w:val="left"/>
      <w:pPr>
        <w:tabs>
          <w:tab w:val="num" w:pos="360"/>
        </w:tabs>
      </w:pPr>
    </w:lvl>
    <w:lvl w:ilvl="2" w:tplc="DC52E45E" w:tentative="1">
      <w:start w:val="1"/>
      <w:numFmt w:val="bullet"/>
      <w:lvlText w:val="•"/>
      <w:lvlJc w:val="left"/>
      <w:pPr>
        <w:tabs>
          <w:tab w:val="num" w:pos="2160"/>
        </w:tabs>
        <w:ind w:left="2160" w:hanging="360"/>
      </w:pPr>
      <w:rPr>
        <w:rFonts w:ascii="Arial" w:hAnsi="Arial" w:hint="default"/>
      </w:rPr>
    </w:lvl>
    <w:lvl w:ilvl="3" w:tplc="840EA678" w:tentative="1">
      <w:start w:val="1"/>
      <w:numFmt w:val="bullet"/>
      <w:lvlText w:val="•"/>
      <w:lvlJc w:val="left"/>
      <w:pPr>
        <w:tabs>
          <w:tab w:val="num" w:pos="2880"/>
        </w:tabs>
        <w:ind w:left="2880" w:hanging="360"/>
      </w:pPr>
      <w:rPr>
        <w:rFonts w:ascii="Arial" w:hAnsi="Arial" w:hint="default"/>
      </w:rPr>
    </w:lvl>
    <w:lvl w:ilvl="4" w:tplc="BC44F04E" w:tentative="1">
      <w:start w:val="1"/>
      <w:numFmt w:val="bullet"/>
      <w:lvlText w:val="•"/>
      <w:lvlJc w:val="left"/>
      <w:pPr>
        <w:tabs>
          <w:tab w:val="num" w:pos="3600"/>
        </w:tabs>
        <w:ind w:left="3600" w:hanging="360"/>
      </w:pPr>
      <w:rPr>
        <w:rFonts w:ascii="Arial" w:hAnsi="Arial" w:hint="default"/>
      </w:rPr>
    </w:lvl>
    <w:lvl w:ilvl="5" w:tplc="99D2864C" w:tentative="1">
      <w:start w:val="1"/>
      <w:numFmt w:val="bullet"/>
      <w:lvlText w:val="•"/>
      <w:lvlJc w:val="left"/>
      <w:pPr>
        <w:tabs>
          <w:tab w:val="num" w:pos="4320"/>
        </w:tabs>
        <w:ind w:left="4320" w:hanging="360"/>
      </w:pPr>
      <w:rPr>
        <w:rFonts w:ascii="Arial" w:hAnsi="Arial" w:hint="default"/>
      </w:rPr>
    </w:lvl>
    <w:lvl w:ilvl="6" w:tplc="8E40918A" w:tentative="1">
      <w:start w:val="1"/>
      <w:numFmt w:val="bullet"/>
      <w:lvlText w:val="•"/>
      <w:lvlJc w:val="left"/>
      <w:pPr>
        <w:tabs>
          <w:tab w:val="num" w:pos="5040"/>
        </w:tabs>
        <w:ind w:left="5040" w:hanging="360"/>
      </w:pPr>
      <w:rPr>
        <w:rFonts w:ascii="Arial" w:hAnsi="Arial" w:hint="default"/>
      </w:rPr>
    </w:lvl>
    <w:lvl w:ilvl="7" w:tplc="EC4CB410" w:tentative="1">
      <w:start w:val="1"/>
      <w:numFmt w:val="bullet"/>
      <w:lvlText w:val="•"/>
      <w:lvlJc w:val="left"/>
      <w:pPr>
        <w:tabs>
          <w:tab w:val="num" w:pos="5760"/>
        </w:tabs>
        <w:ind w:left="5760" w:hanging="360"/>
      </w:pPr>
      <w:rPr>
        <w:rFonts w:ascii="Arial" w:hAnsi="Arial" w:hint="default"/>
      </w:rPr>
    </w:lvl>
    <w:lvl w:ilvl="8" w:tplc="7F8E0BCE" w:tentative="1">
      <w:start w:val="1"/>
      <w:numFmt w:val="bullet"/>
      <w:lvlText w:val="•"/>
      <w:lvlJc w:val="left"/>
      <w:pPr>
        <w:tabs>
          <w:tab w:val="num" w:pos="6480"/>
        </w:tabs>
        <w:ind w:left="6480" w:hanging="360"/>
      </w:pPr>
      <w:rPr>
        <w:rFonts w:ascii="Arial" w:hAnsi="Arial" w:hint="default"/>
      </w:rPr>
    </w:lvl>
  </w:abstractNum>
  <w:abstractNum w:abstractNumId="11">
    <w:nsid w:val="5BBD2F6E"/>
    <w:multiLevelType w:val="hybridMultilevel"/>
    <w:tmpl w:val="7AF23018"/>
    <w:lvl w:ilvl="0" w:tplc="7E54C71A">
      <w:start w:val="1"/>
      <w:numFmt w:val="bullet"/>
      <w:lvlText w:val="•"/>
      <w:lvlJc w:val="left"/>
      <w:pPr>
        <w:tabs>
          <w:tab w:val="num" w:pos="720"/>
        </w:tabs>
        <w:ind w:left="720" w:hanging="360"/>
      </w:pPr>
      <w:rPr>
        <w:rFonts w:ascii="Arial" w:hAnsi="Arial" w:hint="default"/>
      </w:rPr>
    </w:lvl>
    <w:lvl w:ilvl="1" w:tplc="AEC07EB8" w:tentative="1">
      <w:start w:val="1"/>
      <w:numFmt w:val="bullet"/>
      <w:lvlText w:val="•"/>
      <w:lvlJc w:val="left"/>
      <w:pPr>
        <w:tabs>
          <w:tab w:val="num" w:pos="1440"/>
        </w:tabs>
        <w:ind w:left="1440" w:hanging="360"/>
      </w:pPr>
      <w:rPr>
        <w:rFonts w:ascii="Arial" w:hAnsi="Arial" w:hint="default"/>
      </w:rPr>
    </w:lvl>
    <w:lvl w:ilvl="2" w:tplc="E416D31A" w:tentative="1">
      <w:start w:val="1"/>
      <w:numFmt w:val="bullet"/>
      <w:lvlText w:val="•"/>
      <w:lvlJc w:val="left"/>
      <w:pPr>
        <w:tabs>
          <w:tab w:val="num" w:pos="2160"/>
        </w:tabs>
        <w:ind w:left="2160" w:hanging="360"/>
      </w:pPr>
      <w:rPr>
        <w:rFonts w:ascii="Arial" w:hAnsi="Arial" w:hint="default"/>
      </w:rPr>
    </w:lvl>
    <w:lvl w:ilvl="3" w:tplc="37D2FBC6" w:tentative="1">
      <w:start w:val="1"/>
      <w:numFmt w:val="bullet"/>
      <w:lvlText w:val="•"/>
      <w:lvlJc w:val="left"/>
      <w:pPr>
        <w:tabs>
          <w:tab w:val="num" w:pos="2880"/>
        </w:tabs>
        <w:ind w:left="2880" w:hanging="360"/>
      </w:pPr>
      <w:rPr>
        <w:rFonts w:ascii="Arial" w:hAnsi="Arial" w:hint="default"/>
      </w:rPr>
    </w:lvl>
    <w:lvl w:ilvl="4" w:tplc="64F21928" w:tentative="1">
      <w:start w:val="1"/>
      <w:numFmt w:val="bullet"/>
      <w:lvlText w:val="•"/>
      <w:lvlJc w:val="left"/>
      <w:pPr>
        <w:tabs>
          <w:tab w:val="num" w:pos="3600"/>
        </w:tabs>
        <w:ind w:left="3600" w:hanging="360"/>
      </w:pPr>
      <w:rPr>
        <w:rFonts w:ascii="Arial" w:hAnsi="Arial" w:hint="default"/>
      </w:rPr>
    </w:lvl>
    <w:lvl w:ilvl="5" w:tplc="96E4189C" w:tentative="1">
      <w:start w:val="1"/>
      <w:numFmt w:val="bullet"/>
      <w:lvlText w:val="•"/>
      <w:lvlJc w:val="left"/>
      <w:pPr>
        <w:tabs>
          <w:tab w:val="num" w:pos="4320"/>
        </w:tabs>
        <w:ind w:left="4320" w:hanging="360"/>
      </w:pPr>
      <w:rPr>
        <w:rFonts w:ascii="Arial" w:hAnsi="Arial" w:hint="default"/>
      </w:rPr>
    </w:lvl>
    <w:lvl w:ilvl="6" w:tplc="A10E1804" w:tentative="1">
      <w:start w:val="1"/>
      <w:numFmt w:val="bullet"/>
      <w:lvlText w:val="•"/>
      <w:lvlJc w:val="left"/>
      <w:pPr>
        <w:tabs>
          <w:tab w:val="num" w:pos="5040"/>
        </w:tabs>
        <w:ind w:left="5040" w:hanging="360"/>
      </w:pPr>
      <w:rPr>
        <w:rFonts w:ascii="Arial" w:hAnsi="Arial" w:hint="default"/>
      </w:rPr>
    </w:lvl>
    <w:lvl w:ilvl="7" w:tplc="B588AA70" w:tentative="1">
      <w:start w:val="1"/>
      <w:numFmt w:val="bullet"/>
      <w:lvlText w:val="•"/>
      <w:lvlJc w:val="left"/>
      <w:pPr>
        <w:tabs>
          <w:tab w:val="num" w:pos="5760"/>
        </w:tabs>
        <w:ind w:left="5760" w:hanging="360"/>
      </w:pPr>
      <w:rPr>
        <w:rFonts w:ascii="Arial" w:hAnsi="Arial" w:hint="default"/>
      </w:rPr>
    </w:lvl>
    <w:lvl w:ilvl="8" w:tplc="06C871E2" w:tentative="1">
      <w:start w:val="1"/>
      <w:numFmt w:val="bullet"/>
      <w:lvlText w:val="•"/>
      <w:lvlJc w:val="left"/>
      <w:pPr>
        <w:tabs>
          <w:tab w:val="num" w:pos="6480"/>
        </w:tabs>
        <w:ind w:left="6480" w:hanging="360"/>
      </w:pPr>
      <w:rPr>
        <w:rFonts w:ascii="Arial" w:hAnsi="Arial" w:hint="default"/>
      </w:rPr>
    </w:lvl>
  </w:abstractNum>
  <w:abstractNum w:abstractNumId="12">
    <w:nsid w:val="5DD5050B"/>
    <w:multiLevelType w:val="hybridMultilevel"/>
    <w:tmpl w:val="10FA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B532F7"/>
    <w:multiLevelType w:val="hybridMultilevel"/>
    <w:tmpl w:val="58588A5A"/>
    <w:lvl w:ilvl="0" w:tplc="FF1EABF2">
      <w:start w:val="1"/>
      <w:numFmt w:val="bullet"/>
      <w:lvlText w:val="•"/>
      <w:lvlJc w:val="left"/>
      <w:pPr>
        <w:tabs>
          <w:tab w:val="num" w:pos="720"/>
        </w:tabs>
        <w:ind w:left="720" w:hanging="360"/>
      </w:pPr>
      <w:rPr>
        <w:rFonts w:ascii="Arial" w:hAnsi="Arial" w:hint="default"/>
      </w:rPr>
    </w:lvl>
    <w:lvl w:ilvl="1" w:tplc="0CB00A54">
      <w:numFmt w:val="none"/>
      <w:lvlText w:val=""/>
      <w:lvlJc w:val="left"/>
      <w:pPr>
        <w:tabs>
          <w:tab w:val="num" w:pos="360"/>
        </w:tabs>
      </w:pPr>
    </w:lvl>
    <w:lvl w:ilvl="2" w:tplc="B9C6848E" w:tentative="1">
      <w:start w:val="1"/>
      <w:numFmt w:val="bullet"/>
      <w:lvlText w:val="•"/>
      <w:lvlJc w:val="left"/>
      <w:pPr>
        <w:tabs>
          <w:tab w:val="num" w:pos="2160"/>
        </w:tabs>
        <w:ind w:left="2160" w:hanging="360"/>
      </w:pPr>
      <w:rPr>
        <w:rFonts w:ascii="Arial" w:hAnsi="Arial" w:hint="default"/>
      </w:rPr>
    </w:lvl>
    <w:lvl w:ilvl="3" w:tplc="B0E82A9E" w:tentative="1">
      <w:start w:val="1"/>
      <w:numFmt w:val="bullet"/>
      <w:lvlText w:val="•"/>
      <w:lvlJc w:val="left"/>
      <w:pPr>
        <w:tabs>
          <w:tab w:val="num" w:pos="2880"/>
        </w:tabs>
        <w:ind w:left="2880" w:hanging="360"/>
      </w:pPr>
      <w:rPr>
        <w:rFonts w:ascii="Arial" w:hAnsi="Arial" w:hint="default"/>
      </w:rPr>
    </w:lvl>
    <w:lvl w:ilvl="4" w:tplc="6B982B26" w:tentative="1">
      <w:start w:val="1"/>
      <w:numFmt w:val="bullet"/>
      <w:lvlText w:val="•"/>
      <w:lvlJc w:val="left"/>
      <w:pPr>
        <w:tabs>
          <w:tab w:val="num" w:pos="3600"/>
        </w:tabs>
        <w:ind w:left="3600" w:hanging="360"/>
      </w:pPr>
      <w:rPr>
        <w:rFonts w:ascii="Arial" w:hAnsi="Arial" w:hint="default"/>
      </w:rPr>
    </w:lvl>
    <w:lvl w:ilvl="5" w:tplc="AA286232" w:tentative="1">
      <w:start w:val="1"/>
      <w:numFmt w:val="bullet"/>
      <w:lvlText w:val="•"/>
      <w:lvlJc w:val="left"/>
      <w:pPr>
        <w:tabs>
          <w:tab w:val="num" w:pos="4320"/>
        </w:tabs>
        <w:ind w:left="4320" w:hanging="360"/>
      </w:pPr>
      <w:rPr>
        <w:rFonts w:ascii="Arial" w:hAnsi="Arial" w:hint="default"/>
      </w:rPr>
    </w:lvl>
    <w:lvl w:ilvl="6" w:tplc="74CC2EC4" w:tentative="1">
      <w:start w:val="1"/>
      <w:numFmt w:val="bullet"/>
      <w:lvlText w:val="•"/>
      <w:lvlJc w:val="left"/>
      <w:pPr>
        <w:tabs>
          <w:tab w:val="num" w:pos="5040"/>
        </w:tabs>
        <w:ind w:left="5040" w:hanging="360"/>
      </w:pPr>
      <w:rPr>
        <w:rFonts w:ascii="Arial" w:hAnsi="Arial" w:hint="default"/>
      </w:rPr>
    </w:lvl>
    <w:lvl w:ilvl="7" w:tplc="5F00F5C0" w:tentative="1">
      <w:start w:val="1"/>
      <w:numFmt w:val="bullet"/>
      <w:lvlText w:val="•"/>
      <w:lvlJc w:val="left"/>
      <w:pPr>
        <w:tabs>
          <w:tab w:val="num" w:pos="5760"/>
        </w:tabs>
        <w:ind w:left="5760" w:hanging="360"/>
      </w:pPr>
      <w:rPr>
        <w:rFonts w:ascii="Arial" w:hAnsi="Arial" w:hint="default"/>
      </w:rPr>
    </w:lvl>
    <w:lvl w:ilvl="8" w:tplc="71043A60" w:tentative="1">
      <w:start w:val="1"/>
      <w:numFmt w:val="bullet"/>
      <w:lvlText w:val="•"/>
      <w:lvlJc w:val="left"/>
      <w:pPr>
        <w:tabs>
          <w:tab w:val="num" w:pos="6480"/>
        </w:tabs>
        <w:ind w:left="6480" w:hanging="360"/>
      </w:pPr>
      <w:rPr>
        <w:rFonts w:ascii="Arial" w:hAnsi="Arial" w:hint="default"/>
      </w:rPr>
    </w:lvl>
  </w:abstractNum>
  <w:abstractNum w:abstractNumId="14">
    <w:nsid w:val="6980300A"/>
    <w:multiLevelType w:val="hybridMultilevel"/>
    <w:tmpl w:val="5C12BB1E"/>
    <w:lvl w:ilvl="0" w:tplc="E15C4100">
      <w:start w:val="1"/>
      <w:numFmt w:val="decimal"/>
      <w:lvlText w:val="%1."/>
      <w:lvlJc w:val="left"/>
      <w:pPr>
        <w:tabs>
          <w:tab w:val="num" w:pos="720"/>
        </w:tabs>
        <w:ind w:left="720" w:hanging="360"/>
      </w:pPr>
    </w:lvl>
    <w:lvl w:ilvl="1" w:tplc="2C82FBEC" w:tentative="1">
      <w:start w:val="1"/>
      <w:numFmt w:val="decimal"/>
      <w:lvlText w:val="%2."/>
      <w:lvlJc w:val="left"/>
      <w:pPr>
        <w:tabs>
          <w:tab w:val="num" w:pos="1440"/>
        </w:tabs>
        <w:ind w:left="1440" w:hanging="360"/>
      </w:pPr>
    </w:lvl>
    <w:lvl w:ilvl="2" w:tplc="3A149758" w:tentative="1">
      <w:start w:val="1"/>
      <w:numFmt w:val="decimal"/>
      <w:lvlText w:val="%3."/>
      <w:lvlJc w:val="left"/>
      <w:pPr>
        <w:tabs>
          <w:tab w:val="num" w:pos="2160"/>
        </w:tabs>
        <w:ind w:left="2160" w:hanging="360"/>
      </w:pPr>
    </w:lvl>
    <w:lvl w:ilvl="3" w:tplc="7694735A" w:tentative="1">
      <w:start w:val="1"/>
      <w:numFmt w:val="decimal"/>
      <w:lvlText w:val="%4."/>
      <w:lvlJc w:val="left"/>
      <w:pPr>
        <w:tabs>
          <w:tab w:val="num" w:pos="2880"/>
        </w:tabs>
        <w:ind w:left="2880" w:hanging="360"/>
      </w:pPr>
    </w:lvl>
    <w:lvl w:ilvl="4" w:tplc="C9043E26" w:tentative="1">
      <w:start w:val="1"/>
      <w:numFmt w:val="decimal"/>
      <w:lvlText w:val="%5."/>
      <w:lvlJc w:val="left"/>
      <w:pPr>
        <w:tabs>
          <w:tab w:val="num" w:pos="3600"/>
        </w:tabs>
        <w:ind w:left="3600" w:hanging="360"/>
      </w:pPr>
    </w:lvl>
    <w:lvl w:ilvl="5" w:tplc="829C37E8" w:tentative="1">
      <w:start w:val="1"/>
      <w:numFmt w:val="decimal"/>
      <w:lvlText w:val="%6."/>
      <w:lvlJc w:val="left"/>
      <w:pPr>
        <w:tabs>
          <w:tab w:val="num" w:pos="4320"/>
        </w:tabs>
        <w:ind w:left="4320" w:hanging="360"/>
      </w:pPr>
    </w:lvl>
    <w:lvl w:ilvl="6" w:tplc="313C461E" w:tentative="1">
      <w:start w:val="1"/>
      <w:numFmt w:val="decimal"/>
      <w:lvlText w:val="%7."/>
      <w:lvlJc w:val="left"/>
      <w:pPr>
        <w:tabs>
          <w:tab w:val="num" w:pos="5040"/>
        </w:tabs>
        <w:ind w:left="5040" w:hanging="360"/>
      </w:pPr>
    </w:lvl>
    <w:lvl w:ilvl="7" w:tplc="3C5C163C" w:tentative="1">
      <w:start w:val="1"/>
      <w:numFmt w:val="decimal"/>
      <w:lvlText w:val="%8."/>
      <w:lvlJc w:val="left"/>
      <w:pPr>
        <w:tabs>
          <w:tab w:val="num" w:pos="5760"/>
        </w:tabs>
        <w:ind w:left="5760" w:hanging="360"/>
      </w:pPr>
    </w:lvl>
    <w:lvl w:ilvl="8" w:tplc="4344E660" w:tentative="1">
      <w:start w:val="1"/>
      <w:numFmt w:val="decimal"/>
      <w:lvlText w:val="%9."/>
      <w:lvlJc w:val="left"/>
      <w:pPr>
        <w:tabs>
          <w:tab w:val="num" w:pos="6480"/>
        </w:tabs>
        <w:ind w:left="6480" w:hanging="360"/>
      </w:pPr>
    </w:lvl>
  </w:abstractNum>
  <w:abstractNum w:abstractNumId="15">
    <w:nsid w:val="7721055A"/>
    <w:multiLevelType w:val="hybridMultilevel"/>
    <w:tmpl w:val="E4229CEE"/>
    <w:lvl w:ilvl="0" w:tplc="E376C3EA">
      <w:start w:val="1"/>
      <w:numFmt w:val="bullet"/>
      <w:lvlText w:val="•"/>
      <w:lvlJc w:val="left"/>
      <w:pPr>
        <w:tabs>
          <w:tab w:val="num" w:pos="720"/>
        </w:tabs>
        <w:ind w:left="720" w:hanging="360"/>
      </w:pPr>
      <w:rPr>
        <w:rFonts w:ascii="Arial" w:hAnsi="Arial" w:hint="default"/>
      </w:rPr>
    </w:lvl>
    <w:lvl w:ilvl="1" w:tplc="6D04BC9A" w:tentative="1">
      <w:start w:val="1"/>
      <w:numFmt w:val="bullet"/>
      <w:lvlText w:val="•"/>
      <w:lvlJc w:val="left"/>
      <w:pPr>
        <w:tabs>
          <w:tab w:val="num" w:pos="1440"/>
        </w:tabs>
        <w:ind w:left="1440" w:hanging="360"/>
      </w:pPr>
      <w:rPr>
        <w:rFonts w:ascii="Arial" w:hAnsi="Arial" w:hint="default"/>
      </w:rPr>
    </w:lvl>
    <w:lvl w:ilvl="2" w:tplc="161EE0F6" w:tentative="1">
      <w:start w:val="1"/>
      <w:numFmt w:val="bullet"/>
      <w:lvlText w:val="•"/>
      <w:lvlJc w:val="left"/>
      <w:pPr>
        <w:tabs>
          <w:tab w:val="num" w:pos="2160"/>
        </w:tabs>
        <w:ind w:left="2160" w:hanging="360"/>
      </w:pPr>
      <w:rPr>
        <w:rFonts w:ascii="Arial" w:hAnsi="Arial" w:hint="default"/>
      </w:rPr>
    </w:lvl>
    <w:lvl w:ilvl="3" w:tplc="ED42B6D8" w:tentative="1">
      <w:start w:val="1"/>
      <w:numFmt w:val="bullet"/>
      <w:lvlText w:val="•"/>
      <w:lvlJc w:val="left"/>
      <w:pPr>
        <w:tabs>
          <w:tab w:val="num" w:pos="2880"/>
        </w:tabs>
        <w:ind w:left="2880" w:hanging="360"/>
      </w:pPr>
      <w:rPr>
        <w:rFonts w:ascii="Arial" w:hAnsi="Arial" w:hint="default"/>
      </w:rPr>
    </w:lvl>
    <w:lvl w:ilvl="4" w:tplc="0792CD68" w:tentative="1">
      <w:start w:val="1"/>
      <w:numFmt w:val="bullet"/>
      <w:lvlText w:val="•"/>
      <w:lvlJc w:val="left"/>
      <w:pPr>
        <w:tabs>
          <w:tab w:val="num" w:pos="3600"/>
        </w:tabs>
        <w:ind w:left="3600" w:hanging="360"/>
      </w:pPr>
      <w:rPr>
        <w:rFonts w:ascii="Arial" w:hAnsi="Arial" w:hint="default"/>
      </w:rPr>
    </w:lvl>
    <w:lvl w:ilvl="5" w:tplc="830E482A" w:tentative="1">
      <w:start w:val="1"/>
      <w:numFmt w:val="bullet"/>
      <w:lvlText w:val="•"/>
      <w:lvlJc w:val="left"/>
      <w:pPr>
        <w:tabs>
          <w:tab w:val="num" w:pos="4320"/>
        </w:tabs>
        <w:ind w:left="4320" w:hanging="360"/>
      </w:pPr>
      <w:rPr>
        <w:rFonts w:ascii="Arial" w:hAnsi="Arial" w:hint="default"/>
      </w:rPr>
    </w:lvl>
    <w:lvl w:ilvl="6" w:tplc="DE24950A" w:tentative="1">
      <w:start w:val="1"/>
      <w:numFmt w:val="bullet"/>
      <w:lvlText w:val="•"/>
      <w:lvlJc w:val="left"/>
      <w:pPr>
        <w:tabs>
          <w:tab w:val="num" w:pos="5040"/>
        </w:tabs>
        <w:ind w:left="5040" w:hanging="360"/>
      </w:pPr>
      <w:rPr>
        <w:rFonts w:ascii="Arial" w:hAnsi="Arial" w:hint="default"/>
      </w:rPr>
    </w:lvl>
    <w:lvl w:ilvl="7" w:tplc="424A6C34" w:tentative="1">
      <w:start w:val="1"/>
      <w:numFmt w:val="bullet"/>
      <w:lvlText w:val="•"/>
      <w:lvlJc w:val="left"/>
      <w:pPr>
        <w:tabs>
          <w:tab w:val="num" w:pos="5760"/>
        </w:tabs>
        <w:ind w:left="5760" w:hanging="360"/>
      </w:pPr>
      <w:rPr>
        <w:rFonts w:ascii="Arial" w:hAnsi="Arial" w:hint="default"/>
      </w:rPr>
    </w:lvl>
    <w:lvl w:ilvl="8" w:tplc="898E85B8" w:tentative="1">
      <w:start w:val="1"/>
      <w:numFmt w:val="bullet"/>
      <w:lvlText w:val="•"/>
      <w:lvlJc w:val="left"/>
      <w:pPr>
        <w:tabs>
          <w:tab w:val="num" w:pos="6480"/>
        </w:tabs>
        <w:ind w:left="6480" w:hanging="360"/>
      </w:pPr>
      <w:rPr>
        <w:rFonts w:ascii="Arial" w:hAnsi="Arial" w:hint="default"/>
      </w:rPr>
    </w:lvl>
  </w:abstractNum>
  <w:abstractNum w:abstractNumId="16">
    <w:nsid w:val="799341B1"/>
    <w:multiLevelType w:val="hybridMultilevel"/>
    <w:tmpl w:val="F22E6742"/>
    <w:lvl w:ilvl="0" w:tplc="D5C6921C">
      <w:start w:val="1"/>
      <w:numFmt w:val="bullet"/>
      <w:lvlText w:val="•"/>
      <w:lvlJc w:val="left"/>
      <w:pPr>
        <w:tabs>
          <w:tab w:val="num" w:pos="720"/>
        </w:tabs>
        <w:ind w:left="720" w:hanging="360"/>
      </w:pPr>
      <w:rPr>
        <w:rFonts w:ascii="Arial" w:hAnsi="Arial" w:hint="default"/>
      </w:rPr>
    </w:lvl>
    <w:lvl w:ilvl="1" w:tplc="C12899B0">
      <w:numFmt w:val="none"/>
      <w:lvlText w:val=""/>
      <w:lvlJc w:val="left"/>
      <w:pPr>
        <w:tabs>
          <w:tab w:val="num" w:pos="360"/>
        </w:tabs>
      </w:pPr>
    </w:lvl>
    <w:lvl w:ilvl="2" w:tplc="80BE7864" w:tentative="1">
      <w:start w:val="1"/>
      <w:numFmt w:val="bullet"/>
      <w:lvlText w:val="•"/>
      <w:lvlJc w:val="left"/>
      <w:pPr>
        <w:tabs>
          <w:tab w:val="num" w:pos="2160"/>
        </w:tabs>
        <w:ind w:left="2160" w:hanging="360"/>
      </w:pPr>
      <w:rPr>
        <w:rFonts w:ascii="Arial" w:hAnsi="Arial" w:hint="default"/>
      </w:rPr>
    </w:lvl>
    <w:lvl w:ilvl="3" w:tplc="1AAED234" w:tentative="1">
      <w:start w:val="1"/>
      <w:numFmt w:val="bullet"/>
      <w:lvlText w:val="•"/>
      <w:lvlJc w:val="left"/>
      <w:pPr>
        <w:tabs>
          <w:tab w:val="num" w:pos="2880"/>
        </w:tabs>
        <w:ind w:left="2880" w:hanging="360"/>
      </w:pPr>
      <w:rPr>
        <w:rFonts w:ascii="Arial" w:hAnsi="Arial" w:hint="default"/>
      </w:rPr>
    </w:lvl>
    <w:lvl w:ilvl="4" w:tplc="CB68E59E" w:tentative="1">
      <w:start w:val="1"/>
      <w:numFmt w:val="bullet"/>
      <w:lvlText w:val="•"/>
      <w:lvlJc w:val="left"/>
      <w:pPr>
        <w:tabs>
          <w:tab w:val="num" w:pos="3600"/>
        </w:tabs>
        <w:ind w:left="3600" w:hanging="360"/>
      </w:pPr>
      <w:rPr>
        <w:rFonts w:ascii="Arial" w:hAnsi="Arial" w:hint="default"/>
      </w:rPr>
    </w:lvl>
    <w:lvl w:ilvl="5" w:tplc="6BB226C6" w:tentative="1">
      <w:start w:val="1"/>
      <w:numFmt w:val="bullet"/>
      <w:lvlText w:val="•"/>
      <w:lvlJc w:val="left"/>
      <w:pPr>
        <w:tabs>
          <w:tab w:val="num" w:pos="4320"/>
        </w:tabs>
        <w:ind w:left="4320" w:hanging="360"/>
      </w:pPr>
      <w:rPr>
        <w:rFonts w:ascii="Arial" w:hAnsi="Arial" w:hint="default"/>
      </w:rPr>
    </w:lvl>
    <w:lvl w:ilvl="6" w:tplc="FD4AA7A0" w:tentative="1">
      <w:start w:val="1"/>
      <w:numFmt w:val="bullet"/>
      <w:lvlText w:val="•"/>
      <w:lvlJc w:val="left"/>
      <w:pPr>
        <w:tabs>
          <w:tab w:val="num" w:pos="5040"/>
        </w:tabs>
        <w:ind w:left="5040" w:hanging="360"/>
      </w:pPr>
      <w:rPr>
        <w:rFonts w:ascii="Arial" w:hAnsi="Arial" w:hint="default"/>
      </w:rPr>
    </w:lvl>
    <w:lvl w:ilvl="7" w:tplc="4002FDC0" w:tentative="1">
      <w:start w:val="1"/>
      <w:numFmt w:val="bullet"/>
      <w:lvlText w:val="•"/>
      <w:lvlJc w:val="left"/>
      <w:pPr>
        <w:tabs>
          <w:tab w:val="num" w:pos="5760"/>
        </w:tabs>
        <w:ind w:left="5760" w:hanging="360"/>
      </w:pPr>
      <w:rPr>
        <w:rFonts w:ascii="Arial" w:hAnsi="Arial" w:hint="default"/>
      </w:rPr>
    </w:lvl>
    <w:lvl w:ilvl="8" w:tplc="40BCEC5C" w:tentative="1">
      <w:start w:val="1"/>
      <w:numFmt w:val="bullet"/>
      <w:lvlText w:val="•"/>
      <w:lvlJc w:val="left"/>
      <w:pPr>
        <w:tabs>
          <w:tab w:val="num" w:pos="6480"/>
        </w:tabs>
        <w:ind w:left="6480" w:hanging="360"/>
      </w:pPr>
      <w:rPr>
        <w:rFonts w:ascii="Arial" w:hAnsi="Arial" w:hint="default"/>
      </w:rPr>
    </w:lvl>
  </w:abstractNum>
  <w:abstractNum w:abstractNumId="17">
    <w:nsid w:val="7CC14645"/>
    <w:multiLevelType w:val="hybridMultilevel"/>
    <w:tmpl w:val="2F4E5306"/>
    <w:lvl w:ilvl="0" w:tplc="862E3B78">
      <w:start w:val="1"/>
      <w:numFmt w:val="decimal"/>
      <w:lvlText w:val="%1."/>
      <w:lvlJc w:val="left"/>
      <w:pPr>
        <w:tabs>
          <w:tab w:val="num" w:pos="720"/>
        </w:tabs>
        <w:ind w:left="720" w:hanging="360"/>
      </w:pPr>
    </w:lvl>
    <w:lvl w:ilvl="1" w:tplc="E0CCA212" w:tentative="1">
      <w:start w:val="1"/>
      <w:numFmt w:val="decimal"/>
      <w:lvlText w:val="%2."/>
      <w:lvlJc w:val="left"/>
      <w:pPr>
        <w:tabs>
          <w:tab w:val="num" w:pos="1440"/>
        </w:tabs>
        <w:ind w:left="1440" w:hanging="360"/>
      </w:pPr>
    </w:lvl>
    <w:lvl w:ilvl="2" w:tplc="28AA8D9C" w:tentative="1">
      <w:start w:val="1"/>
      <w:numFmt w:val="decimal"/>
      <w:lvlText w:val="%3."/>
      <w:lvlJc w:val="left"/>
      <w:pPr>
        <w:tabs>
          <w:tab w:val="num" w:pos="2160"/>
        </w:tabs>
        <w:ind w:left="2160" w:hanging="360"/>
      </w:pPr>
    </w:lvl>
    <w:lvl w:ilvl="3" w:tplc="15AA5BAE" w:tentative="1">
      <w:start w:val="1"/>
      <w:numFmt w:val="decimal"/>
      <w:lvlText w:val="%4."/>
      <w:lvlJc w:val="left"/>
      <w:pPr>
        <w:tabs>
          <w:tab w:val="num" w:pos="2880"/>
        </w:tabs>
        <w:ind w:left="2880" w:hanging="360"/>
      </w:pPr>
    </w:lvl>
    <w:lvl w:ilvl="4" w:tplc="74567ED8" w:tentative="1">
      <w:start w:val="1"/>
      <w:numFmt w:val="decimal"/>
      <w:lvlText w:val="%5."/>
      <w:lvlJc w:val="left"/>
      <w:pPr>
        <w:tabs>
          <w:tab w:val="num" w:pos="3600"/>
        </w:tabs>
        <w:ind w:left="3600" w:hanging="360"/>
      </w:pPr>
    </w:lvl>
    <w:lvl w:ilvl="5" w:tplc="CD304D12" w:tentative="1">
      <w:start w:val="1"/>
      <w:numFmt w:val="decimal"/>
      <w:lvlText w:val="%6."/>
      <w:lvlJc w:val="left"/>
      <w:pPr>
        <w:tabs>
          <w:tab w:val="num" w:pos="4320"/>
        </w:tabs>
        <w:ind w:left="4320" w:hanging="360"/>
      </w:pPr>
    </w:lvl>
    <w:lvl w:ilvl="6" w:tplc="FC085DE4" w:tentative="1">
      <w:start w:val="1"/>
      <w:numFmt w:val="decimal"/>
      <w:lvlText w:val="%7."/>
      <w:lvlJc w:val="left"/>
      <w:pPr>
        <w:tabs>
          <w:tab w:val="num" w:pos="5040"/>
        </w:tabs>
        <w:ind w:left="5040" w:hanging="360"/>
      </w:pPr>
    </w:lvl>
    <w:lvl w:ilvl="7" w:tplc="6A76CAAA" w:tentative="1">
      <w:start w:val="1"/>
      <w:numFmt w:val="decimal"/>
      <w:lvlText w:val="%8."/>
      <w:lvlJc w:val="left"/>
      <w:pPr>
        <w:tabs>
          <w:tab w:val="num" w:pos="5760"/>
        </w:tabs>
        <w:ind w:left="5760" w:hanging="360"/>
      </w:pPr>
    </w:lvl>
    <w:lvl w:ilvl="8" w:tplc="69FC849C" w:tentative="1">
      <w:start w:val="1"/>
      <w:numFmt w:val="decimal"/>
      <w:lvlText w:val="%9."/>
      <w:lvlJc w:val="left"/>
      <w:pPr>
        <w:tabs>
          <w:tab w:val="num" w:pos="6480"/>
        </w:tabs>
        <w:ind w:left="6480" w:hanging="360"/>
      </w:pPr>
    </w:lvl>
  </w:abstractNum>
  <w:num w:numId="1">
    <w:abstractNumId w:val="1"/>
  </w:num>
  <w:num w:numId="2">
    <w:abstractNumId w:val="17"/>
  </w:num>
  <w:num w:numId="3">
    <w:abstractNumId w:val="3"/>
  </w:num>
  <w:num w:numId="4">
    <w:abstractNumId w:val="12"/>
  </w:num>
  <w:num w:numId="5">
    <w:abstractNumId w:val="16"/>
  </w:num>
  <w:num w:numId="6">
    <w:abstractNumId w:val="11"/>
  </w:num>
  <w:num w:numId="7">
    <w:abstractNumId w:val="9"/>
  </w:num>
  <w:num w:numId="8">
    <w:abstractNumId w:val="6"/>
  </w:num>
  <w:num w:numId="9">
    <w:abstractNumId w:val="13"/>
  </w:num>
  <w:num w:numId="10">
    <w:abstractNumId w:val="2"/>
  </w:num>
  <w:num w:numId="11">
    <w:abstractNumId w:val="10"/>
  </w:num>
  <w:num w:numId="12">
    <w:abstractNumId w:val="5"/>
  </w:num>
  <w:num w:numId="13">
    <w:abstractNumId w:val="14"/>
  </w:num>
  <w:num w:numId="14">
    <w:abstractNumId w:val="8"/>
  </w:num>
  <w:num w:numId="15">
    <w:abstractNumId w:val="4"/>
  </w:num>
  <w:num w:numId="16">
    <w:abstractNumId w:val="0"/>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CC"/>
    <w:rsid w:val="00010C65"/>
    <w:rsid w:val="000168FA"/>
    <w:rsid w:val="00020C69"/>
    <w:rsid w:val="00027CD4"/>
    <w:rsid w:val="00030C7F"/>
    <w:rsid w:val="000443A9"/>
    <w:rsid w:val="00044AAB"/>
    <w:rsid w:val="000910B7"/>
    <w:rsid w:val="000A6AFE"/>
    <w:rsid w:val="000B2343"/>
    <w:rsid w:val="000B7FBA"/>
    <w:rsid w:val="000D27F0"/>
    <w:rsid w:val="000D64B6"/>
    <w:rsid w:val="000E19BB"/>
    <w:rsid w:val="000E6391"/>
    <w:rsid w:val="000F4DBA"/>
    <w:rsid w:val="0010240B"/>
    <w:rsid w:val="00103272"/>
    <w:rsid w:val="00105D5A"/>
    <w:rsid w:val="001151B0"/>
    <w:rsid w:val="00116061"/>
    <w:rsid w:val="0012379B"/>
    <w:rsid w:val="0012567B"/>
    <w:rsid w:val="001259E2"/>
    <w:rsid w:val="001304BB"/>
    <w:rsid w:val="00134176"/>
    <w:rsid w:val="00154290"/>
    <w:rsid w:val="001551A7"/>
    <w:rsid w:val="0016437B"/>
    <w:rsid w:val="00181992"/>
    <w:rsid w:val="00195F68"/>
    <w:rsid w:val="001C01FB"/>
    <w:rsid w:val="001D0C21"/>
    <w:rsid w:val="001E3F3B"/>
    <w:rsid w:val="001E68DE"/>
    <w:rsid w:val="00207541"/>
    <w:rsid w:val="002137B2"/>
    <w:rsid w:val="00220B8E"/>
    <w:rsid w:val="00223927"/>
    <w:rsid w:val="002304ED"/>
    <w:rsid w:val="00230940"/>
    <w:rsid w:val="00234429"/>
    <w:rsid w:val="002557FE"/>
    <w:rsid w:val="00265BC0"/>
    <w:rsid w:val="00267918"/>
    <w:rsid w:val="002726F6"/>
    <w:rsid w:val="002A382C"/>
    <w:rsid w:val="002A3E28"/>
    <w:rsid w:val="002B43F8"/>
    <w:rsid w:val="002B6E3B"/>
    <w:rsid w:val="002B79F9"/>
    <w:rsid w:val="002C0778"/>
    <w:rsid w:val="002C14F3"/>
    <w:rsid w:val="002C4D9F"/>
    <w:rsid w:val="002D1C06"/>
    <w:rsid w:val="002D27F5"/>
    <w:rsid w:val="002D41D8"/>
    <w:rsid w:val="002D781A"/>
    <w:rsid w:val="002E6D2B"/>
    <w:rsid w:val="002F0537"/>
    <w:rsid w:val="00320032"/>
    <w:rsid w:val="003351AF"/>
    <w:rsid w:val="00335422"/>
    <w:rsid w:val="00343F5E"/>
    <w:rsid w:val="00346A79"/>
    <w:rsid w:val="00362FF6"/>
    <w:rsid w:val="00366F7E"/>
    <w:rsid w:val="00373C4B"/>
    <w:rsid w:val="003957CF"/>
    <w:rsid w:val="003A06AA"/>
    <w:rsid w:val="003B4373"/>
    <w:rsid w:val="003C1AF9"/>
    <w:rsid w:val="003C4B5E"/>
    <w:rsid w:val="003C5A61"/>
    <w:rsid w:val="003E69C9"/>
    <w:rsid w:val="003F70B3"/>
    <w:rsid w:val="00417C00"/>
    <w:rsid w:val="00424C98"/>
    <w:rsid w:val="004271C7"/>
    <w:rsid w:val="00436A0C"/>
    <w:rsid w:val="00443B70"/>
    <w:rsid w:val="00461126"/>
    <w:rsid w:val="00462B18"/>
    <w:rsid w:val="00484BBE"/>
    <w:rsid w:val="00492D17"/>
    <w:rsid w:val="00494FCE"/>
    <w:rsid w:val="004A7CB7"/>
    <w:rsid w:val="004B0F1B"/>
    <w:rsid w:val="004B2CCC"/>
    <w:rsid w:val="004B6A2C"/>
    <w:rsid w:val="004C0108"/>
    <w:rsid w:val="004C1FD9"/>
    <w:rsid w:val="004C5DDF"/>
    <w:rsid w:val="004D187B"/>
    <w:rsid w:val="00501000"/>
    <w:rsid w:val="005049B5"/>
    <w:rsid w:val="0051635C"/>
    <w:rsid w:val="005215F1"/>
    <w:rsid w:val="0054079F"/>
    <w:rsid w:val="0055730C"/>
    <w:rsid w:val="00560D8B"/>
    <w:rsid w:val="00566DCC"/>
    <w:rsid w:val="00574422"/>
    <w:rsid w:val="005A4F19"/>
    <w:rsid w:val="005A5154"/>
    <w:rsid w:val="005B77E5"/>
    <w:rsid w:val="005C713B"/>
    <w:rsid w:val="005D311E"/>
    <w:rsid w:val="005E2476"/>
    <w:rsid w:val="005F6739"/>
    <w:rsid w:val="00604F18"/>
    <w:rsid w:val="0062079A"/>
    <w:rsid w:val="00623498"/>
    <w:rsid w:val="00630085"/>
    <w:rsid w:val="00637AAA"/>
    <w:rsid w:val="006520A2"/>
    <w:rsid w:val="006613F4"/>
    <w:rsid w:val="00661D00"/>
    <w:rsid w:val="006725ED"/>
    <w:rsid w:val="00674AC4"/>
    <w:rsid w:val="006A1C1E"/>
    <w:rsid w:val="006A2A67"/>
    <w:rsid w:val="006C0FA2"/>
    <w:rsid w:val="006C6206"/>
    <w:rsid w:val="006D0889"/>
    <w:rsid w:val="006D49F8"/>
    <w:rsid w:val="006D4FA3"/>
    <w:rsid w:val="006D68EC"/>
    <w:rsid w:val="006E6228"/>
    <w:rsid w:val="006F0257"/>
    <w:rsid w:val="006F5A81"/>
    <w:rsid w:val="00703BD1"/>
    <w:rsid w:val="007317BE"/>
    <w:rsid w:val="00735CE6"/>
    <w:rsid w:val="0077436A"/>
    <w:rsid w:val="007835E9"/>
    <w:rsid w:val="007A3E32"/>
    <w:rsid w:val="007A74BE"/>
    <w:rsid w:val="007B44DF"/>
    <w:rsid w:val="007C0661"/>
    <w:rsid w:val="007D59D4"/>
    <w:rsid w:val="007D5E93"/>
    <w:rsid w:val="007E10DD"/>
    <w:rsid w:val="007E29B2"/>
    <w:rsid w:val="007F119C"/>
    <w:rsid w:val="00820AC3"/>
    <w:rsid w:val="00827B5C"/>
    <w:rsid w:val="00831A14"/>
    <w:rsid w:val="0084073E"/>
    <w:rsid w:val="00857584"/>
    <w:rsid w:val="00862A4F"/>
    <w:rsid w:val="00865ABF"/>
    <w:rsid w:val="00872217"/>
    <w:rsid w:val="0088298E"/>
    <w:rsid w:val="008A777A"/>
    <w:rsid w:val="008C5D80"/>
    <w:rsid w:val="008E51CA"/>
    <w:rsid w:val="008F0242"/>
    <w:rsid w:val="008F234E"/>
    <w:rsid w:val="0092289F"/>
    <w:rsid w:val="00924F0C"/>
    <w:rsid w:val="00927360"/>
    <w:rsid w:val="00934574"/>
    <w:rsid w:val="00935052"/>
    <w:rsid w:val="009373E0"/>
    <w:rsid w:val="00937C53"/>
    <w:rsid w:val="0094098F"/>
    <w:rsid w:val="00955319"/>
    <w:rsid w:val="009723D9"/>
    <w:rsid w:val="00993A06"/>
    <w:rsid w:val="009B2C17"/>
    <w:rsid w:val="009E1101"/>
    <w:rsid w:val="009E6B2C"/>
    <w:rsid w:val="00A13BAF"/>
    <w:rsid w:val="00A21215"/>
    <w:rsid w:val="00A25E61"/>
    <w:rsid w:val="00A37D53"/>
    <w:rsid w:val="00A435DD"/>
    <w:rsid w:val="00A538B9"/>
    <w:rsid w:val="00A56818"/>
    <w:rsid w:val="00A60CF1"/>
    <w:rsid w:val="00A87A01"/>
    <w:rsid w:val="00A925DB"/>
    <w:rsid w:val="00AB05D7"/>
    <w:rsid w:val="00AD2B48"/>
    <w:rsid w:val="00AE7175"/>
    <w:rsid w:val="00AF2D9E"/>
    <w:rsid w:val="00B0229D"/>
    <w:rsid w:val="00B10F65"/>
    <w:rsid w:val="00B114D5"/>
    <w:rsid w:val="00B1748C"/>
    <w:rsid w:val="00B35DDD"/>
    <w:rsid w:val="00B37723"/>
    <w:rsid w:val="00B54809"/>
    <w:rsid w:val="00B65EEC"/>
    <w:rsid w:val="00B67799"/>
    <w:rsid w:val="00B87888"/>
    <w:rsid w:val="00BB011B"/>
    <w:rsid w:val="00BC4264"/>
    <w:rsid w:val="00BC4DCC"/>
    <w:rsid w:val="00BC63B3"/>
    <w:rsid w:val="00BC6639"/>
    <w:rsid w:val="00BD595A"/>
    <w:rsid w:val="00BE0A20"/>
    <w:rsid w:val="00BE651F"/>
    <w:rsid w:val="00C03698"/>
    <w:rsid w:val="00C14B77"/>
    <w:rsid w:val="00C2423C"/>
    <w:rsid w:val="00C51539"/>
    <w:rsid w:val="00C55827"/>
    <w:rsid w:val="00C728D3"/>
    <w:rsid w:val="00C800BB"/>
    <w:rsid w:val="00C8289F"/>
    <w:rsid w:val="00C82D4C"/>
    <w:rsid w:val="00C86AA3"/>
    <w:rsid w:val="00C927CF"/>
    <w:rsid w:val="00CA0BCA"/>
    <w:rsid w:val="00CC62E4"/>
    <w:rsid w:val="00CF3442"/>
    <w:rsid w:val="00CF35A1"/>
    <w:rsid w:val="00D0220E"/>
    <w:rsid w:val="00D07B45"/>
    <w:rsid w:val="00D256EE"/>
    <w:rsid w:val="00D43E3F"/>
    <w:rsid w:val="00D508B3"/>
    <w:rsid w:val="00D51611"/>
    <w:rsid w:val="00D54C90"/>
    <w:rsid w:val="00D61724"/>
    <w:rsid w:val="00D7146C"/>
    <w:rsid w:val="00D8760B"/>
    <w:rsid w:val="00D93842"/>
    <w:rsid w:val="00DA1345"/>
    <w:rsid w:val="00DA232E"/>
    <w:rsid w:val="00DA24E9"/>
    <w:rsid w:val="00DB32CA"/>
    <w:rsid w:val="00DE42DD"/>
    <w:rsid w:val="00E06295"/>
    <w:rsid w:val="00E12D09"/>
    <w:rsid w:val="00E14DAC"/>
    <w:rsid w:val="00E1549B"/>
    <w:rsid w:val="00E23C99"/>
    <w:rsid w:val="00E247FB"/>
    <w:rsid w:val="00E3447F"/>
    <w:rsid w:val="00E36872"/>
    <w:rsid w:val="00E44A9F"/>
    <w:rsid w:val="00E56ADE"/>
    <w:rsid w:val="00E57829"/>
    <w:rsid w:val="00E6053C"/>
    <w:rsid w:val="00E62B72"/>
    <w:rsid w:val="00E76F8F"/>
    <w:rsid w:val="00EA163B"/>
    <w:rsid w:val="00EA32A1"/>
    <w:rsid w:val="00EA3510"/>
    <w:rsid w:val="00EB28AF"/>
    <w:rsid w:val="00EC633E"/>
    <w:rsid w:val="00EC71DD"/>
    <w:rsid w:val="00ED035A"/>
    <w:rsid w:val="00ED6764"/>
    <w:rsid w:val="00ED69B8"/>
    <w:rsid w:val="00EE6036"/>
    <w:rsid w:val="00EF3D01"/>
    <w:rsid w:val="00EF48B3"/>
    <w:rsid w:val="00EF5F5E"/>
    <w:rsid w:val="00EF6225"/>
    <w:rsid w:val="00F05AB6"/>
    <w:rsid w:val="00F11D04"/>
    <w:rsid w:val="00F257F6"/>
    <w:rsid w:val="00F36AF4"/>
    <w:rsid w:val="00F37492"/>
    <w:rsid w:val="00F4265A"/>
    <w:rsid w:val="00F43B9B"/>
    <w:rsid w:val="00F5436C"/>
    <w:rsid w:val="00F64008"/>
    <w:rsid w:val="00F64885"/>
    <w:rsid w:val="00F7691B"/>
    <w:rsid w:val="00F84300"/>
    <w:rsid w:val="00FA4AF2"/>
    <w:rsid w:val="00FB1C8B"/>
    <w:rsid w:val="00FC4A72"/>
    <w:rsid w:val="00FD634A"/>
    <w:rsid w:val="00FD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927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07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07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66F7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2CCC"/>
    <w:pPr>
      <w:tabs>
        <w:tab w:val="center" w:pos="4320"/>
        <w:tab w:val="right" w:pos="8640"/>
      </w:tabs>
    </w:pPr>
  </w:style>
  <w:style w:type="character" w:customStyle="1" w:styleId="FooterChar">
    <w:name w:val="Footer Char"/>
    <w:basedOn w:val="DefaultParagraphFont"/>
    <w:link w:val="Footer"/>
    <w:uiPriority w:val="99"/>
    <w:rsid w:val="004B2CCC"/>
  </w:style>
  <w:style w:type="character" w:styleId="PageNumber">
    <w:name w:val="page number"/>
    <w:basedOn w:val="DefaultParagraphFont"/>
    <w:uiPriority w:val="99"/>
    <w:semiHidden/>
    <w:unhideWhenUsed/>
    <w:rsid w:val="004B2CCC"/>
  </w:style>
  <w:style w:type="paragraph" w:styleId="ListParagraph">
    <w:name w:val="List Paragraph"/>
    <w:basedOn w:val="Normal"/>
    <w:uiPriority w:val="34"/>
    <w:qFormat/>
    <w:rsid w:val="004B2CCC"/>
    <w:pPr>
      <w:ind w:left="720"/>
      <w:contextualSpacing/>
    </w:pPr>
  </w:style>
  <w:style w:type="paragraph" w:styleId="BalloonText">
    <w:name w:val="Balloon Text"/>
    <w:basedOn w:val="Normal"/>
    <w:link w:val="BalloonTextChar"/>
    <w:uiPriority w:val="99"/>
    <w:semiHidden/>
    <w:unhideWhenUsed/>
    <w:rsid w:val="005E2476"/>
    <w:rPr>
      <w:rFonts w:ascii="Lucida Grande" w:hAnsi="Lucida Grande"/>
      <w:sz w:val="18"/>
      <w:szCs w:val="18"/>
    </w:rPr>
  </w:style>
  <w:style w:type="character" w:customStyle="1" w:styleId="BalloonTextChar">
    <w:name w:val="Balloon Text Char"/>
    <w:basedOn w:val="DefaultParagraphFont"/>
    <w:link w:val="BalloonText"/>
    <w:uiPriority w:val="99"/>
    <w:semiHidden/>
    <w:rsid w:val="005E2476"/>
    <w:rPr>
      <w:rFonts w:ascii="Lucida Grande" w:hAnsi="Lucida Grande"/>
      <w:sz w:val="18"/>
      <w:szCs w:val="18"/>
    </w:rPr>
  </w:style>
  <w:style w:type="paragraph" w:styleId="Title">
    <w:name w:val="Title"/>
    <w:basedOn w:val="Normal"/>
    <w:next w:val="Normal"/>
    <w:link w:val="TitleChar"/>
    <w:uiPriority w:val="10"/>
    <w:qFormat/>
    <w:rsid w:val="00010C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0C6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10C6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10C65"/>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unhideWhenUsed/>
    <w:rsid w:val="000D27F0"/>
    <w:pPr>
      <w:tabs>
        <w:tab w:val="center" w:pos="4680"/>
        <w:tab w:val="right" w:pos="9360"/>
      </w:tabs>
    </w:pPr>
  </w:style>
  <w:style w:type="character" w:customStyle="1" w:styleId="HeaderChar">
    <w:name w:val="Header Char"/>
    <w:basedOn w:val="DefaultParagraphFont"/>
    <w:link w:val="Header"/>
    <w:uiPriority w:val="99"/>
    <w:rsid w:val="000D27F0"/>
  </w:style>
  <w:style w:type="character" w:customStyle="1" w:styleId="Heading2Char">
    <w:name w:val="Heading 2 Char"/>
    <w:basedOn w:val="DefaultParagraphFont"/>
    <w:link w:val="Heading2"/>
    <w:uiPriority w:val="9"/>
    <w:rsid w:val="00C92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07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079A"/>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EE6036"/>
    <w:rPr>
      <w:sz w:val="20"/>
      <w:szCs w:val="20"/>
    </w:rPr>
  </w:style>
  <w:style w:type="character" w:customStyle="1" w:styleId="FootnoteTextChar">
    <w:name w:val="Footnote Text Char"/>
    <w:basedOn w:val="DefaultParagraphFont"/>
    <w:link w:val="FootnoteText"/>
    <w:uiPriority w:val="99"/>
    <w:semiHidden/>
    <w:rsid w:val="00EE6036"/>
    <w:rPr>
      <w:sz w:val="20"/>
      <w:szCs w:val="20"/>
    </w:rPr>
  </w:style>
  <w:style w:type="character" w:styleId="FootnoteReference">
    <w:name w:val="footnote reference"/>
    <w:basedOn w:val="DefaultParagraphFont"/>
    <w:uiPriority w:val="99"/>
    <w:semiHidden/>
    <w:unhideWhenUsed/>
    <w:rsid w:val="00EE6036"/>
    <w:rPr>
      <w:vertAlign w:val="superscript"/>
    </w:rPr>
  </w:style>
  <w:style w:type="character" w:customStyle="1" w:styleId="Heading5Char">
    <w:name w:val="Heading 5 Char"/>
    <w:basedOn w:val="DefaultParagraphFont"/>
    <w:link w:val="Heading5"/>
    <w:uiPriority w:val="9"/>
    <w:rsid w:val="00366F7E"/>
    <w:rPr>
      <w:rFonts w:asciiTheme="majorHAnsi" w:eastAsiaTheme="majorEastAsia" w:hAnsiTheme="majorHAnsi" w:cstheme="majorBidi"/>
      <w:color w:val="243F60" w:themeColor="accent1" w:themeShade="7F"/>
    </w:rPr>
  </w:style>
  <w:style w:type="paragraph" w:styleId="EndnoteText">
    <w:name w:val="endnote text"/>
    <w:basedOn w:val="Normal"/>
    <w:link w:val="EndnoteTextChar"/>
    <w:uiPriority w:val="99"/>
    <w:semiHidden/>
    <w:unhideWhenUsed/>
    <w:rsid w:val="00F36AF4"/>
    <w:rPr>
      <w:sz w:val="20"/>
      <w:szCs w:val="20"/>
    </w:rPr>
  </w:style>
  <w:style w:type="character" w:customStyle="1" w:styleId="EndnoteTextChar">
    <w:name w:val="Endnote Text Char"/>
    <w:basedOn w:val="DefaultParagraphFont"/>
    <w:link w:val="EndnoteText"/>
    <w:uiPriority w:val="99"/>
    <w:semiHidden/>
    <w:rsid w:val="00F36AF4"/>
    <w:rPr>
      <w:sz w:val="20"/>
      <w:szCs w:val="20"/>
    </w:rPr>
  </w:style>
  <w:style w:type="character" w:styleId="EndnoteReference">
    <w:name w:val="endnote reference"/>
    <w:basedOn w:val="DefaultParagraphFont"/>
    <w:uiPriority w:val="99"/>
    <w:semiHidden/>
    <w:unhideWhenUsed/>
    <w:rsid w:val="00F36AF4"/>
    <w:rPr>
      <w:vertAlign w:val="superscript"/>
    </w:rPr>
  </w:style>
  <w:style w:type="character" w:styleId="CommentReference">
    <w:name w:val="annotation reference"/>
    <w:basedOn w:val="DefaultParagraphFont"/>
    <w:uiPriority w:val="99"/>
    <w:semiHidden/>
    <w:unhideWhenUsed/>
    <w:rsid w:val="001D0C21"/>
    <w:rPr>
      <w:sz w:val="16"/>
      <w:szCs w:val="16"/>
    </w:rPr>
  </w:style>
  <w:style w:type="paragraph" w:styleId="CommentText">
    <w:name w:val="annotation text"/>
    <w:basedOn w:val="Normal"/>
    <w:link w:val="CommentTextChar"/>
    <w:uiPriority w:val="99"/>
    <w:semiHidden/>
    <w:unhideWhenUsed/>
    <w:rsid w:val="001D0C21"/>
    <w:rPr>
      <w:sz w:val="20"/>
      <w:szCs w:val="20"/>
    </w:rPr>
  </w:style>
  <w:style w:type="character" w:customStyle="1" w:styleId="CommentTextChar">
    <w:name w:val="Comment Text Char"/>
    <w:basedOn w:val="DefaultParagraphFont"/>
    <w:link w:val="CommentText"/>
    <w:uiPriority w:val="99"/>
    <w:semiHidden/>
    <w:rsid w:val="001D0C21"/>
    <w:rPr>
      <w:sz w:val="20"/>
      <w:szCs w:val="20"/>
    </w:rPr>
  </w:style>
  <w:style w:type="paragraph" w:styleId="CommentSubject">
    <w:name w:val="annotation subject"/>
    <w:basedOn w:val="CommentText"/>
    <w:next w:val="CommentText"/>
    <w:link w:val="CommentSubjectChar"/>
    <w:uiPriority w:val="99"/>
    <w:semiHidden/>
    <w:unhideWhenUsed/>
    <w:rsid w:val="001D0C21"/>
    <w:rPr>
      <w:b/>
      <w:bCs/>
    </w:rPr>
  </w:style>
  <w:style w:type="character" w:customStyle="1" w:styleId="CommentSubjectChar">
    <w:name w:val="Comment Subject Char"/>
    <w:basedOn w:val="CommentTextChar"/>
    <w:link w:val="CommentSubject"/>
    <w:uiPriority w:val="99"/>
    <w:semiHidden/>
    <w:rsid w:val="001D0C21"/>
    <w:rPr>
      <w:b/>
      <w:bCs/>
      <w:sz w:val="20"/>
      <w:szCs w:val="20"/>
    </w:rPr>
  </w:style>
  <w:style w:type="paragraph" w:styleId="Revision">
    <w:name w:val="Revision"/>
    <w:hidden/>
    <w:uiPriority w:val="99"/>
    <w:semiHidden/>
    <w:rsid w:val="002C4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927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07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07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66F7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2CCC"/>
    <w:pPr>
      <w:tabs>
        <w:tab w:val="center" w:pos="4320"/>
        <w:tab w:val="right" w:pos="8640"/>
      </w:tabs>
    </w:pPr>
  </w:style>
  <w:style w:type="character" w:customStyle="1" w:styleId="FooterChar">
    <w:name w:val="Footer Char"/>
    <w:basedOn w:val="DefaultParagraphFont"/>
    <w:link w:val="Footer"/>
    <w:uiPriority w:val="99"/>
    <w:rsid w:val="004B2CCC"/>
  </w:style>
  <w:style w:type="character" w:styleId="PageNumber">
    <w:name w:val="page number"/>
    <w:basedOn w:val="DefaultParagraphFont"/>
    <w:uiPriority w:val="99"/>
    <w:semiHidden/>
    <w:unhideWhenUsed/>
    <w:rsid w:val="004B2CCC"/>
  </w:style>
  <w:style w:type="paragraph" w:styleId="ListParagraph">
    <w:name w:val="List Paragraph"/>
    <w:basedOn w:val="Normal"/>
    <w:uiPriority w:val="34"/>
    <w:qFormat/>
    <w:rsid w:val="004B2CCC"/>
    <w:pPr>
      <w:ind w:left="720"/>
      <w:contextualSpacing/>
    </w:pPr>
  </w:style>
  <w:style w:type="paragraph" w:styleId="BalloonText">
    <w:name w:val="Balloon Text"/>
    <w:basedOn w:val="Normal"/>
    <w:link w:val="BalloonTextChar"/>
    <w:uiPriority w:val="99"/>
    <w:semiHidden/>
    <w:unhideWhenUsed/>
    <w:rsid w:val="005E2476"/>
    <w:rPr>
      <w:rFonts w:ascii="Lucida Grande" w:hAnsi="Lucida Grande"/>
      <w:sz w:val="18"/>
      <w:szCs w:val="18"/>
    </w:rPr>
  </w:style>
  <w:style w:type="character" w:customStyle="1" w:styleId="BalloonTextChar">
    <w:name w:val="Balloon Text Char"/>
    <w:basedOn w:val="DefaultParagraphFont"/>
    <w:link w:val="BalloonText"/>
    <w:uiPriority w:val="99"/>
    <w:semiHidden/>
    <w:rsid w:val="005E2476"/>
    <w:rPr>
      <w:rFonts w:ascii="Lucida Grande" w:hAnsi="Lucida Grande"/>
      <w:sz w:val="18"/>
      <w:szCs w:val="18"/>
    </w:rPr>
  </w:style>
  <w:style w:type="paragraph" w:styleId="Title">
    <w:name w:val="Title"/>
    <w:basedOn w:val="Normal"/>
    <w:next w:val="Normal"/>
    <w:link w:val="TitleChar"/>
    <w:uiPriority w:val="10"/>
    <w:qFormat/>
    <w:rsid w:val="00010C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0C6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10C6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10C65"/>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unhideWhenUsed/>
    <w:rsid w:val="000D27F0"/>
    <w:pPr>
      <w:tabs>
        <w:tab w:val="center" w:pos="4680"/>
        <w:tab w:val="right" w:pos="9360"/>
      </w:tabs>
    </w:pPr>
  </w:style>
  <w:style w:type="character" w:customStyle="1" w:styleId="HeaderChar">
    <w:name w:val="Header Char"/>
    <w:basedOn w:val="DefaultParagraphFont"/>
    <w:link w:val="Header"/>
    <w:uiPriority w:val="99"/>
    <w:rsid w:val="000D27F0"/>
  </w:style>
  <w:style w:type="character" w:customStyle="1" w:styleId="Heading2Char">
    <w:name w:val="Heading 2 Char"/>
    <w:basedOn w:val="DefaultParagraphFont"/>
    <w:link w:val="Heading2"/>
    <w:uiPriority w:val="9"/>
    <w:rsid w:val="00C92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07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079A"/>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EE6036"/>
    <w:rPr>
      <w:sz w:val="20"/>
      <w:szCs w:val="20"/>
    </w:rPr>
  </w:style>
  <w:style w:type="character" w:customStyle="1" w:styleId="FootnoteTextChar">
    <w:name w:val="Footnote Text Char"/>
    <w:basedOn w:val="DefaultParagraphFont"/>
    <w:link w:val="FootnoteText"/>
    <w:uiPriority w:val="99"/>
    <w:semiHidden/>
    <w:rsid w:val="00EE6036"/>
    <w:rPr>
      <w:sz w:val="20"/>
      <w:szCs w:val="20"/>
    </w:rPr>
  </w:style>
  <w:style w:type="character" w:styleId="FootnoteReference">
    <w:name w:val="footnote reference"/>
    <w:basedOn w:val="DefaultParagraphFont"/>
    <w:uiPriority w:val="99"/>
    <w:semiHidden/>
    <w:unhideWhenUsed/>
    <w:rsid w:val="00EE6036"/>
    <w:rPr>
      <w:vertAlign w:val="superscript"/>
    </w:rPr>
  </w:style>
  <w:style w:type="character" w:customStyle="1" w:styleId="Heading5Char">
    <w:name w:val="Heading 5 Char"/>
    <w:basedOn w:val="DefaultParagraphFont"/>
    <w:link w:val="Heading5"/>
    <w:uiPriority w:val="9"/>
    <w:rsid w:val="00366F7E"/>
    <w:rPr>
      <w:rFonts w:asciiTheme="majorHAnsi" w:eastAsiaTheme="majorEastAsia" w:hAnsiTheme="majorHAnsi" w:cstheme="majorBidi"/>
      <w:color w:val="243F60" w:themeColor="accent1" w:themeShade="7F"/>
    </w:rPr>
  </w:style>
  <w:style w:type="paragraph" w:styleId="EndnoteText">
    <w:name w:val="endnote text"/>
    <w:basedOn w:val="Normal"/>
    <w:link w:val="EndnoteTextChar"/>
    <w:uiPriority w:val="99"/>
    <w:semiHidden/>
    <w:unhideWhenUsed/>
    <w:rsid w:val="00F36AF4"/>
    <w:rPr>
      <w:sz w:val="20"/>
      <w:szCs w:val="20"/>
    </w:rPr>
  </w:style>
  <w:style w:type="character" w:customStyle="1" w:styleId="EndnoteTextChar">
    <w:name w:val="Endnote Text Char"/>
    <w:basedOn w:val="DefaultParagraphFont"/>
    <w:link w:val="EndnoteText"/>
    <w:uiPriority w:val="99"/>
    <w:semiHidden/>
    <w:rsid w:val="00F36AF4"/>
    <w:rPr>
      <w:sz w:val="20"/>
      <w:szCs w:val="20"/>
    </w:rPr>
  </w:style>
  <w:style w:type="character" w:styleId="EndnoteReference">
    <w:name w:val="endnote reference"/>
    <w:basedOn w:val="DefaultParagraphFont"/>
    <w:uiPriority w:val="99"/>
    <w:semiHidden/>
    <w:unhideWhenUsed/>
    <w:rsid w:val="00F36AF4"/>
    <w:rPr>
      <w:vertAlign w:val="superscript"/>
    </w:rPr>
  </w:style>
  <w:style w:type="character" w:styleId="CommentReference">
    <w:name w:val="annotation reference"/>
    <w:basedOn w:val="DefaultParagraphFont"/>
    <w:uiPriority w:val="99"/>
    <w:semiHidden/>
    <w:unhideWhenUsed/>
    <w:rsid w:val="001D0C21"/>
    <w:rPr>
      <w:sz w:val="16"/>
      <w:szCs w:val="16"/>
    </w:rPr>
  </w:style>
  <w:style w:type="paragraph" w:styleId="CommentText">
    <w:name w:val="annotation text"/>
    <w:basedOn w:val="Normal"/>
    <w:link w:val="CommentTextChar"/>
    <w:uiPriority w:val="99"/>
    <w:semiHidden/>
    <w:unhideWhenUsed/>
    <w:rsid w:val="001D0C21"/>
    <w:rPr>
      <w:sz w:val="20"/>
      <w:szCs w:val="20"/>
    </w:rPr>
  </w:style>
  <w:style w:type="character" w:customStyle="1" w:styleId="CommentTextChar">
    <w:name w:val="Comment Text Char"/>
    <w:basedOn w:val="DefaultParagraphFont"/>
    <w:link w:val="CommentText"/>
    <w:uiPriority w:val="99"/>
    <w:semiHidden/>
    <w:rsid w:val="001D0C21"/>
    <w:rPr>
      <w:sz w:val="20"/>
      <w:szCs w:val="20"/>
    </w:rPr>
  </w:style>
  <w:style w:type="paragraph" w:styleId="CommentSubject">
    <w:name w:val="annotation subject"/>
    <w:basedOn w:val="CommentText"/>
    <w:next w:val="CommentText"/>
    <w:link w:val="CommentSubjectChar"/>
    <w:uiPriority w:val="99"/>
    <w:semiHidden/>
    <w:unhideWhenUsed/>
    <w:rsid w:val="001D0C21"/>
    <w:rPr>
      <w:b/>
      <w:bCs/>
    </w:rPr>
  </w:style>
  <w:style w:type="character" w:customStyle="1" w:styleId="CommentSubjectChar">
    <w:name w:val="Comment Subject Char"/>
    <w:basedOn w:val="CommentTextChar"/>
    <w:link w:val="CommentSubject"/>
    <w:uiPriority w:val="99"/>
    <w:semiHidden/>
    <w:rsid w:val="001D0C21"/>
    <w:rPr>
      <w:b/>
      <w:bCs/>
      <w:sz w:val="20"/>
      <w:szCs w:val="20"/>
    </w:rPr>
  </w:style>
  <w:style w:type="paragraph" w:styleId="Revision">
    <w:name w:val="Revision"/>
    <w:hidden/>
    <w:uiPriority w:val="99"/>
    <w:semiHidden/>
    <w:rsid w:val="002C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0709">
      <w:bodyDiv w:val="1"/>
      <w:marLeft w:val="0"/>
      <w:marRight w:val="0"/>
      <w:marTop w:val="0"/>
      <w:marBottom w:val="0"/>
      <w:divBdr>
        <w:top w:val="none" w:sz="0" w:space="0" w:color="auto"/>
        <w:left w:val="none" w:sz="0" w:space="0" w:color="auto"/>
        <w:bottom w:val="none" w:sz="0" w:space="0" w:color="auto"/>
        <w:right w:val="none" w:sz="0" w:space="0" w:color="auto"/>
      </w:divBdr>
      <w:divsChild>
        <w:div w:id="1392195798">
          <w:marLeft w:val="547"/>
          <w:marRight w:val="0"/>
          <w:marTop w:val="77"/>
          <w:marBottom w:val="0"/>
          <w:divBdr>
            <w:top w:val="none" w:sz="0" w:space="0" w:color="auto"/>
            <w:left w:val="none" w:sz="0" w:space="0" w:color="auto"/>
            <w:bottom w:val="none" w:sz="0" w:space="0" w:color="auto"/>
            <w:right w:val="none" w:sz="0" w:space="0" w:color="auto"/>
          </w:divBdr>
        </w:div>
      </w:divsChild>
    </w:div>
    <w:div w:id="286475628">
      <w:bodyDiv w:val="1"/>
      <w:marLeft w:val="0"/>
      <w:marRight w:val="0"/>
      <w:marTop w:val="0"/>
      <w:marBottom w:val="0"/>
      <w:divBdr>
        <w:top w:val="none" w:sz="0" w:space="0" w:color="auto"/>
        <w:left w:val="none" w:sz="0" w:space="0" w:color="auto"/>
        <w:bottom w:val="none" w:sz="0" w:space="0" w:color="auto"/>
        <w:right w:val="none" w:sz="0" w:space="0" w:color="auto"/>
      </w:divBdr>
      <w:divsChild>
        <w:div w:id="1650137009">
          <w:marLeft w:val="547"/>
          <w:marRight w:val="0"/>
          <w:marTop w:val="67"/>
          <w:marBottom w:val="0"/>
          <w:divBdr>
            <w:top w:val="none" w:sz="0" w:space="0" w:color="auto"/>
            <w:left w:val="none" w:sz="0" w:space="0" w:color="auto"/>
            <w:bottom w:val="none" w:sz="0" w:space="0" w:color="auto"/>
            <w:right w:val="none" w:sz="0" w:space="0" w:color="auto"/>
          </w:divBdr>
        </w:div>
        <w:div w:id="952899319">
          <w:marLeft w:val="547"/>
          <w:marRight w:val="0"/>
          <w:marTop w:val="67"/>
          <w:marBottom w:val="0"/>
          <w:divBdr>
            <w:top w:val="none" w:sz="0" w:space="0" w:color="auto"/>
            <w:left w:val="none" w:sz="0" w:space="0" w:color="auto"/>
            <w:bottom w:val="none" w:sz="0" w:space="0" w:color="auto"/>
            <w:right w:val="none" w:sz="0" w:space="0" w:color="auto"/>
          </w:divBdr>
        </w:div>
        <w:div w:id="1603218094">
          <w:marLeft w:val="547"/>
          <w:marRight w:val="0"/>
          <w:marTop w:val="67"/>
          <w:marBottom w:val="0"/>
          <w:divBdr>
            <w:top w:val="none" w:sz="0" w:space="0" w:color="auto"/>
            <w:left w:val="none" w:sz="0" w:space="0" w:color="auto"/>
            <w:bottom w:val="none" w:sz="0" w:space="0" w:color="auto"/>
            <w:right w:val="none" w:sz="0" w:space="0" w:color="auto"/>
          </w:divBdr>
        </w:div>
        <w:div w:id="542793309">
          <w:marLeft w:val="547"/>
          <w:marRight w:val="0"/>
          <w:marTop w:val="67"/>
          <w:marBottom w:val="0"/>
          <w:divBdr>
            <w:top w:val="none" w:sz="0" w:space="0" w:color="auto"/>
            <w:left w:val="none" w:sz="0" w:space="0" w:color="auto"/>
            <w:bottom w:val="none" w:sz="0" w:space="0" w:color="auto"/>
            <w:right w:val="none" w:sz="0" w:space="0" w:color="auto"/>
          </w:divBdr>
        </w:div>
        <w:div w:id="1864900380">
          <w:marLeft w:val="547"/>
          <w:marRight w:val="0"/>
          <w:marTop w:val="67"/>
          <w:marBottom w:val="0"/>
          <w:divBdr>
            <w:top w:val="none" w:sz="0" w:space="0" w:color="auto"/>
            <w:left w:val="none" w:sz="0" w:space="0" w:color="auto"/>
            <w:bottom w:val="none" w:sz="0" w:space="0" w:color="auto"/>
            <w:right w:val="none" w:sz="0" w:space="0" w:color="auto"/>
          </w:divBdr>
        </w:div>
      </w:divsChild>
    </w:div>
    <w:div w:id="389617280">
      <w:bodyDiv w:val="1"/>
      <w:marLeft w:val="0"/>
      <w:marRight w:val="0"/>
      <w:marTop w:val="0"/>
      <w:marBottom w:val="0"/>
      <w:divBdr>
        <w:top w:val="none" w:sz="0" w:space="0" w:color="auto"/>
        <w:left w:val="none" w:sz="0" w:space="0" w:color="auto"/>
        <w:bottom w:val="none" w:sz="0" w:space="0" w:color="auto"/>
        <w:right w:val="none" w:sz="0" w:space="0" w:color="auto"/>
      </w:divBdr>
      <w:divsChild>
        <w:div w:id="1916233360">
          <w:marLeft w:val="547"/>
          <w:marRight w:val="0"/>
          <w:marTop w:val="77"/>
          <w:marBottom w:val="0"/>
          <w:divBdr>
            <w:top w:val="none" w:sz="0" w:space="0" w:color="auto"/>
            <w:left w:val="none" w:sz="0" w:space="0" w:color="auto"/>
            <w:bottom w:val="none" w:sz="0" w:space="0" w:color="auto"/>
            <w:right w:val="none" w:sz="0" w:space="0" w:color="auto"/>
          </w:divBdr>
        </w:div>
        <w:div w:id="388766536">
          <w:marLeft w:val="547"/>
          <w:marRight w:val="0"/>
          <w:marTop w:val="77"/>
          <w:marBottom w:val="0"/>
          <w:divBdr>
            <w:top w:val="none" w:sz="0" w:space="0" w:color="auto"/>
            <w:left w:val="none" w:sz="0" w:space="0" w:color="auto"/>
            <w:bottom w:val="none" w:sz="0" w:space="0" w:color="auto"/>
            <w:right w:val="none" w:sz="0" w:space="0" w:color="auto"/>
          </w:divBdr>
        </w:div>
      </w:divsChild>
    </w:div>
    <w:div w:id="458962678">
      <w:bodyDiv w:val="1"/>
      <w:marLeft w:val="0"/>
      <w:marRight w:val="0"/>
      <w:marTop w:val="0"/>
      <w:marBottom w:val="0"/>
      <w:divBdr>
        <w:top w:val="none" w:sz="0" w:space="0" w:color="auto"/>
        <w:left w:val="none" w:sz="0" w:space="0" w:color="auto"/>
        <w:bottom w:val="none" w:sz="0" w:space="0" w:color="auto"/>
        <w:right w:val="none" w:sz="0" w:space="0" w:color="auto"/>
      </w:divBdr>
      <w:divsChild>
        <w:div w:id="868181394">
          <w:marLeft w:val="547"/>
          <w:marRight w:val="0"/>
          <w:marTop w:val="72"/>
          <w:marBottom w:val="0"/>
          <w:divBdr>
            <w:top w:val="none" w:sz="0" w:space="0" w:color="auto"/>
            <w:left w:val="none" w:sz="0" w:space="0" w:color="auto"/>
            <w:bottom w:val="none" w:sz="0" w:space="0" w:color="auto"/>
            <w:right w:val="none" w:sz="0" w:space="0" w:color="auto"/>
          </w:divBdr>
        </w:div>
        <w:div w:id="1304852996">
          <w:marLeft w:val="547"/>
          <w:marRight w:val="0"/>
          <w:marTop w:val="72"/>
          <w:marBottom w:val="0"/>
          <w:divBdr>
            <w:top w:val="none" w:sz="0" w:space="0" w:color="auto"/>
            <w:left w:val="none" w:sz="0" w:space="0" w:color="auto"/>
            <w:bottom w:val="none" w:sz="0" w:space="0" w:color="auto"/>
            <w:right w:val="none" w:sz="0" w:space="0" w:color="auto"/>
          </w:divBdr>
        </w:div>
        <w:div w:id="414979316">
          <w:marLeft w:val="547"/>
          <w:marRight w:val="0"/>
          <w:marTop w:val="72"/>
          <w:marBottom w:val="0"/>
          <w:divBdr>
            <w:top w:val="none" w:sz="0" w:space="0" w:color="auto"/>
            <w:left w:val="none" w:sz="0" w:space="0" w:color="auto"/>
            <w:bottom w:val="none" w:sz="0" w:space="0" w:color="auto"/>
            <w:right w:val="none" w:sz="0" w:space="0" w:color="auto"/>
          </w:divBdr>
        </w:div>
        <w:div w:id="457191328">
          <w:marLeft w:val="1166"/>
          <w:marRight w:val="0"/>
          <w:marTop w:val="62"/>
          <w:marBottom w:val="0"/>
          <w:divBdr>
            <w:top w:val="none" w:sz="0" w:space="0" w:color="auto"/>
            <w:left w:val="none" w:sz="0" w:space="0" w:color="auto"/>
            <w:bottom w:val="none" w:sz="0" w:space="0" w:color="auto"/>
            <w:right w:val="none" w:sz="0" w:space="0" w:color="auto"/>
          </w:divBdr>
        </w:div>
        <w:div w:id="1027367947">
          <w:marLeft w:val="1166"/>
          <w:marRight w:val="0"/>
          <w:marTop w:val="62"/>
          <w:marBottom w:val="0"/>
          <w:divBdr>
            <w:top w:val="none" w:sz="0" w:space="0" w:color="auto"/>
            <w:left w:val="none" w:sz="0" w:space="0" w:color="auto"/>
            <w:bottom w:val="none" w:sz="0" w:space="0" w:color="auto"/>
            <w:right w:val="none" w:sz="0" w:space="0" w:color="auto"/>
          </w:divBdr>
        </w:div>
      </w:divsChild>
    </w:div>
    <w:div w:id="506480303">
      <w:bodyDiv w:val="1"/>
      <w:marLeft w:val="0"/>
      <w:marRight w:val="0"/>
      <w:marTop w:val="0"/>
      <w:marBottom w:val="0"/>
      <w:divBdr>
        <w:top w:val="none" w:sz="0" w:space="0" w:color="auto"/>
        <w:left w:val="none" w:sz="0" w:space="0" w:color="auto"/>
        <w:bottom w:val="none" w:sz="0" w:space="0" w:color="auto"/>
        <w:right w:val="none" w:sz="0" w:space="0" w:color="auto"/>
      </w:divBdr>
    </w:div>
    <w:div w:id="701394494">
      <w:bodyDiv w:val="1"/>
      <w:marLeft w:val="0"/>
      <w:marRight w:val="0"/>
      <w:marTop w:val="0"/>
      <w:marBottom w:val="0"/>
      <w:divBdr>
        <w:top w:val="none" w:sz="0" w:space="0" w:color="auto"/>
        <w:left w:val="none" w:sz="0" w:space="0" w:color="auto"/>
        <w:bottom w:val="none" w:sz="0" w:space="0" w:color="auto"/>
        <w:right w:val="none" w:sz="0" w:space="0" w:color="auto"/>
      </w:divBdr>
      <w:divsChild>
        <w:div w:id="759251120">
          <w:marLeft w:val="547"/>
          <w:marRight w:val="0"/>
          <w:marTop w:val="67"/>
          <w:marBottom w:val="0"/>
          <w:divBdr>
            <w:top w:val="none" w:sz="0" w:space="0" w:color="auto"/>
            <w:left w:val="none" w:sz="0" w:space="0" w:color="auto"/>
            <w:bottom w:val="none" w:sz="0" w:space="0" w:color="auto"/>
            <w:right w:val="none" w:sz="0" w:space="0" w:color="auto"/>
          </w:divBdr>
        </w:div>
        <w:div w:id="1175195290">
          <w:marLeft w:val="1166"/>
          <w:marRight w:val="0"/>
          <w:marTop w:val="67"/>
          <w:marBottom w:val="0"/>
          <w:divBdr>
            <w:top w:val="none" w:sz="0" w:space="0" w:color="auto"/>
            <w:left w:val="none" w:sz="0" w:space="0" w:color="auto"/>
            <w:bottom w:val="none" w:sz="0" w:space="0" w:color="auto"/>
            <w:right w:val="none" w:sz="0" w:space="0" w:color="auto"/>
          </w:divBdr>
        </w:div>
        <w:div w:id="645554278">
          <w:marLeft w:val="1166"/>
          <w:marRight w:val="0"/>
          <w:marTop w:val="67"/>
          <w:marBottom w:val="0"/>
          <w:divBdr>
            <w:top w:val="none" w:sz="0" w:space="0" w:color="auto"/>
            <w:left w:val="none" w:sz="0" w:space="0" w:color="auto"/>
            <w:bottom w:val="none" w:sz="0" w:space="0" w:color="auto"/>
            <w:right w:val="none" w:sz="0" w:space="0" w:color="auto"/>
          </w:divBdr>
        </w:div>
        <w:div w:id="656496630">
          <w:marLeft w:val="1166"/>
          <w:marRight w:val="0"/>
          <w:marTop w:val="67"/>
          <w:marBottom w:val="0"/>
          <w:divBdr>
            <w:top w:val="none" w:sz="0" w:space="0" w:color="auto"/>
            <w:left w:val="none" w:sz="0" w:space="0" w:color="auto"/>
            <w:bottom w:val="none" w:sz="0" w:space="0" w:color="auto"/>
            <w:right w:val="none" w:sz="0" w:space="0" w:color="auto"/>
          </w:divBdr>
        </w:div>
        <w:div w:id="424234597">
          <w:marLeft w:val="1166"/>
          <w:marRight w:val="0"/>
          <w:marTop w:val="67"/>
          <w:marBottom w:val="0"/>
          <w:divBdr>
            <w:top w:val="none" w:sz="0" w:space="0" w:color="auto"/>
            <w:left w:val="none" w:sz="0" w:space="0" w:color="auto"/>
            <w:bottom w:val="none" w:sz="0" w:space="0" w:color="auto"/>
            <w:right w:val="none" w:sz="0" w:space="0" w:color="auto"/>
          </w:divBdr>
        </w:div>
      </w:divsChild>
    </w:div>
    <w:div w:id="721175754">
      <w:bodyDiv w:val="1"/>
      <w:marLeft w:val="0"/>
      <w:marRight w:val="0"/>
      <w:marTop w:val="0"/>
      <w:marBottom w:val="0"/>
      <w:divBdr>
        <w:top w:val="none" w:sz="0" w:space="0" w:color="auto"/>
        <w:left w:val="none" w:sz="0" w:space="0" w:color="auto"/>
        <w:bottom w:val="none" w:sz="0" w:space="0" w:color="auto"/>
        <w:right w:val="none" w:sz="0" w:space="0" w:color="auto"/>
      </w:divBdr>
    </w:div>
    <w:div w:id="750934167">
      <w:bodyDiv w:val="1"/>
      <w:marLeft w:val="0"/>
      <w:marRight w:val="0"/>
      <w:marTop w:val="0"/>
      <w:marBottom w:val="0"/>
      <w:divBdr>
        <w:top w:val="none" w:sz="0" w:space="0" w:color="auto"/>
        <w:left w:val="none" w:sz="0" w:space="0" w:color="auto"/>
        <w:bottom w:val="none" w:sz="0" w:space="0" w:color="auto"/>
        <w:right w:val="none" w:sz="0" w:space="0" w:color="auto"/>
      </w:divBdr>
      <w:divsChild>
        <w:div w:id="1197277318">
          <w:marLeft w:val="547"/>
          <w:marRight w:val="0"/>
          <w:marTop w:val="77"/>
          <w:marBottom w:val="0"/>
          <w:divBdr>
            <w:top w:val="none" w:sz="0" w:space="0" w:color="auto"/>
            <w:left w:val="none" w:sz="0" w:space="0" w:color="auto"/>
            <w:bottom w:val="none" w:sz="0" w:space="0" w:color="auto"/>
            <w:right w:val="none" w:sz="0" w:space="0" w:color="auto"/>
          </w:divBdr>
        </w:div>
        <w:div w:id="1221213641">
          <w:marLeft w:val="547"/>
          <w:marRight w:val="0"/>
          <w:marTop w:val="77"/>
          <w:marBottom w:val="0"/>
          <w:divBdr>
            <w:top w:val="none" w:sz="0" w:space="0" w:color="auto"/>
            <w:left w:val="none" w:sz="0" w:space="0" w:color="auto"/>
            <w:bottom w:val="none" w:sz="0" w:space="0" w:color="auto"/>
            <w:right w:val="none" w:sz="0" w:space="0" w:color="auto"/>
          </w:divBdr>
        </w:div>
        <w:div w:id="581917376">
          <w:marLeft w:val="547"/>
          <w:marRight w:val="0"/>
          <w:marTop w:val="77"/>
          <w:marBottom w:val="0"/>
          <w:divBdr>
            <w:top w:val="none" w:sz="0" w:space="0" w:color="auto"/>
            <w:left w:val="none" w:sz="0" w:space="0" w:color="auto"/>
            <w:bottom w:val="none" w:sz="0" w:space="0" w:color="auto"/>
            <w:right w:val="none" w:sz="0" w:space="0" w:color="auto"/>
          </w:divBdr>
        </w:div>
      </w:divsChild>
    </w:div>
    <w:div w:id="860893789">
      <w:bodyDiv w:val="1"/>
      <w:marLeft w:val="0"/>
      <w:marRight w:val="0"/>
      <w:marTop w:val="0"/>
      <w:marBottom w:val="0"/>
      <w:divBdr>
        <w:top w:val="none" w:sz="0" w:space="0" w:color="auto"/>
        <w:left w:val="none" w:sz="0" w:space="0" w:color="auto"/>
        <w:bottom w:val="none" w:sz="0" w:space="0" w:color="auto"/>
        <w:right w:val="none" w:sz="0" w:space="0" w:color="auto"/>
      </w:divBdr>
      <w:divsChild>
        <w:div w:id="41759962">
          <w:marLeft w:val="547"/>
          <w:marRight w:val="0"/>
          <w:marTop w:val="77"/>
          <w:marBottom w:val="0"/>
          <w:divBdr>
            <w:top w:val="none" w:sz="0" w:space="0" w:color="auto"/>
            <w:left w:val="none" w:sz="0" w:space="0" w:color="auto"/>
            <w:bottom w:val="none" w:sz="0" w:space="0" w:color="auto"/>
            <w:right w:val="none" w:sz="0" w:space="0" w:color="auto"/>
          </w:divBdr>
        </w:div>
        <w:div w:id="310059182">
          <w:marLeft w:val="547"/>
          <w:marRight w:val="0"/>
          <w:marTop w:val="77"/>
          <w:marBottom w:val="0"/>
          <w:divBdr>
            <w:top w:val="none" w:sz="0" w:space="0" w:color="auto"/>
            <w:left w:val="none" w:sz="0" w:space="0" w:color="auto"/>
            <w:bottom w:val="none" w:sz="0" w:space="0" w:color="auto"/>
            <w:right w:val="none" w:sz="0" w:space="0" w:color="auto"/>
          </w:divBdr>
        </w:div>
      </w:divsChild>
    </w:div>
    <w:div w:id="1185942641">
      <w:bodyDiv w:val="1"/>
      <w:marLeft w:val="0"/>
      <w:marRight w:val="0"/>
      <w:marTop w:val="0"/>
      <w:marBottom w:val="0"/>
      <w:divBdr>
        <w:top w:val="none" w:sz="0" w:space="0" w:color="auto"/>
        <w:left w:val="none" w:sz="0" w:space="0" w:color="auto"/>
        <w:bottom w:val="none" w:sz="0" w:space="0" w:color="auto"/>
        <w:right w:val="none" w:sz="0" w:space="0" w:color="auto"/>
      </w:divBdr>
      <w:divsChild>
        <w:div w:id="383984755">
          <w:marLeft w:val="547"/>
          <w:marRight w:val="0"/>
          <w:marTop w:val="67"/>
          <w:marBottom w:val="0"/>
          <w:divBdr>
            <w:top w:val="none" w:sz="0" w:space="0" w:color="auto"/>
            <w:left w:val="none" w:sz="0" w:space="0" w:color="auto"/>
            <w:bottom w:val="none" w:sz="0" w:space="0" w:color="auto"/>
            <w:right w:val="none" w:sz="0" w:space="0" w:color="auto"/>
          </w:divBdr>
        </w:div>
        <w:div w:id="154420415">
          <w:marLeft w:val="547"/>
          <w:marRight w:val="0"/>
          <w:marTop w:val="67"/>
          <w:marBottom w:val="0"/>
          <w:divBdr>
            <w:top w:val="none" w:sz="0" w:space="0" w:color="auto"/>
            <w:left w:val="none" w:sz="0" w:space="0" w:color="auto"/>
            <w:bottom w:val="none" w:sz="0" w:space="0" w:color="auto"/>
            <w:right w:val="none" w:sz="0" w:space="0" w:color="auto"/>
          </w:divBdr>
        </w:div>
        <w:div w:id="1755319446">
          <w:marLeft w:val="1166"/>
          <w:marRight w:val="0"/>
          <w:marTop w:val="67"/>
          <w:marBottom w:val="0"/>
          <w:divBdr>
            <w:top w:val="none" w:sz="0" w:space="0" w:color="auto"/>
            <w:left w:val="none" w:sz="0" w:space="0" w:color="auto"/>
            <w:bottom w:val="none" w:sz="0" w:space="0" w:color="auto"/>
            <w:right w:val="none" w:sz="0" w:space="0" w:color="auto"/>
          </w:divBdr>
        </w:div>
        <w:div w:id="54281277">
          <w:marLeft w:val="1166"/>
          <w:marRight w:val="0"/>
          <w:marTop w:val="67"/>
          <w:marBottom w:val="0"/>
          <w:divBdr>
            <w:top w:val="none" w:sz="0" w:space="0" w:color="auto"/>
            <w:left w:val="none" w:sz="0" w:space="0" w:color="auto"/>
            <w:bottom w:val="none" w:sz="0" w:space="0" w:color="auto"/>
            <w:right w:val="none" w:sz="0" w:space="0" w:color="auto"/>
          </w:divBdr>
        </w:div>
        <w:div w:id="2079664347">
          <w:marLeft w:val="547"/>
          <w:marRight w:val="0"/>
          <w:marTop w:val="67"/>
          <w:marBottom w:val="0"/>
          <w:divBdr>
            <w:top w:val="none" w:sz="0" w:space="0" w:color="auto"/>
            <w:left w:val="none" w:sz="0" w:space="0" w:color="auto"/>
            <w:bottom w:val="none" w:sz="0" w:space="0" w:color="auto"/>
            <w:right w:val="none" w:sz="0" w:space="0" w:color="auto"/>
          </w:divBdr>
        </w:div>
        <w:div w:id="1610040865">
          <w:marLeft w:val="1166"/>
          <w:marRight w:val="0"/>
          <w:marTop w:val="67"/>
          <w:marBottom w:val="0"/>
          <w:divBdr>
            <w:top w:val="none" w:sz="0" w:space="0" w:color="auto"/>
            <w:left w:val="none" w:sz="0" w:space="0" w:color="auto"/>
            <w:bottom w:val="none" w:sz="0" w:space="0" w:color="auto"/>
            <w:right w:val="none" w:sz="0" w:space="0" w:color="auto"/>
          </w:divBdr>
        </w:div>
        <w:div w:id="1283805348">
          <w:marLeft w:val="1166"/>
          <w:marRight w:val="0"/>
          <w:marTop w:val="67"/>
          <w:marBottom w:val="0"/>
          <w:divBdr>
            <w:top w:val="none" w:sz="0" w:space="0" w:color="auto"/>
            <w:left w:val="none" w:sz="0" w:space="0" w:color="auto"/>
            <w:bottom w:val="none" w:sz="0" w:space="0" w:color="auto"/>
            <w:right w:val="none" w:sz="0" w:space="0" w:color="auto"/>
          </w:divBdr>
        </w:div>
      </w:divsChild>
    </w:div>
    <w:div w:id="1251934242">
      <w:bodyDiv w:val="1"/>
      <w:marLeft w:val="0"/>
      <w:marRight w:val="0"/>
      <w:marTop w:val="0"/>
      <w:marBottom w:val="0"/>
      <w:divBdr>
        <w:top w:val="none" w:sz="0" w:space="0" w:color="auto"/>
        <w:left w:val="none" w:sz="0" w:space="0" w:color="auto"/>
        <w:bottom w:val="none" w:sz="0" w:space="0" w:color="auto"/>
        <w:right w:val="none" w:sz="0" w:space="0" w:color="auto"/>
      </w:divBdr>
      <w:divsChild>
        <w:div w:id="1284776231">
          <w:marLeft w:val="547"/>
          <w:marRight w:val="0"/>
          <w:marTop w:val="86"/>
          <w:marBottom w:val="0"/>
          <w:divBdr>
            <w:top w:val="none" w:sz="0" w:space="0" w:color="auto"/>
            <w:left w:val="none" w:sz="0" w:space="0" w:color="auto"/>
            <w:bottom w:val="none" w:sz="0" w:space="0" w:color="auto"/>
            <w:right w:val="none" w:sz="0" w:space="0" w:color="auto"/>
          </w:divBdr>
        </w:div>
        <w:div w:id="1212620839">
          <w:marLeft w:val="547"/>
          <w:marRight w:val="0"/>
          <w:marTop w:val="86"/>
          <w:marBottom w:val="0"/>
          <w:divBdr>
            <w:top w:val="none" w:sz="0" w:space="0" w:color="auto"/>
            <w:left w:val="none" w:sz="0" w:space="0" w:color="auto"/>
            <w:bottom w:val="none" w:sz="0" w:space="0" w:color="auto"/>
            <w:right w:val="none" w:sz="0" w:space="0" w:color="auto"/>
          </w:divBdr>
        </w:div>
        <w:div w:id="2013753954">
          <w:marLeft w:val="547"/>
          <w:marRight w:val="0"/>
          <w:marTop w:val="86"/>
          <w:marBottom w:val="0"/>
          <w:divBdr>
            <w:top w:val="none" w:sz="0" w:space="0" w:color="auto"/>
            <w:left w:val="none" w:sz="0" w:space="0" w:color="auto"/>
            <w:bottom w:val="none" w:sz="0" w:space="0" w:color="auto"/>
            <w:right w:val="none" w:sz="0" w:space="0" w:color="auto"/>
          </w:divBdr>
        </w:div>
      </w:divsChild>
    </w:div>
    <w:div w:id="1275557818">
      <w:bodyDiv w:val="1"/>
      <w:marLeft w:val="0"/>
      <w:marRight w:val="0"/>
      <w:marTop w:val="0"/>
      <w:marBottom w:val="0"/>
      <w:divBdr>
        <w:top w:val="none" w:sz="0" w:space="0" w:color="auto"/>
        <w:left w:val="none" w:sz="0" w:space="0" w:color="auto"/>
        <w:bottom w:val="none" w:sz="0" w:space="0" w:color="auto"/>
        <w:right w:val="none" w:sz="0" w:space="0" w:color="auto"/>
      </w:divBdr>
      <w:divsChild>
        <w:div w:id="1392658900">
          <w:marLeft w:val="547"/>
          <w:marRight w:val="0"/>
          <w:marTop w:val="67"/>
          <w:marBottom w:val="0"/>
          <w:divBdr>
            <w:top w:val="none" w:sz="0" w:space="0" w:color="auto"/>
            <w:left w:val="none" w:sz="0" w:space="0" w:color="auto"/>
            <w:bottom w:val="none" w:sz="0" w:space="0" w:color="auto"/>
            <w:right w:val="none" w:sz="0" w:space="0" w:color="auto"/>
          </w:divBdr>
        </w:div>
        <w:div w:id="2011105311">
          <w:marLeft w:val="547"/>
          <w:marRight w:val="0"/>
          <w:marTop w:val="67"/>
          <w:marBottom w:val="0"/>
          <w:divBdr>
            <w:top w:val="none" w:sz="0" w:space="0" w:color="auto"/>
            <w:left w:val="none" w:sz="0" w:space="0" w:color="auto"/>
            <w:bottom w:val="none" w:sz="0" w:space="0" w:color="auto"/>
            <w:right w:val="none" w:sz="0" w:space="0" w:color="auto"/>
          </w:divBdr>
        </w:div>
        <w:div w:id="1112285760">
          <w:marLeft w:val="547"/>
          <w:marRight w:val="0"/>
          <w:marTop w:val="67"/>
          <w:marBottom w:val="0"/>
          <w:divBdr>
            <w:top w:val="none" w:sz="0" w:space="0" w:color="auto"/>
            <w:left w:val="none" w:sz="0" w:space="0" w:color="auto"/>
            <w:bottom w:val="none" w:sz="0" w:space="0" w:color="auto"/>
            <w:right w:val="none" w:sz="0" w:space="0" w:color="auto"/>
          </w:divBdr>
        </w:div>
        <w:div w:id="612708970">
          <w:marLeft w:val="547"/>
          <w:marRight w:val="0"/>
          <w:marTop w:val="67"/>
          <w:marBottom w:val="0"/>
          <w:divBdr>
            <w:top w:val="none" w:sz="0" w:space="0" w:color="auto"/>
            <w:left w:val="none" w:sz="0" w:space="0" w:color="auto"/>
            <w:bottom w:val="none" w:sz="0" w:space="0" w:color="auto"/>
            <w:right w:val="none" w:sz="0" w:space="0" w:color="auto"/>
          </w:divBdr>
        </w:div>
        <w:div w:id="1094084537">
          <w:marLeft w:val="547"/>
          <w:marRight w:val="0"/>
          <w:marTop w:val="67"/>
          <w:marBottom w:val="0"/>
          <w:divBdr>
            <w:top w:val="none" w:sz="0" w:space="0" w:color="auto"/>
            <w:left w:val="none" w:sz="0" w:space="0" w:color="auto"/>
            <w:bottom w:val="none" w:sz="0" w:space="0" w:color="auto"/>
            <w:right w:val="none" w:sz="0" w:space="0" w:color="auto"/>
          </w:divBdr>
        </w:div>
      </w:divsChild>
    </w:div>
    <w:div w:id="1663385760">
      <w:bodyDiv w:val="1"/>
      <w:marLeft w:val="0"/>
      <w:marRight w:val="0"/>
      <w:marTop w:val="0"/>
      <w:marBottom w:val="0"/>
      <w:divBdr>
        <w:top w:val="none" w:sz="0" w:space="0" w:color="auto"/>
        <w:left w:val="none" w:sz="0" w:space="0" w:color="auto"/>
        <w:bottom w:val="none" w:sz="0" w:space="0" w:color="auto"/>
        <w:right w:val="none" w:sz="0" w:space="0" w:color="auto"/>
      </w:divBdr>
    </w:div>
    <w:div w:id="1684937705">
      <w:bodyDiv w:val="1"/>
      <w:marLeft w:val="0"/>
      <w:marRight w:val="0"/>
      <w:marTop w:val="0"/>
      <w:marBottom w:val="0"/>
      <w:divBdr>
        <w:top w:val="none" w:sz="0" w:space="0" w:color="auto"/>
        <w:left w:val="none" w:sz="0" w:space="0" w:color="auto"/>
        <w:bottom w:val="none" w:sz="0" w:space="0" w:color="auto"/>
        <w:right w:val="none" w:sz="0" w:space="0" w:color="auto"/>
      </w:divBdr>
      <w:divsChild>
        <w:div w:id="399792019">
          <w:marLeft w:val="547"/>
          <w:marRight w:val="0"/>
          <w:marTop w:val="67"/>
          <w:marBottom w:val="0"/>
          <w:divBdr>
            <w:top w:val="none" w:sz="0" w:space="0" w:color="auto"/>
            <w:left w:val="none" w:sz="0" w:space="0" w:color="auto"/>
            <w:bottom w:val="none" w:sz="0" w:space="0" w:color="auto"/>
            <w:right w:val="none" w:sz="0" w:space="0" w:color="auto"/>
          </w:divBdr>
        </w:div>
        <w:div w:id="1566454259">
          <w:marLeft w:val="547"/>
          <w:marRight w:val="0"/>
          <w:marTop w:val="67"/>
          <w:marBottom w:val="0"/>
          <w:divBdr>
            <w:top w:val="none" w:sz="0" w:space="0" w:color="auto"/>
            <w:left w:val="none" w:sz="0" w:space="0" w:color="auto"/>
            <w:bottom w:val="none" w:sz="0" w:space="0" w:color="auto"/>
            <w:right w:val="none" w:sz="0" w:space="0" w:color="auto"/>
          </w:divBdr>
        </w:div>
        <w:div w:id="1362900839">
          <w:marLeft w:val="1166"/>
          <w:marRight w:val="0"/>
          <w:marTop w:val="67"/>
          <w:marBottom w:val="0"/>
          <w:divBdr>
            <w:top w:val="none" w:sz="0" w:space="0" w:color="auto"/>
            <w:left w:val="none" w:sz="0" w:space="0" w:color="auto"/>
            <w:bottom w:val="none" w:sz="0" w:space="0" w:color="auto"/>
            <w:right w:val="none" w:sz="0" w:space="0" w:color="auto"/>
          </w:divBdr>
        </w:div>
        <w:div w:id="1146320209">
          <w:marLeft w:val="1166"/>
          <w:marRight w:val="0"/>
          <w:marTop w:val="67"/>
          <w:marBottom w:val="0"/>
          <w:divBdr>
            <w:top w:val="none" w:sz="0" w:space="0" w:color="auto"/>
            <w:left w:val="none" w:sz="0" w:space="0" w:color="auto"/>
            <w:bottom w:val="none" w:sz="0" w:space="0" w:color="auto"/>
            <w:right w:val="none" w:sz="0" w:space="0" w:color="auto"/>
          </w:divBdr>
        </w:div>
        <w:div w:id="502741260">
          <w:marLeft w:val="1166"/>
          <w:marRight w:val="0"/>
          <w:marTop w:val="67"/>
          <w:marBottom w:val="0"/>
          <w:divBdr>
            <w:top w:val="none" w:sz="0" w:space="0" w:color="auto"/>
            <w:left w:val="none" w:sz="0" w:space="0" w:color="auto"/>
            <w:bottom w:val="none" w:sz="0" w:space="0" w:color="auto"/>
            <w:right w:val="none" w:sz="0" w:space="0" w:color="auto"/>
          </w:divBdr>
        </w:div>
        <w:div w:id="287663589">
          <w:marLeft w:val="547"/>
          <w:marRight w:val="0"/>
          <w:marTop w:val="67"/>
          <w:marBottom w:val="0"/>
          <w:divBdr>
            <w:top w:val="none" w:sz="0" w:space="0" w:color="auto"/>
            <w:left w:val="none" w:sz="0" w:space="0" w:color="auto"/>
            <w:bottom w:val="none" w:sz="0" w:space="0" w:color="auto"/>
            <w:right w:val="none" w:sz="0" w:space="0" w:color="auto"/>
          </w:divBdr>
        </w:div>
        <w:div w:id="429744419">
          <w:marLeft w:val="1166"/>
          <w:marRight w:val="0"/>
          <w:marTop w:val="67"/>
          <w:marBottom w:val="0"/>
          <w:divBdr>
            <w:top w:val="none" w:sz="0" w:space="0" w:color="auto"/>
            <w:left w:val="none" w:sz="0" w:space="0" w:color="auto"/>
            <w:bottom w:val="none" w:sz="0" w:space="0" w:color="auto"/>
            <w:right w:val="none" w:sz="0" w:space="0" w:color="auto"/>
          </w:divBdr>
        </w:div>
        <w:div w:id="303319579">
          <w:marLeft w:val="1166"/>
          <w:marRight w:val="0"/>
          <w:marTop w:val="67"/>
          <w:marBottom w:val="0"/>
          <w:divBdr>
            <w:top w:val="none" w:sz="0" w:space="0" w:color="auto"/>
            <w:left w:val="none" w:sz="0" w:space="0" w:color="auto"/>
            <w:bottom w:val="none" w:sz="0" w:space="0" w:color="auto"/>
            <w:right w:val="none" w:sz="0" w:space="0" w:color="auto"/>
          </w:divBdr>
        </w:div>
        <w:div w:id="1479610055">
          <w:marLeft w:val="1166"/>
          <w:marRight w:val="0"/>
          <w:marTop w:val="67"/>
          <w:marBottom w:val="0"/>
          <w:divBdr>
            <w:top w:val="none" w:sz="0" w:space="0" w:color="auto"/>
            <w:left w:val="none" w:sz="0" w:space="0" w:color="auto"/>
            <w:bottom w:val="none" w:sz="0" w:space="0" w:color="auto"/>
            <w:right w:val="none" w:sz="0" w:space="0" w:color="auto"/>
          </w:divBdr>
        </w:div>
      </w:divsChild>
    </w:div>
    <w:div w:id="1728723931">
      <w:bodyDiv w:val="1"/>
      <w:marLeft w:val="0"/>
      <w:marRight w:val="0"/>
      <w:marTop w:val="0"/>
      <w:marBottom w:val="0"/>
      <w:divBdr>
        <w:top w:val="none" w:sz="0" w:space="0" w:color="auto"/>
        <w:left w:val="none" w:sz="0" w:space="0" w:color="auto"/>
        <w:bottom w:val="none" w:sz="0" w:space="0" w:color="auto"/>
        <w:right w:val="none" w:sz="0" w:space="0" w:color="auto"/>
      </w:divBdr>
    </w:div>
    <w:div w:id="1765614392">
      <w:bodyDiv w:val="1"/>
      <w:marLeft w:val="0"/>
      <w:marRight w:val="0"/>
      <w:marTop w:val="0"/>
      <w:marBottom w:val="0"/>
      <w:divBdr>
        <w:top w:val="none" w:sz="0" w:space="0" w:color="auto"/>
        <w:left w:val="none" w:sz="0" w:space="0" w:color="auto"/>
        <w:bottom w:val="none" w:sz="0" w:space="0" w:color="auto"/>
        <w:right w:val="none" w:sz="0" w:space="0" w:color="auto"/>
      </w:divBdr>
      <w:divsChild>
        <w:div w:id="1440299525">
          <w:marLeft w:val="547"/>
          <w:marRight w:val="0"/>
          <w:marTop w:val="72"/>
          <w:marBottom w:val="0"/>
          <w:divBdr>
            <w:top w:val="none" w:sz="0" w:space="0" w:color="auto"/>
            <w:left w:val="none" w:sz="0" w:space="0" w:color="auto"/>
            <w:bottom w:val="none" w:sz="0" w:space="0" w:color="auto"/>
            <w:right w:val="none" w:sz="0" w:space="0" w:color="auto"/>
          </w:divBdr>
        </w:div>
      </w:divsChild>
    </w:div>
    <w:div w:id="1809469742">
      <w:bodyDiv w:val="1"/>
      <w:marLeft w:val="0"/>
      <w:marRight w:val="0"/>
      <w:marTop w:val="0"/>
      <w:marBottom w:val="0"/>
      <w:divBdr>
        <w:top w:val="none" w:sz="0" w:space="0" w:color="auto"/>
        <w:left w:val="none" w:sz="0" w:space="0" w:color="auto"/>
        <w:bottom w:val="none" w:sz="0" w:space="0" w:color="auto"/>
        <w:right w:val="none" w:sz="0" w:space="0" w:color="auto"/>
      </w:divBdr>
      <w:divsChild>
        <w:div w:id="147670661">
          <w:marLeft w:val="547"/>
          <w:marRight w:val="0"/>
          <w:marTop w:val="67"/>
          <w:marBottom w:val="0"/>
          <w:divBdr>
            <w:top w:val="none" w:sz="0" w:space="0" w:color="auto"/>
            <w:left w:val="none" w:sz="0" w:space="0" w:color="auto"/>
            <w:bottom w:val="none" w:sz="0" w:space="0" w:color="auto"/>
            <w:right w:val="none" w:sz="0" w:space="0" w:color="auto"/>
          </w:divBdr>
        </w:div>
        <w:div w:id="1704937748">
          <w:marLeft w:val="1166"/>
          <w:marRight w:val="0"/>
          <w:marTop w:val="67"/>
          <w:marBottom w:val="0"/>
          <w:divBdr>
            <w:top w:val="none" w:sz="0" w:space="0" w:color="auto"/>
            <w:left w:val="none" w:sz="0" w:space="0" w:color="auto"/>
            <w:bottom w:val="none" w:sz="0" w:space="0" w:color="auto"/>
            <w:right w:val="none" w:sz="0" w:space="0" w:color="auto"/>
          </w:divBdr>
        </w:div>
        <w:div w:id="957416608">
          <w:marLeft w:val="547"/>
          <w:marRight w:val="0"/>
          <w:marTop w:val="67"/>
          <w:marBottom w:val="0"/>
          <w:divBdr>
            <w:top w:val="none" w:sz="0" w:space="0" w:color="auto"/>
            <w:left w:val="none" w:sz="0" w:space="0" w:color="auto"/>
            <w:bottom w:val="none" w:sz="0" w:space="0" w:color="auto"/>
            <w:right w:val="none" w:sz="0" w:space="0" w:color="auto"/>
          </w:divBdr>
        </w:div>
        <w:div w:id="747386176">
          <w:marLeft w:val="547"/>
          <w:marRight w:val="0"/>
          <w:marTop w:val="67"/>
          <w:marBottom w:val="0"/>
          <w:divBdr>
            <w:top w:val="none" w:sz="0" w:space="0" w:color="auto"/>
            <w:left w:val="none" w:sz="0" w:space="0" w:color="auto"/>
            <w:bottom w:val="none" w:sz="0" w:space="0" w:color="auto"/>
            <w:right w:val="none" w:sz="0" w:space="0" w:color="auto"/>
          </w:divBdr>
        </w:div>
        <w:div w:id="662859913">
          <w:marLeft w:val="547"/>
          <w:marRight w:val="0"/>
          <w:marTop w:val="67"/>
          <w:marBottom w:val="0"/>
          <w:divBdr>
            <w:top w:val="none" w:sz="0" w:space="0" w:color="auto"/>
            <w:left w:val="none" w:sz="0" w:space="0" w:color="auto"/>
            <w:bottom w:val="none" w:sz="0" w:space="0" w:color="auto"/>
            <w:right w:val="none" w:sz="0" w:space="0" w:color="auto"/>
          </w:divBdr>
        </w:div>
      </w:divsChild>
    </w:div>
    <w:div w:id="1884049780">
      <w:bodyDiv w:val="1"/>
      <w:marLeft w:val="0"/>
      <w:marRight w:val="0"/>
      <w:marTop w:val="0"/>
      <w:marBottom w:val="0"/>
      <w:divBdr>
        <w:top w:val="none" w:sz="0" w:space="0" w:color="auto"/>
        <w:left w:val="none" w:sz="0" w:space="0" w:color="auto"/>
        <w:bottom w:val="none" w:sz="0" w:space="0" w:color="auto"/>
        <w:right w:val="none" w:sz="0" w:space="0" w:color="auto"/>
      </w:divBdr>
      <w:divsChild>
        <w:div w:id="601035645">
          <w:marLeft w:val="547"/>
          <w:marRight w:val="0"/>
          <w:marTop w:val="67"/>
          <w:marBottom w:val="0"/>
          <w:divBdr>
            <w:top w:val="none" w:sz="0" w:space="0" w:color="auto"/>
            <w:left w:val="none" w:sz="0" w:space="0" w:color="auto"/>
            <w:bottom w:val="none" w:sz="0" w:space="0" w:color="auto"/>
            <w:right w:val="none" w:sz="0" w:space="0" w:color="auto"/>
          </w:divBdr>
        </w:div>
        <w:div w:id="751124296">
          <w:marLeft w:val="547"/>
          <w:marRight w:val="0"/>
          <w:marTop w:val="67"/>
          <w:marBottom w:val="0"/>
          <w:divBdr>
            <w:top w:val="none" w:sz="0" w:space="0" w:color="auto"/>
            <w:left w:val="none" w:sz="0" w:space="0" w:color="auto"/>
            <w:bottom w:val="none" w:sz="0" w:space="0" w:color="auto"/>
            <w:right w:val="none" w:sz="0" w:space="0" w:color="auto"/>
          </w:divBdr>
        </w:div>
        <w:div w:id="1583371175">
          <w:marLeft w:val="1166"/>
          <w:marRight w:val="0"/>
          <w:marTop w:val="58"/>
          <w:marBottom w:val="0"/>
          <w:divBdr>
            <w:top w:val="none" w:sz="0" w:space="0" w:color="auto"/>
            <w:left w:val="none" w:sz="0" w:space="0" w:color="auto"/>
            <w:bottom w:val="none" w:sz="0" w:space="0" w:color="auto"/>
            <w:right w:val="none" w:sz="0" w:space="0" w:color="auto"/>
          </w:divBdr>
        </w:div>
        <w:div w:id="1840660338">
          <w:marLeft w:val="1166"/>
          <w:marRight w:val="0"/>
          <w:marTop w:val="58"/>
          <w:marBottom w:val="0"/>
          <w:divBdr>
            <w:top w:val="none" w:sz="0" w:space="0" w:color="auto"/>
            <w:left w:val="none" w:sz="0" w:space="0" w:color="auto"/>
            <w:bottom w:val="none" w:sz="0" w:space="0" w:color="auto"/>
            <w:right w:val="none" w:sz="0" w:space="0" w:color="auto"/>
          </w:divBdr>
        </w:div>
        <w:div w:id="1262641219">
          <w:marLeft w:val="547"/>
          <w:marRight w:val="0"/>
          <w:marTop w:val="67"/>
          <w:marBottom w:val="0"/>
          <w:divBdr>
            <w:top w:val="none" w:sz="0" w:space="0" w:color="auto"/>
            <w:left w:val="none" w:sz="0" w:space="0" w:color="auto"/>
            <w:bottom w:val="none" w:sz="0" w:space="0" w:color="auto"/>
            <w:right w:val="none" w:sz="0" w:space="0" w:color="auto"/>
          </w:divBdr>
        </w:div>
        <w:div w:id="1640722480">
          <w:marLeft w:val="1166"/>
          <w:marRight w:val="0"/>
          <w:marTop w:val="58"/>
          <w:marBottom w:val="0"/>
          <w:divBdr>
            <w:top w:val="none" w:sz="0" w:space="0" w:color="auto"/>
            <w:left w:val="none" w:sz="0" w:space="0" w:color="auto"/>
            <w:bottom w:val="none" w:sz="0" w:space="0" w:color="auto"/>
            <w:right w:val="none" w:sz="0" w:space="0" w:color="auto"/>
          </w:divBdr>
        </w:div>
        <w:div w:id="328868523">
          <w:marLeft w:val="1166"/>
          <w:marRight w:val="0"/>
          <w:marTop w:val="58"/>
          <w:marBottom w:val="0"/>
          <w:divBdr>
            <w:top w:val="none" w:sz="0" w:space="0" w:color="auto"/>
            <w:left w:val="none" w:sz="0" w:space="0" w:color="auto"/>
            <w:bottom w:val="none" w:sz="0" w:space="0" w:color="auto"/>
            <w:right w:val="none" w:sz="0" w:space="0" w:color="auto"/>
          </w:divBdr>
        </w:div>
        <w:div w:id="1659070671">
          <w:marLeft w:val="1166"/>
          <w:marRight w:val="0"/>
          <w:marTop w:val="58"/>
          <w:marBottom w:val="0"/>
          <w:divBdr>
            <w:top w:val="none" w:sz="0" w:space="0" w:color="auto"/>
            <w:left w:val="none" w:sz="0" w:space="0" w:color="auto"/>
            <w:bottom w:val="none" w:sz="0" w:space="0" w:color="auto"/>
            <w:right w:val="none" w:sz="0" w:space="0" w:color="auto"/>
          </w:divBdr>
        </w:div>
        <w:div w:id="1693337261">
          <w:marLeft w:val="1166"/>
          <w:marRight w:val="0"/>
          <w:marTop w:val="58"/>
          <w:marBottom w:val="0"/>
          <w:divBdr>
            <w:top w:val="none" w:sz="0" w:space="0" w:color="auto"/>
            <w:left w:val="none" w:sz="0" w:space="0" w:color="auto"/>
            <w:bottom w:val="none" w:sz="0" w:space="0" w:color="auto"/>
            <w:right w:val="none" w:sz="0" w:space="0" w:color="auto"/>
          </w:divBdr>
        </w:div>
      </w:divsChild>
    </w:div>
    <w:div w:id="1960987090">
      <w:bodyDiv w:val="1"/>
      <w:marLeft w:val="0"/>
      <w:marRight w:val="0"/>
      <w:marTop w:val="0"/>
      <w:marBottom w:val="0"/>
      <w:divBdr>
        <w:top w:val="none" w:sz="0" w:space="0" w:color="auto"/>
        <w:left w:val="none" w:sz="0" w:space="0" w:color="auto"/>
        <w:bottom w:val="none" w:sz="0" w:space="0" w:color="auto"/>
        <w:right w:val="none" w:sz="0" w:space="0" w:color="auto"/>
      </w:divBdr>
      <w:divsChild>
        <w:div w:id="804393110">
          <w:marLeft w:val="547"/>
          <w:marRight w:val="0"/>
          <w:marTop w:val="67"/>
          <w:marBottom w:val="0"/>
          <w:divBdr>
            <w:top w:val="none" w:sz="0" w:space="0" w:color="auto"/>
            <w:left w:val="none" w:sz="0" w:space="0" w:color="auto"/>
            <w:bottom w:val="none" w:sz="0" w:space="0" w:color="auto"/>
            <w:right w:val="none" w:sz="0" w:space="0" w:color="auto"/>
          </w:divBdr>
        </w:div>
        <w:div w:id="826748245">
          <w:marLeft w:val="547"/>
          <w:marRight w:val="0"/>
          <w:marTop w:val="67"/>
          <w:marBottom w:val="0"/>
          <w:divBdr>
            <w:top w:val="none" w:sz="0" w:space="0" w:color="auto"/>
            <w:left w:val="none" w:sz="0" w:space="0" w:color="auto"/>
            <w:bottom w:val="none" w:sz="0" w:space="0" w:color="auto"/>
            <w:right w:val="none" w:sz="0" w:space="0" w:color="auto"/>
          </w:divBdr>
        </w:div>
        <w:div w:id="934438512">
          <w:marLeft w:val="547"/>
          <w:marRight w:val="0"/>
          <w:marTop w:val="67"/>
          <w:marBottom w:val="0"/>
          <w:divBdr>
            <w:top w:val="none" w:sz="0" w:space="0" w:color="auto"/>
            <w:left w:val="none" w:sz="0" w:space="0" w:color="auto"/>
            <w:bottom w:val="none" w:sz="0" w:space="0" w:color="auto"/>
            <w:right w:val="none" w:sz="0" w:space="0" w:color="auto"/>
          </w:divBdr>
        </w:div>
        <w:div w:id="483854500">
          <w:marLeft w:val="547"/>
          <w:marRight w:val="0"/>
          <w:marTop w:val="67"/>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E5134-100E-40EA-BEDA-8CBAE0878050}"/>
</file>

<file path=customXml/itemProps2.xml><?xml version="1.0" encoding="utf-8"?>
<ds:datastoreItem xmlns:ds="http://schemas.openxmlformats.org/officeDocument/2006/customXml" ds:itemID="{9FFA5BC3-DDEB-4AB8-86A6-CC74E90FBAF1}"/>
</file>

<file path=customXml/itemProps3.xml><?xml version="1.0" encoding="utf-8"?>
<ds:datastoreItem xmlns:ds="http://schemas.openxmlformats.org/officeDocument/2006/customXml" ds:itemID="{1A691221-059C-46EB-B07E-AF8EF0822665}"/>
</file>

<file path=customXml/itemProps4.xml><?xml version="1.0" encoding="utf-8"?>
<ds:datastoreItem xmlns:ds="http://schemas.openxmlformats.org/officeDocument/2006/customXml" ds:itemID="{BB063F03-5882-493F-8494-7E00101EA41F}"/>
</file>

<file path=docProps/app.xml><?xml version="1.0" encoding="utf-8"?>
<Properties xmlns="http://schemas.openxmlformats.org/officeDocument/2006/extended-properties" xmlns:vt="http://schemas.openxmlformats.org/officeDocument/2006/docPropsVTypes">
  <Template>Normal</Template>
  <TotalTime>1</TotalTime>
  <Pages>16</Pages>
  <Words>3522</Words>
  <Characters>20080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Berkeley Research Group</Company>
  <LinksUpToDate>false</LinksUpToDate>
  <CharactersWithSpaces>23555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Patrick Redmon</dc:creator>
  <cp:lastModifiedBy>Linda Rough</cp:lastModifiedBy>
  <cp:revision>2</cp:revision>
  <cp:lastPrinted>2014-09-26T15:11:00Z</cp:lastPrinted>
  <dcterms:created xsi:type="dcterms:W3CDTF">2014-10-27T12:30:00Z</dcterms:created>
  <dcterms:modified xsi:type="dcterms:W3CDTF">2014-10-27T12:30:00Z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