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BC" w:rsidRDefault="007F3F87" w:rsidP="00547224">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TUR" w:hAnsi="Times New Roman TUR" w:cs="Times New Roman TUR"/>
          <w:b w:val="0"/>
          <w:bCs w:val="0"/>
          <w:vanish/>
        </w:rPr>
        <w:sectPr w:rsidR="009C5EBC" w:rsidSect="00112F93">
          <w:footerReference w:type="default" r:id="rId8"/>
          <w:footerReference w:type="first" r:id="rId9"/>
          <w:type w:val="continuous"/>
          <w:pgSz w:w="12240" w:h="15840" w:code="1"/>
          <w:pgMar w:top="4896" w:right="1440" w:bottom="720" w:left="1440" w:header="4608" w:footer="432" w:gutter="0"/>
          <w:pgNumType w:start="1"/>
          <w:cols w:space="720"/>
          <w:noEndnote/>
          <w:titlePg/>
          <w:docGrid w:linePitch="326"/>
        </w:sectPr>
      </w:pPr>
      <w:r>
        <w:rPr>
          <w:noProof/>
        </w:rPr>
        <mc:AlternateContent>
          <mc:Choice Requires="wps">
            <w:drawing>
              <wp:anchor distT="0" distB="0" distL="114300" distR="114300" simplePos="0" relativeHeight="251656704" behindDoc="1" locked="1" layoutInCell="0" allowOverlap="1">
                <wp:simplePos x="0" y="0"/>
                <wp:positionH relativeFrom="margin">
                  <wp:posOffset>-466725</wp:posOffset>
                </wp:positionH>
                <wp:positionV relativeFrom="margin">
                  <wp:posOffset>-2236470</wp:posOffset>
                </wp:positionV>
                <wp:extent cx="1652270" cy="1767840"/>
                <wp:effectExtent l="0" t="0" r="5080" b="381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sdt>
                            <w:sdtPr>
                              <w:rPr>
                                <w:rFonts w:ascii="Arial" w:hAnsi="Arial" w:cs="Arial"/>
                                <w:b/>
                                <w:bCs/>
                                <w:color w:val="000080"/>
                                <w:sz w:val="16"/>
                                <w:szCs w:val="16"/>
                              </w:rPr>
                              <w:alias w:val="Commissioners"/>
                              <w:tag w:val="Commissioners"/>
                              <w:id w:val="178636880"/>
                              <w:lock w:val="sdtContentLocked"/>
                            </w:sdtPr>
                            <w:sdtEndPr>
                              <w:rPr>
                                <w:rFonts w:ascii="Helvetica" w:hAnsi="Helvetica" w:cs="Helvetica"/>
                                <w:color w:val="000000"/>
                                <w:sz w:val="20"/>
                                <w:szCs w:val="20"/>
                              </w:rPr>
                            </w:sdtEndPr>
                            <w:sdtContent>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John M. Colmers</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Herbert S. Wong, Ph.D.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8A6E4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George H. Bone, M.D.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C9798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Stephen F. Jencks, </w:t>
                                </w:r>
                                <w:r w:rsidRPr="00665E88">
                                  <w:rPr>
                                    <w:rFonts w:ascii="Arial" w:hAnsi="Arial" w:cs="Arial"/>
                                    <w:b/>
                                    <w:bCs/>
                                    <w:color w:val="000080"/>
                                    <w:spacing w:val="20"/>
                                    <w:sz w:val="16"/>
                                    <w:szCs w:val="16"/>
                                  </w:rPr>
                                  <w:t>M.</w:t>
                                </w:r>
                                <w:r>
                                  <w:rPr>
                                    <w:rFonts w:ascii="Arial" w:hAnsi="Arial" w:cs="Arial"/>
                                    <w:b/>
                                    <w:bCs/>
                                    <w:color w:val="000080"/>
                                    <w:sz w:val="16"/>
                                    <w:szCs w:val="16"/>
                                  </w:rPr>
                                  <w:t>D., M.P.H.</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Jack C. Keane</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Bernadette C. Loftus, M.D.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Thomas R. Mullen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160C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75pt;margin-top:-176.1pt;width:130.1pt;height:139.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" o:allowincell="f" filled="f" stroked="f" strokeweight="0">
                <v:textbox inset="0,0,0,0">
                  <w:txbxContent>
                    <w:sdt>
                      <w:sdtPr>
                        <w:rPr>
                          <w:rFonts w:ascii="Arial" w:hAnsi="Arial" w:cs="Arial"/>
                          <w:b/>
                          <w:bCs/>
                          <w:color w:val="000080"/>
                          <w:sz w:val="16"/>
                          <w:szCs w:val="16"/>
                        </w:rPr>
                        <w:alias w:val="Commissioners"/>
                        <w:tag w:val="Commissioners"/>
                        <w:id w:val="178636880"/>
                        <w:lock w:val="sdtContentLocked"/>
                      </w:sdtPr>
                      <w:sdtEndPr>
                        <w:rPr>
                          <w:rFonts w:ascii="Helvetica" w:hAnsi="Helvetica" w:cs="Helvetica"/>
                          <w:color w:val="000000"/>
                          <w:sz w:val="20"/>
                          <w:szCs w:val="20"/>
                        </w:rPr>
                      </w:sdtEndPr>
                      <w:sdtContent>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John M. Colmers</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Herbert S. Wong, Ph.D.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8A6E4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George H. Bone, M.D.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C9798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Stephen F. Jencks, </w:t>
                          </w:r>
                          <w:r w:rsidRPr="00665E88">
                            <w:rPr>
                              <w:rFonts w:ascii="Arial" w:hAnsi="Arial" w:cs="Arial"/>
                              <w:b/>
                              <w:bCs/>
                              <w:color w:val="000080"/>
                              <w:spacing w:val="20"/>
                              <w:sz w:val="16"/>
                              <w:szCs w:val="16"/>
                            </w:rPr>
                            <w:t>M.</w:t>
                          </w:r>
                          <w:r>
                            <w:rPr>
                              <w:rFonts w:ascii="Arial" w:hAnsi="Arial" w:cs="Arial"/>
                              <w:b/>
                              <w:bCs/>
                              <w:color w:val="000080"/>
                              <w:sz w:val="16"/>
                              <w:szCs w:val="16"/>
                            </w:rPr>
                            <w:t>D., M.P.H.</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Jack C. Keane</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Bernadette C. Loftus, M.D.</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Thomas R. Mullen</w:t>
                          </w: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9573B" w:rsidP="00FE4667">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29573B" w:rsidRDefault="002160C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sdtContent>
                    </w:sdt>
                  </w:txbxContent>
                </v:textbox>
                <w10:wrap anchorx="margin" anchory="margin"/>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margin">
                  <wp:posOffset>5027930</wp:posOffset>
                </wp:positionH>
                <wp:positionV relativeFrom="margin">
                  <wp:posOffset>-2286000</wp:posOffset>
                </wp:positionV>
                <wp:extent cx="1450340" cy="1767840"/>
                <wp:effectExtent l="0" t="0" r="16510" b="38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sdt>
                            <w:sdtPr>
                              <w:rPr>
                                <w:rFonts w:ascii="Arial" w:hAnsi="Arial" w:cs="Arial"/>
                                <w:b/>
                                <w:bCs/>
                                <w:color w:val="000080"/>
                                <w:sz w:val="16"/>
                                <w:szCs w:val="16"/>
                              </w:rPr>
                              <w:alias w:val="Staff"/>
                              <w:tag w:val="Staff"/>
                              <w:id w:val="524722501"/>
                              <w:lock w:val="sdtContentLocked"/>
                            </w:sdtPr>
                            <w:sdtEndPr>
                              <w:rPr>
                                <w:rFonts w:ascii="Helvetica" w:hAnsi="Helvetica" w:cs="Helvetica"/>
                                <w:color w:val="000000"/>
                                <w:sz w:val="20"/>
                                <w:szCs w:val="20"/>
                              </w:rPr>
                            </w:sdtEndPr>
                            <w:sdtContent>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Donna Kinzer</w:t>
                                </w:r>
                              </w:p>
                              <w:p w:rsidR="0029573B" w:rsidRDefault="0029573B" w:rsidP="00B02FF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Executive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Stephen Ports</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Principal Deputy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Policy and Operations</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Gerard J. Schmith</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Deputy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Hospital Rate Setting</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Sule Calikoglu, Ph.D.</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Deputy Director</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Research and Methodology</w:t>
                                </w:r>
                              </w:p>
                              <w:p w:rsidR="0029573B" w:rsidRDefault="002160C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95.9pt;margin-top:-180pt;width:114.2pt;height:13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" o:allowincell="f" filled="f" stroked="f" strokeweight="0">
                <v:textbox inset="0,0,0,0">
                  <w:txbxContent>
                    <w:sdt>
                      <w:sdtPr>
                        <w:rPr>
                          <w:rFonts w:ascii="Arial" w:hAnsi="Arial" w:cs="Arial"/>
                          <w:b/>
                          <w:bCs/>
                          <w:color w:val="000080"/>
                          <w:sz w:val="16"/>
                          <w:szCs w:val="16"/>
                        </w:rPr>
                        <w:alias w:val="Staff"/>
                        <w:tag w:val="Staff"/>
                        <w:id w:val="524722501"/>
                        <w:lock w:val="sdtContentLocked"/>
                      </w:sdtPr>
                      <w:sdtEndPr>
                        <w:rPr>
                          <w:rFonts w:ascii="Helvetica" w:hAnsi="Helvetica" w:cs="Helvetica"/>
                          <w:color w:val="000000"/>
                          <w:sz w:val="20"/>
                          <w:szCs w:val="20"/>
                        </w:rPr>
                      </w:sdtEndPr>
                      <w:sdtContent>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Donna Kinzer</w:t>
                          </w:r>
                        </w:p>
                        <w:p w:rsidR="0029573B" w:rsidRDefault="0029573B" w:rsidP="00B02FF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Executive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Stephen Ports</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Principal Deputy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Policy and Operations</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Gerard J. Schmith</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Deputy Director</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Hospital Rate Setting</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Sule Calikoglu, Ph.D.</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Deputy Director</w:t>
                          </w:r>
                        </w:p>
                        <w:p w:rsidR="0029573B" w:rsidRDefault="0029573B" w:rsidP="0030043B">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Pr>
                              <w:rFonts w:ascii="Arial" w:hAnsi="Arial" w:cs="Arial"/>
                              <w:b/>
                              <w:bCs/>
                              <w:color w:val="000080"/>
                              <w:sz w:val="16"/>
                              <w:szCs w:val="16"/>
                            </w:rPr>
                            <w:t>Research and Methodology</w:t>
                          </w:r>
                        </w:p>
                        <w:p w:rsidR="0029573B" w:rsidRDefault="002160C6">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sdtContent>
                    </w:sdt>
                  </w:txbxContent>
                </v:textbox>
                <w10:wrap anchorx="margin" anchory="margin"/>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margin">
                  <wp:posOffset>1185545</wp:posOffset>
                </wp:positionH>
                <wp:positionV relativeFrom="margin">
                  <wp:posOffset>-914400</wp:posOffset>
                </wp:positionV>
                <wp:extent cx="3583940" cy="670560"/>
                <wp:effectExtent l="0" t="0" r="1651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94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sdt>
                            <w:sdtPr>
                              <w:rPr>
                                <w:rFonts w:ascii="Times New Roman" w:hAnsi="Times New Roman" w:cs="Times New Roman"/>
                                <w:b w:val="0"/>
                                <w:bCs w:val="0"/>
                                <w:color w:val="auto"/>
                                <w:sz w:val="20"/>
                                <w:szCs w:val="20"/>
                              </w:rPr>
                              <w:alias w:val="HSCRC"/>
                              <w:tag w:val="HSCRC"/>
                              <w:id w:val="524722498"/>
                              <w:lock w:val="sdtContentLocked"/>
                            </w:sdtPr>
                            <w:sdtEndPr>
                              <w:rPr>
                                <w:color w:val="000080"/>
                                <w:sz w:val="16"/>
                                <w:szCs w:val="16"/>
                              </w:rPr>
                            </w:sdtEndPr>
                            <w:sdtContent>
                              <w:p w:rsidR="0029573B" w:rsidRDefault="0029573B">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Pr>
                                    <w:sz w:val="20"/>
                                    <w:szCs w:val="20"/>
                                  </w:rPr>
                                  <w:t>HEALTH SERVICES COST REVIEW COMMISSION</w:t>
                                </w:r>
                              </w:p>
                              <w:p w:rsidR="0029573B" w:rsidRDefault="0029573B">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rsidR="0029573B" w:rsidRDefault="0029573B" w:rsidP="001059E8">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rsidR="0029573B" w:rsidRDefault="0029573B">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rsidR="0029573B" w:rsidRPr="00C97986" w:rsidRDefault="0029573B">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0" w:history="1">
                                  <w:r w:rsidRPr="00C97986">
                                    <w:rPr>
                                      <w:rStyle w:val="Hyperlink"/>
                                      <w:rFonts w:ascii="Arial" w:hAnsi="Arial" w:cs="Arial"/>
                                      <w:color w:val="000080"/>
                                      <w:sz w:val="16"/>
                                      <w:szCs w:val="16"/>
                                      <w:u w:val="none"/>
                                    </w:rPr>
                                    <w:t>hscrc.maryland.gov</w:t>
                                  </w:r>
                                </w:hyperlink>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93.35pt;margin-top:-1in;width:282.2pt;height:5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FgrAIAAKQ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" o:allowincell="f" filled="f" stroked="f" strokeweight="0">
                <v:textbox inset="0,0,0,0">
                  <w:txbxContent>
                    <w:sdt>
                      <w:sdtPr>
                        <w:rPr>
                          <w:rFonts w:ascii="Times New Roman" w:hAnsi="Times New Roman" w:cs="Times New Roman"/>
                          <w:b w:val="0"/>
                          <w:bCs w:val="0"/>
                          <w:color w:val="auto"/>
                          <w:sz w:val="20"/>
                          <w:szCs w:val="20"/>
                        </w:rPr>
                        <w:alias w:val="HSCRC"/>
                        <w:tag w:val="HSCRC"/>
                        <w:id w:val="524722498"/>
                        <w:lock w:val="sdtContentLocked"/>
                      </w:sdtPr>
                      <w:sdtEndPr>
                        <w:rPr>
                          <w:color w:val="000080"/>
                          <w:sz w:val="16"/>
                          <w:szCs w:val="16"/>
                        </w:rPr>
                      </w:sdtEndPr>
                      <w:sdtContent>
                        <w:p w:rsidR="0029573B" w:rsidRDefault="0029573B">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Pr>
                              <w:sz w:val="20"/>
                              <w:szCs w:val="20"/>
                            </w:rPr>
                            <w:t>HEALTH SERVICES COST REVIEW COMMISSION</w:t>
                          </w:r>
                        </w:p>
                        <w:p w:rsidR="0029573B" w:rsidRDefault="0029573B">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rsidR="0029573B" w:rsidRDefault="0029573B" w:rsidP="001059E8">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rsidR="0029573B" w:rsidRDefault="0029573B">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rsidR="0029573B" w:rsidRPr="00C97986" w:rsidRDefault="0029573B">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1" w:history="1">
                            <w:r w:rsidRPr="00C97986">
                              <w:rPr>
                                <w:rStyle w:val="Hyperlink"/>
                                <w:rFonts w:ascii="Arial" w:hAnsi="Arial" w:cs="Arial"/>
                                <w:color w:val="000080"/>
                                <w:sz w:val="16"/>
                                <w:szCs w:val="16"/>
                                <w:u w:val="none"/>
                              </w:rPr>
                              <w:t>hscrc.maryland.gov</w:t>
                            </w:r>
                          </w:hyperlink>
                        </w:p>
                      </w:sdtContent>
                    </w:sdt>
                  </w:txbxContent>
                </v:textbox>
                <w10:wrap anchorx="margin" anchory="margin"/>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margin">
                  <wp:posOffset>1336040</wp:posOffset>
                </wp:positionH>
                <wp:positionV relativeFrom="margin">
                  <wp:posOffset>-2670810</wp:posOffset>
                </wp:positionV>
                <wp:extent cx="3279140" cy="276225"/>
                <wp:effectExtent l="0" t="0" r="1651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1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sdt>
                            <w:sdtPr>
                              <w:rPr>
                                <w:rFonts w:ascii="Arial" w:hAnsi="Arial" w:cs="Arial"/>
                                <w:b/>
                                <w:bCs/>
                                <w:color w:val="000080"/>
                                <w:sz w:val="16"/>
                                <w:szCs w:val="16"/>
                              </w:rPr>
                              <w:alias w:val="MD DHMH"/>
                              <w:tag w:val="MD DHMH"/>
                              <w:id w:val="524722497"/>
                              <w:lock w:val="sdtContentLocked"/>
                            </w:sdtPr>
                            <w:sdtEndPr>
                              <w:rPr>
                                <w:rFonts w:ascii="Helvetica" w:hAnsi="Helvetica" w:cs="Helvetica"/>
                                <w:color w:val="000000"/>
                                <w:sz w:val="20"/>
                                <w:szCs w:val="20"/>
                              </w:rPr>
                            </w:sdtEndPr>
                            <w:sdtContent>
                              <w:p w:rsidR="0029573B" w:rsidRDefault="0029573B">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16"/>
                                    <w:szCs w:val="16"/>
                                  </w:rPr>
                                </w:pPr>
                                <w:r>
                                  <w:rPr>
                                    <w:rFonts w:ascii="Arial" w:hAnsi="Arial" w:cs="Arial"/>
                                    <w:b/>
                                    <w:bCs/>
                                    <w:color w:val="000080"/>
                                    <w:sz w:val="16"/>
                                    <w:szCs w:val="16"/>
                                  </w:rPr>
                                  <w:t>STATE OF MARYLAND</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Pr>
                                    <w:rFonts w:ascii="Arial" w:hAnsi="Arial" w:cs="Arial"/>
                                    <w:b/>
                                    <w:bCs/>
                                    <w:color w:val="000080"/>
                                    <w:sz w:val="16"/>
                                    <w:szCs w:val="16"/>
                                  </w:rPr>
                                  <w:t>DEPARTMENT OF HEALTH AND MENTAL HYGIENE</w:t>
                                </w:r>
                              </w:p>
                              <w:p w:rsidR="0029573B" w:rsidRDefault="002160C6">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05.2pt;margin-top:-210.3pt;width:258.2pt;height:21.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g/rAIAAKQ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" o:allowincell="f" filled="f" stroked="f" strokeweight="0">
                <v:textbox inset="0,0,0,0">
                  <w:txbxContent>
                    <w:sdt>
                      <w:sdtPr>
                        <w:rPr>
                          <w:rFonts w:ascii="Arial" w:hAnsi="Arial" w:cs="Arial"/>
                          <w:b/>
                          <w:bCs/>
                          <w:color w:val="000080"/>
                          <w:sz w:val="16"/>
                          <w:szCs w:val="16"/>
                        </w:rPr>
                        <w:alias w:val="MD DHMH"/>
                        <w:tag w:val="MD DHMH"/>
                        <w:id w:val="524722497"/>
                        <w:lock w:val="sdtContentLocked"/>
                      </w:sdtPr>
                      <w:sdtEndPr>
                        <w:rPr>
                          <w:rFonts w:ascii="Helvetica" w:hAnsi="Helvetica" w:cs="Helvetica"/>
                          <w:color w:val="000000"/>
                          <w:sz w:val="20"/>
                          <w:szCs w:val="20"/>
                        </w:rPr>
                      </w:sdtEndPr>
                      <w:sdtContent>
                        <w:p w:rsidR="0029573B" w:rsidRDefault="0029573B">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16"/>
                              <w:szCs w:val="16"/>
                            </w:rPr>
                          </w:pPr>
                          <w:r>
                            <w:rPr>
                              <w:rFonts w:ascii="Arial" w:hAnsi="Arial" w:cs="Arial"/>
                              <w:b/>
                              <w:bCs/>
                              <w:color w:val="000080"/>
                              <w:sz w:val="16"/>
                              <w:szCs w:val="16"/>
                            </w:rPr>
                            <w:t>STATE OF MARYLAND</w:t>
                          </w:r>
                        </w:p>
                        <w:p w:rsidR="0029573B" w:rsidRDefault="0029573B">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Pr>
                              <w:rFonts w:ascii="Arial" w:hAnsi="Arial" w:cs="Arial"/>
                              <w:b/>
                              <w:bCs/>
                              <w:color w:val="000080"/>
                              <w:sz w:val="16"/>
                              <w:szCs w:val="16"/>
                            </w:rPr>
                            <w:t>DEPARTMENT OF HEALTH AND MENTAL HYGIENE</w:t>
                          </w:r>
                        </w:p>
                        <w:p w:rsidR="0029573B" w:rsidRDefault="002160C6">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sdtContent>
                    </w:sdt>
                  </w:txbxContent>
                </v:textbox>
                <w10:wrap anchorx="margin" anchory="margin"/>
                <w10:anchorlock/>
              </v:rect>
            </w:pict>
          </mc:Fallback>
        </mc:AlternateContent>
      </w:r>
    </w:p>
    <w:p w:rsidR="00B26662" w:rsidRDefault="00F05583">
      <w:pPr>
        <w:framePr w:w="3766" w:h="2154" w:hRule="exact" w:hSpace="240" w:vSpace="240" w:wrap="auto" w:vAnchor="page" w:hAnchor="page" w:x="4199" w:y="1285"/>
        <w:pBdr>
          <w:top w:val="single" w:sz="6" w:space="0" w:color="FFFFFF"/>
          <w:left w:val="single" w:sz="6" w:space="0" w:color="FFFFFF"/>
          <w:bottom w:val="single" w:sz="6" w:space="0" w:color="FFFFFF"/>
          <w:right w:val="single" w:sz="6" w:space="0" w:color="FFFFFF"/>
        </w:pBdr>
        <w:shd w:val="solid" w:color="FFFFFF" w:fill="FFFFFF"/>
        <w:rPr>
          <w:rFonts w:ascii="Times New Roman TUR" w:hAnsi="Times New Roman TUR" w:cs="Times New Roman TUR"/>
          <w:b/>
          <w:bCs/>
        </w:rPr>
      </w:pPr>
      <w:r>
        <w:rPr>
          <w:rFonts w:ascii="Times New Roman TUR" w:hAnsi="Times New Roman TUR" w:cs="Times New Roman TUR"/>
          <w:b/>
          <w:bCs/>
          <w:noProof/>
        </w:rPr>
        <w:drawing>
          <wp:inline distT="0" distB="0" distL="0" distR="0">
            <wp:extent cx="25431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465" t="-1604" r="-1465" b="-1604"/>
                    <a:stretch>
                      <a:fillRect/>
                    </a:stretch>
                  </pic:blipFill>
                  <pic:spPr bwMode="auto">
                    <a:xfrm>
                      <a:off x="0" y="0"/>
                      <a:ext cx="2543175" cy="1371600"/>
                    </a:xfrm>
                    <a:prstGeom prst="rect">
                      <a:avLst/>
                    </a:prstGeom>
                    <a:noFill/>
                    <a:ln w="9525">
                      <a:noFill/>
                      <a:miter lim="800000"/>
                      <a:headEnd/>
                      <a:tailEnd/>
                    </a:ln>
                  </pic:spPr>
                </pic:pic>
              </a:graphicData>
            </a:graphic>
          </wp:inline>
        </w:drawing>
      </w:r>
    </w:p>
    <w:sdt>
      <w:sdtPr>
        <w:rPr>
          <w:rFonts w:ascii="Times New Roman TUR" w:hAnsi="Times New Roman TUR" w:cs="Times New Roman TUR"/>
          <w:b/>
          <w:bCs/>
        </w:rPr>
        <w:id w:val="524722485"/>
        <w:placeholder>
          <w:docPart w:val="36B9EFA5D9264897B315E32CA28269F6"/>
        </w:placeholder>
      </w:sdtPr>
      <w:sdtEndPr/>
      <w:sdtContent>
        <w:sdt>
          <w:sdtPr>
            <w:rPr>
              <w:rFonts w:asciiTheme="minorHAnsi" w:hAnsiTheme="minorHAnsi" w:cs="Times New Roman TUR"/>
              <w:bCs/>
              <w:sz w:val="22"/>
              <w:szCs w:val="22"/>
            </w:rPr>
            <w:alias w:val="Logo"/>
            <w:id w:val="524722486"/>
            <w:lock w:val="sdtContentLocked"/>
            <w:placeholder>
              <w:docPart w:val="36B9EFA5D9264897B315E32CA28269F6"/>
            </w:placeholder>
          </w:sdtPr>
          <w:sdtEndPr/>
          <w:sdtContent>
            <w:p w:rsidR="00B26662" w:rsidRDefault="00F05583">
              <w:pPr>
                <w:framePr w:w="4002" w:h="2154" w:hRule="exact" w:vSpace="240" w:wrap="auto" w:vAnchor="page" w:hAnchor="page" w:x="4081" w:y="1285"/>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cs="Times New Roman TUR"/>
                  <w:b/>
                  <w:bCs/>
                </w:rPr>
              </w:pPr>
              <w:r w:rsidRPr="00185140">
                <w:rPr>
                  <w:rFonts w:asciiTheme="minorHAnsi" w:hAnsiTheme="minorHAnsi" w:cs="Times New Roman TUR"/>
                  <w:bCs/>
                  <w:noProof/>
                  <w:sz w:val="22"/>
                  <w:szCs w:val="22"/>
                </w:rPr>
                <w:drawing>
                  <wp:anchor distT="0" distB="0" distL="114300" distR="114300" simplePos="0" relativeHeight="251655680" behindDoc="0" locked="1" layoutInCell="1" allowOverlap="1">
                    <wp:simplePos x="0" y="0"/>
                    <wp:positionH relativeFrom="page">
                      <wp:posOffset>2590800</wp:posOffset>
                    </wp:positionH>
                    <wp:positionV relativeFrom="page">
                      <wp:posOffset>815340</wp:posOffset>
                    </wp:positionV>
                    <wp:extent cx="2541905" cy="1368425"/>
                    <wp:effectExtent l="19050" t="0" r="0" b="0"/>
                    <wp:wrapTight wrapText="bothSides">
                      <wp:wrapPolygon edited="0">
                        <wp:start x="-162" y="0"/>
                        <wp:lineTo x="-162" y="21349"/>
                        <wp:lineTo x="21530" y="21349"/>
                        <wp:lineTo x="21530" y="0"/>
                        <wp:lineTo x="-162" y="0"/>
                      </wp:wrapPolygon>
                    </wp:wrapTight>
                    <wp:docPr id="7" name="Picture 7" descr="DHMH ALternative Seal - Refle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MH ALternative Seal - Reflex Blue"/>
                            <pic:cNvPicPr>
                              <a:picLocks noChangeAspect="1" noChangeArrowheads="1"/>
                            </pic:cNvPicPr>
                          </pic:nvPicPr>
                          <pic:blipFill>
                            <a:blip r:embed="rId13" cstate="print"/>
                            <a:srcRect/>
                            <a:stretch>
                              <a:fillRect/>
                            </a:stretch>
                          </pic:blipFill>
                          <pic:spPr bwMode="auto">
                            <a:xfrm>
                              <a:off x="0" y="0"/>
                              <a:ext cx="2541905" cy="1368425"/>
                            </a:xfrm>
                            <a:prstGeom prst="rect">
                              <a:avLst/>
                            </a:prstGeom>
                            <a:noFill/>
                          </pic:spPr>
                        </pic:pic>
                      </a:graphicData>
                    </a:graphic>
                  </wp:anchor>
                </w:drawing>
              </w:r>
            </w:p>
          </w:sdtContent>
        </w:sdt>
      </w:sdtContent>
    </w:sdt>
    <w:p w:rsidR="007344E0" w:rsidRDefault="007344E0" w:rsidP="00663D86">
      <w:pPr>
        <w:spacing w:after="120"/>
        <w:rPr>
          <w:rFonts w:ascii="Arial" w:hAnsi="Arial" w:cs="Arial"/>
          <w:sz w:val="22"/>
          <w:szCs w:val="22"/>
        </w:rPr>
      </w:pPr>
    </w:p>
    <w:p w:rsidR="00663D86" w:rsidRPr="002327C7" w:rsidRDefault="00663D86" w:rsidP="00663D86">
      <w:pPr>
        <w:spacing w:after="120"/>
        <w:rPr>
          <w:rFonts w:ascii="Arial" w:hAnsi="Arial" w:cs="Arial"/>
          <w:sz w:val="22"/>
          <w:szCs w:val="22"/>
        </w:rPr>
      </w:pPr>
      <w:r w:rsidRPr="002327C7">
        <w:rPr>
          <w:rFonts w:ascii="Arial" w:hAnsi="Arial" w:cs="Arial"/>
          <w:sz w:val="22"/>
          <w:szCs w:val="22"/>
        </w:rPr>
        <w:t>To:</w:t>
      </w:r>
      <w:r w:rsidRPr="002327C7">
        <w:rPr>
          <w:rFonts w:ascii="Arial" w:hAnsi="Arial" w:cs="Arial"/>
          <w:sz w:val="22"/>
          <w:szCs w:val="22"/>
        </w:rPr>
        <w:tab/>
      </w:r>
      <w:r w:rsidR="00A1263A" w:rsidRPr="002327C7">
        <w:rPr>
          <w:rFonts w:ascii="Arial" w:hAnsi="Arial" w:cs="Arial"/>
          <w:sz w:val="22"/>
          <w:szCs w:val="22"/>
        </w:rPr>
        <w:t>Hospital CFOs</w:t>
      </w:r>
    </w:p>
    <w:p w:rsidR="007C685B" w:rsidRPr="002327C7" w:rsidRDefault="00663D86" w:rsidP="00663D86">
      <w:pPr>
        <w:spacing w:after="120"/>
        <w:rPr>
          <w:rFonts w:ascii="Arial" w:hAnsi="Arial" w:cs="Arial"/>
          <w:sz w:val="22"/>
          <w:szCs w:val="22"/>
        </w:rPr>
      </w:pPr>
      <w:r w:rsidRPr="002327C7">
        <w:rPr>
          <w:rFonts w:ascii="Arial" w:hAnsi="Arial" w:cs="Arial"/>
          <w:sz w:val="22"/>
          <w:szCs w:val="22"/>
        </w:rPr>
        <w:t>Cc:</w:t>
      </w:r>
      <w:r w:rsidRPr="002327C7">
        <w:rPr>
          <w:rFonts w:ascii="Arial" w:hAnsi="Arial" w:cs="Arial"/>
          <w:sz w:val="22"/>
          <w:szCs w:val="22"/>
        </w:rPr>
        <w:tab/>
      </w:r>
      <w:r w:rsidR="00A1263A" w:rsidRPr="002327C7">
        <w:rPr>
          <w:rFonts w:ascii="Arial" w:hAnsi="Arial" w:cs="Arial"/>
          <w:sz w:val="22"/>
          <w:szCs w:val="22"/>
        </w:rPr>
        <w:t>Case Mix Liaisons, Hospital Quality Contacts</w:t>
      </w:r>
    </w:p>
    <w:p w:rsidR="00663D86" w:rsidRPr="002327C7" w:rsidRDefault="00663D86" w:rsidP="00663D86">
      <w:pPr>
        <w:spacing w:after="120"/>
        <w:rPr>
          <w:rFonts w:ascii="Arial" w:hAnsi="Arial" w:cs="Arial"/>
          <w:sz w:val="22"/>
          <w:szCs w:val="22"/>
        </w:rPr>
      </w:pPr>
      <w:r w:rsidRPr="002327C7">
        <w:rPr>
          <w:rFonts w:ascii="Arial" w:hAnsi="Arial" w:cs="Arial"/>
          <w:sz w:val="22"/>
          <w:szCs w:val="22"/>
        </w:rPr>
        <w:t>From:</w:t>
      </w:r>
      <w:r w:rsidRPr="002327C7">
        <w:rPr>
          <w:rFonts w:ascii="Arial" w:hAnsi="Arial" w:cs="Arial"/>
          <w:sz w:val="22"/>
          <w:szCs w:val="22"/>
        </w:rPr>
        <w:tab/>
      </w:r>
      <w:r w:rsidR="00F370B3">
        <w:rPr>
          <w:rFonts w:ascii="Arial" w:hAnsi="Arial" w:cs="Arial"/>
          <w:sz w:val="22"/>
          <w:szCs w:val="22"/>
        </w:rPr>
        <w:t>Alyson Schuster</w:t>
      </w:r>
      <w:r w:rsidR="00984384">
        <w:rPr>
          <w:rFonts w:ascii="Arial" w:hAnsi="Arial" w:cs="Arial"/>
          <w:sz w:val="22"/>
          <w:szCs w:val="22"/>
        </w:rPr>
        <w:t xml:space="preserve">, Ph.D., Associate Director, </w:t>
      </w:r>
      <w:proofErr w:type="gramStart"/>
      <w:r w:rsidR="00984384">
        <w:rPr>
          <w:rFonts w:ascii="Arial" w:hAnsi="Arial" w:cs="Arial"/>
          <w:sz w:val="22"/>
          <w:szCs w:val="22"/>
        </w:rPr>
        <w:t>Performance</w:t>
      </w:r>
      <w:proofErr w:type="gramEnd"/>
      <w:r w:rsidR="00984384">
        <w:rPr>
          <w:rFonts w:ascii="Arial" w:hAnsi="Arial" w:cs="Arial"/>
          <w:sz w:val="22"/>
          <w:szCs w:val="22"/>
        </w:rPr>
        <w:t xml:space="preserve"> Measurement</w:t>
      </w:r>
    </w:p>
    <w:p w:rsidR="00663D86" w:rsidRPr="002327C7" w:rsidRDefault="00663D86" w:rsidP="00663D86">
      <w:pPr>
        <w:spacing w:after="120"/>
        <w:rPr>
          <w:rFonts w:ascii="Arial" w:hAnsi="Arial" w:cs="Arial"/>
          <w:sz w:val="22"/>
          <w:szCs w:val="22"/>
        </w:rPr>
      </w:pPr>
      <w:r w:rsidRPr="002327C7">
        <w:rPr>
          <w:rFonts w:ascii="Arial" w:hAnsi="Arial" w:cs="Arial"/>
          <w:sz w:val="22"/>
          <w:szCs w:val="22"/>
        </w:rPr>
        <w:t>Date:</w:t>
      </w:r>
      <w:r w:rsidRPr="002327C7">
        <w:rPr>
          <w:rFonts w:ascii="Arial" w:hAnsi="Arial" w:cs="Arial"/>
          <w:sz w:val="22"/>
          <w:szCs w:val="22"/>
        </w:rPr>
        <w:tab/>
      </w:r>
      <w:r w:rsidR="00984384">
        <w:rPr>
          <w:rFonts w:ascii="Arial" w:hAnsi="Arial" w:cs="Arial"/>
          <w:sz w:val="22"/>
          <w:szCs w:val="22"/>
        </w:rPr>
        <w:t>April 17</w:t>
      </w:r>
      <w:r w:rsidRPr="002327C7">
        <w:rPr>
          <w:rFonts w:ascii="Arial" w:hAnsi="Arial" w:cs="Arial"/>
          <w:sz w:val="22"/>
          <w:szCs w:val="22"/>
        </w:rPr>
        <w:t>, 201</w:t>
      </w:r>
      <w:r w:rsidR="00112F93" w:rsidRPr="002327C7">
        <w:rPr>
          <w:rFonts w:ascii="Arial" w:hAnsi="Arial" w:cs="Arial"/>
          <w:sz w:val="22"/>
          <w:szCs w:val="22"/>
        </w:rPr>
        <w:t>4</w:t>
      </w:r>
    </w:p>
    <w:p w:rsidR="00663D86" w:rsidRPr="002327C7" w:rsidRDefault="00663D86" w:rsidP="00AC6DD6">
      <w:pPr>
        <w:ind w:left="720" w:hanging="720"/>
        <w:rPr>
          <w:rFonts w:ascii="Arial" w:hAnsi="Arial" w:cs="Arial"/>
          <w:sz w:val="22"/>
          <w:szCs w:val="22"/>
        </w:rPr>
      </w:pPr>
      <w:r w:rsidRPr="002327C7">
        <w:rPr>
          <w:rFonts w:ascii="Arial" w:hAnsi="Arial" w:cs="Arial"/>
          <w:sz w:val="22"/>
          <w:szCs w:val="22"/>
        </w:rPr>
        <w:t>Re:</w:t>
      </w:r>
      <w:r w:rsidRPr="002327C7">
        <w:rPr>
          <w:rFonts w:ascii="Arial" w:hAnsi="Arial" w:cs="Arial"/>
          <w:sz w:val="22"/>
          <w:szCs w:val="22"/>
        </w:rPr>
        <w:tab/>
        <w:t xml:space="preserve">Maryland </w:t>
      </w:r>
      <w:r w:rsidR="00A1263A" w:rsidRPr="002327C7">
        <w:rPr>
          <w:rFonts w:ascii="Arial" w:hAnsi="Arial" w:cs="Arial"/>
          <w:sz w:val="22"/>
          <w:szCs w:val="22"/>
        </w:rPr>
        <w:t xml:space="preserve">Hospital Acquired Conditions </w:t>
      </w:r>
      <w:r w:rsidR="00457BE7">
        <w:rPr>
          <w:rFonts w:ascii="Arial" w:hAnsi="Arial" w:cs="Arial"/>
          <w:sz w:val="22"/>
          <w:szCs w:val="22"/>
        </w:rPr>
        <w:t xml:space="preserve">Program </w:t>
      </w:r>
      <w:r w:rsidR="001F2853">
        <w:rPr>
          <w:rFonts w:ascii="Arial" w:hAnsi="Arial" w:cs="Arial"/>
          <w:sz w:val="22"/>
          <w:szCs w:val="22"/>
        </w:rPr>
        <w:t xml:space="preserve">for </w:t>
      </w:r>
      <w:r w:rsidR="008E50BA">
        <w:rPr>
          <w:rFonts w:ascii="Arial" w:hAnsi="Arial" w:cs="Arial"/>
          <w:sz w:val="22"/>
          <w:szCs w:val="22"/>
        </w:rPr>
        <w:t>Rate Year (RY)</w:t>
      </w:r>
      <w:r w:rsidR="007C685B" w:rsidRPr="002327C7">
        <w:rPr>
          <w:rFonts w:ascii="Arial" w:hAnsi="Arial" w:cs="Arial"/>
          <w:sz w:val="22"/>
          <w:szCs w:val="22"/>
        </w:rPr>
        <w:t xml:space="preserve"> 2016</w:t>
      </w:r>
    </w:p>
    <w:p w:rsidR="00663D86" w:rsidRPr="002327C7" w:rsidRDefault="00663D86" w:rsidP="00663D86">
      <w:pPr>
        <w:pBdr>
          <w:bottom w:val="single" w:sz="4" w:space="0" w:color="auto"/>
        </w:pBdr>
        <w:rPr>
          <w:rFonts w:ascii="Arial" w:hAnsi="Arial" w:cs="Arial"/>
          <w:sz w:val="22"/>
          <w:szCs w:val="22"/>
        </w:rPr>
      </w:pPr>
    </w:p>
    <w:p w:rsidR="00663D86" w:rsidRPr="002327C7" w:rsidRDefault="00663D86" w:rsidP="00663D86">
      <w:pPr>
        <w:rPr>
          <w:rFonts w:ascii="Arial" w:hAnsi="Arial" w:cs="Arial"/>
          <w:sz w:val="22"/>
          <w:szCs w:val="22"/>
        </w:rPr>
      </w:pPr>
    </w:p>
    <w:p w:rsidR="00663D86" w:rsidRPr="002327C7" w:rsidRDefault="00663D86" w:rsidP="00796419">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sidRPr="002327C7">
        <w:rPr>
          <w:b w:val="0"/>
          <w:color w:val="auto"/>
          <w:sz w:val="22"/>
          <w:szCs w:val="22"/>
        </w:rPr>
        <w:t xml:space="preserve">This memo summarizes the </w:t>
      </w:r>
      <w:r w:rsidR="00707CA5" w:rsidRPr="002327C7">
        <w:rPr>
          <w:b w:val="0"/>
          <w:color w:val="auto"/>
          <w:sz w:val="22"/>
          <w:szCs w:val="22"/>
        </w:rPr>
        <w:t xml:space="preserve">key components of </w:t>
      </w:r>
      <w:r w:rsidRPr="002327C7">
        <w:rPr>
          <w:b w:val="0"/>
          <w:color w:val="auto"/>
          <w:sz w:val="22"/>
          <w:szCs w:val="22"/>
        </w:rPr>
        <w:t xml:space="preserve">the </w:t>
      </w:r>
      <w:r w:rsidR="00457BE7">
        <w:rPr>
          <w:b w:val="0"/>
          <w:color w:val="auto"/>
          <w:sz w:val="22"/>
          <w:szCs w:val="22"/>
        </w:rPr>
        <w:t xml:space="preserve">revised </w:t>
      </w:r>
      <w:r w:rsidR="00A1263A" w:rsidRPr="002327C7">
        <w:rPr>
          <w:b w:val="0"/>
          <w:color w:val="auto"/>
          <w:sz w:val="22"/>
          <w:szCs w:val="22"/>
        </w:rPr>
        <w:t xml:space="preserve">Maryland Hospital Acquired Conditions (MHAC) </w:t>
      </w:r>
      <w:r w:rsidR="00AD3F6B" w:rsidRPr="002327C7">
        <w:rPr>
          <w:b w:val="0"/>
          <w:color w:val="auto"/>
          <w:sz w:val="22"/>
          <w:szCs w:val="22"/>
        </w:rPr>
        <w:t>P</w:t>
      </w:r>
      <w:r w:rsidR="00A1263A" w:rsidRPr="002327C7">
        <w:rPr>
          <w:b w:val="0"/>
          <w:color w:val="auto"/>
          <w:sz w:val="22"/>
          <w:szCs w:val="22"/>
        </w:rPr>
        <w:t>rogram</w:t>
      </w:r>
      <w:r w:rsidRPr="002327C7">
        <w:rPr>
          <w:b w:val="0"/>
          <w:color w:val="auto"/>
          <w:sz w:val="22"/>
          <w:szCs w:val="22"/>
        </w:rPr>
        <w:t xml:space="preserve"> </w:t>
      </w:r>
      <w:r w:rsidR="00ED32E4">
        <w:rPr>
          <w:b w:val="0"/>
          <w:color w:val="auto"/>
          <w:sz w:val="22"/>
          <w:szCs w:val="22"/>
        </w:rPr>
        <w:t xml:space="preserve">and provides technical details on how </w:t>
      </w:r>
      <w:r w:rsidRPr="002327C7">
        <w:rPr>
          <w:b w:val="0"/>
          <w:color w:val="auto"/>
          <w:sz w:val="22"/>
          <w:szCs w:val="22"/>
        </w:rPr>
        <w:t xml:space="preserve">hospital rates </w:t>
      </w:r>
      <w:r w:rsidR="00ED32E4">
        <w:rPr>
          <w:b w:val="0"/>
          <w:color w:val="auto"/>
          <w:sz w:val="22"/>
          <w:szCs w:val="22"/>
        </w:rPr>
        <w:t xml:space="preserve">will be impacted </w:t>
      </w:r>
      <w:r w:rsidR="00A219D1" w:rsidRPr="002327C7">
        <w:rPr>
          <w:b w:val="0"/>
          <w:color w:val="auto"/>
          <w:sz w:val="22"/>
          <w:szCs w:val="22"/>
        </w:rPr>
        <w:t xml:space="preserve">in </w:t>
      </w:r>
      <w:r w:rsidR="001F2853">
        <w:rPr>
          <w:b w:val="0"/>
          <w:color w:val="auto"/>
          <w:sz w:val="22"/>
          <w:szCs w:val="22"/>
        </w:rPr>
        <w:t>R</w:t>
      </w:r>
      <w:r w:rsidRPr="002327C7">
        <w:rPr>
          <w:b w:val="0"/>
          <w:color w:val="auto"/>
          <w:sz w:val="22"/>
          <w:szCs w:val="22"/>
        </w:rPr>
        <w:t>Y 201</w:t>
      </w:r>
      <w:r w:rsidR="00112F93" w:rsidRPr="002327C7">
        <w:rPr>
          <w:b w:val="0"/>
          <w:color w:val="auto"/>
          <w:sz w:val="22"/>
          <w:szCs w:val="22"/>
        </w:rPr>
        <w:t>6</w:t>
      </w:r>
      <w:r w:rsidRPr="002327C7">
        <w:rPr>
          <w:b w:val="0"/>
          <w:color w:val="auto"/>
          <w:sz w:val="22"/>
          <w:szCs w:val="22"/>
        </w:rPr>
        <w:t xml:space="preserve">. </w:t>
      </w:r>
      <w:r w:rsidR="00EF15B2" w:rsidRPr="002327C7">
        <w:rPr>
          <w:b w:val="0"/>
          <w:color w:val="auto"/>
          <w:sz w:val="22"/>
          <w:szCs w:val="22"/>
        </w:rPr>
        <w:t xml:space="preserve"> </w:t>
      </w:r>
    </w:p>
    <w:p w:rsidR="00284E13" w:rsidRPr="002327C7" w:rsidRDefault="00284E13" w:rsidP="00796419">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AD3F6B" w:rsidRPr="002327C7" w:rsidRDefault="00214841" w:rsidP="00796419">
      <w:pPr>
        <w:pStyle w:val="WP9Heading"/>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color w:val="auto"/>
          <w:sz w:val="22"/>
          <w:szCs w:val="22"/>
        </w:rPr>
      </w:pPr>
      <w:r w:rsidRPr="002327C7">
        <w:rPr>
          <w:color w:val="auto"/>
          <w:sz w:val="22"/>
          <w:szCs w:val="22"/>
        </w:rPr>
        <w:t xml:space="preserve">Maryland Hospital All-Payer Model MHAC </w:t>
      </w:r>
      <w:r w:rsidR="00457BE7">
        <w:rPr>
          <w:color w:val="auto"/>
          <w:sz w:val="22"/>
          <w:szCs w:val="22"/>
        </w:rPr>
        <w:t>Goals</w:t>
      </w:r>
    </w:p>
    <w:p w:rsidR="002C05BD" w:rsidRPr="00457BE7" w:rsidRDefault="00214841" w:rsidP="00796419">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left"/>
        <w:rPr>
          <w:color w:val="auto"/>
          <w:sz w:val="22"/>
          <w:szCs w:val="22"/>
        </w:rPr>
      </w:pPr>
      <w:r w:rsidRPr="002327C7">
        <w:rPr>
          <w:b w:val="0"/>
          <w:color w:val="auto"/>
          <w:sz w:val="22"/>
          <w:szCs w:val="22"/>
        </w:rPr>
        <w:t>As you may be aware, the All-Payer Mod</w:t>
      </w:r>
      <w:r w:rsidR="00D47CDA" w:rsidRPr="002327C7">
        <w:rPr>
          <w:b w:val="0"/>
          <w:color w:val="auto"/>
          <w:sz w:val="22"/>
          <w:szCs w:val="22"/>
        </w:rPr>
        <w:t>el approved by the Center</w:t>
      </w:r>
      <w:r w:rsidRPr="002327C7">
        <w:rPr>
          <w:b w:val="0"/>
          <w:color w:val="auto"/>
          <w:sz w:val="22"/>
          <w:szCs w:val="22"/>
        </w:rPr>
        <w:t xml:space="preserve"> for Medicare and Medicaid Innovation</w:t>
      </w:r>
      <w:r w:rsidR="0088542C" w:rsidRPr="002327C7">
        <w:rPr>
          <w:b w:val="0"/>
          <w:color w:val="auto"/>
          <w:sz w:val="22"/>
          <w:szCs w:val="22"/>
        </w:rPr>
        <w:t xml:space="preserve"> (CMMI), which began on January 1, 2014, </w:t>
      </w:r>
      <w:r w:rsidRPr="002327C7">
        <w:rPr>
          <w:b w:val="0"/>
          <w:color w:val="auto"/>
          <w:sz w:val="22"/>
          <w:szCs w:val="22"/>
        </w:rPr>
        <w:t xml:space="preserve">established </w:t>
      </w:r>
      <w:r w:rsidR="00AD3F6B" w:rsidRPr="002327C7">
        <w:rPr>
          <w:b w:val="0"/>
          <w:color w:val="auto"/>
          <w:sz w:val="22"/>
          <w:szCs w:val="22"/>
        </w:rPr>
        <w:t>MHAC reduction targets that Maryland m</w:t>
      </w:r>
      <w:r w:rsidR="004E7D0C" w:rsidRPr="002327C7">
        <w:rPr>
          <w:b w:val="0"/>
          <w:color w:val="auto"/>
          <w:sz w:val="22"/>
          <w:szCs w:val="22"/>
        </w:rPr>
        <w:t>ust meet as part of the contract with CMMI</w:t>
      </w:r>
      <w:r w:rsidR="00457BE7">
        <w:rPr>
          <w:b w:val="0"/>
          <w:color w:val="auto"/>
          <w:sz w:val="22"/>
          <w:szCs w:val="22"/>
        </w:rPr>
        <w:t xml:space="preserve">.  The contract with CMMI </w:t>
      </w:r>
      <w:r w:rsidR="00C95780">
        <w:rPr>
          <w:b w:val="0"/>
          <w:color w:val="auto"/>
          <w:sz w:val="22"/>
          <w:szCs w:val="22"/>
        </w:rPr>
        <w:t xml:space="preserve">states </w:t>
      </w:r>
      <w:r w:rsidR="00457BE7">
        <w:rPr>
          <w:b w:val="0"/>
          <w:color w:val="auto"/>
          <w:sz w:val="22"/>
          <w:szCs w:val="22"/>
        </w:rPr>
        <w:t xml:space="preserve">that </w:t>
      </w:r>
      <w:r w:rsidR="007B0A34" w:rsidRPr="005163F8">
        <w:rPr>
          <w:color w:val="auto"/>
          <w:sz w:val="22"/>
          <w:szCs w:val="22"/>
          <w:u w:val="single"/>
        </w:rPr>
        <w:t>Maryland must achieve a 30% cumulative reduction goal by the end of 2018</w:t>
      </w:r>
      <w:r w:rsidR="00AD3F6B" w:rsidRPr="00457BE7">
        <w:rPr>
          <w:color w:val="auto"/>
          <w:sz w:val="22"/>
          <w:szCs w:val="22"/>
        </w:rPr>
        <w:t>.</w:t>
      </w:r>
      <w:r w:rsidR="00457BE7">
        <w:rPr>
          <w:color w:val="auto"/>
          <w:sz w:val="22"/>
          <w:szCs w:val="22"/>
        </w:rPr>
        <w:t xml:space="preserve">  </w:t>
      </w:r>
      <w:r w:rsidR="004E7D0C" w:rsidRPr="002327C7">
        <w:rPr>
          <w:b w:val="0"/>
          <w:color w:val="auto"/>
          <w:sz w:val="22"/>
          <w:szCs w:val="22"/>
        </w:rPr>
        <w:t>In addition, Maryland must meet annual incremental targets for MHAC</w:t>
      </w:r>
      <w:r w:rsidR="00C95780">
        <w:rPr>
          <w:b w:val="0"/>
          <w:color w:val="auto"/>
          <w:sz w:val="22"/>
          <w:szCs w:val="22"/>
        </w:rPr>
        <w:t xml:space="preserve"> to reach 30% overall achievement</w:t>
      </w:r>
      <w:r w:rsidR="004E7D0C" w:rsidRPr="002327C7">
        <w:rPr>
          <w:b w:val="0"/>
          <w:color w:val="auto"/>
          <w:sz w:val="22"/>
          <w:szCs w:val="22"/>
        </w:rPr>
        <w:t>.</w:t>
      </w:r>
      <w:r w:rsidR="002C05BD" w:rsidRPr="002327C7">
        <w:rPr>
          <w:b w:val="0"/>
          <w:color w:val="auto"/>
          <w:sz w:val="22"/>
          <w:szCs w:val="22"/>
        </w:rPr>
        <w:t xml:space="preserve">  To enhance </w:t>
      </w:r>
      <w:r w:rsidR="008A4ACC" w:rsidRPr="002327C7">
        <w:rPr>
          <w:b w:val="0"/>
          <w:color w:val="auto"/>
          <w:sz w:val="22"/>
          <w:szCs w:val="22"/>
        </w:rPr>
        <w:t>our ability to meet th</w:t>
      </w:r>
      <w:r w:rsidR="00457BE7">
        <w:rPr>
          <w:b w:val="0"/>
          <w:color w:val="auto"/>
          <w:sz w:val="22"/>
          <w:szCs w:val="22"/>
        </w:rPr>
        <w:t>is target</w:t>
      </w:r>
      <w:r w:rsidR="008A4ACC" w:rsidRPr="002327C7">
        <w:rPr>
          <w:b w:val="0"/>
          <w:color w:val="auto"/>
          <w:sz w:val="22"/>
          <w:szCs w:val="22"/>
        </w:rPr>
        <w:t>,</w:t>
      </w:r>
      <w:r w:rsidR="002C05BD" w:rsidRPr="002327C7">
        <w:rPr>
          <w:b w:val="0"/>
          <w:color w:val="auto"/>
          <w:sz w:val="22"/>
          <w:szCs w:val="22"/>
        </w:rPr>
        <w:t xml:space="preserve"> </w:t>
      </w:r>
      <w:r w:rsidR="008A4ACC" w:rsidRPr="002327C7">
        <w:rPr>
          <w:b w:val="0"/>
          <w:color w:val="auto"/>
          <w:sz w:val="22"/>
          <w:szCs w:val="22"/>
        </w:rPr>
        <w:t>policy recommendations were approved by the Commission at the April 9, 2014 meeting.</w:t>
      </w:r>
    </w:p>
    <w:p w:rsidR="00FE1C20" w:rsidRDefault="00FE1C20" w:rsidP="00796419">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A801EB" w:rsidRPr="002327C7" w:rsidRDefault="00A801EB" w:rsidP="00796419">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4E7D0C" w:rsidRPr="002327C7" w:rsidRDefault="00EF15B2" w:rsidP="001F2853">
      <w:pPr>
        <w:pStyle w:val="WP9Heading"/>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color w:val="auto"/>
          <w:sz w:val="22"/>
          <w:szCs w:val="22"/>
        </w:rPr>
      </w:pPr>
      <w:r w:rsidRPr="002327C7">
        <w:rPr>
          <w:color w:val="auto"/>
          <w:sz w:val="22"/>
          <w:szCs w:val="22"/>
        </w:rPr>
        <w:t>MHAC Recommendations</w:t>
      </w:r>
    </w:p>
    <w:p w:rsidR="007B0A34" w:rsidRDefault="00747A4D" w:rsidP="005163F8">
      <w:pPr>
        <w:pStyle w:val="NormalWeb"/>
        <w:spacing w:before="0" w:beforeAutospacing="0" w:after="120" w:afterAutospacing="0"/>
        <w:ind w:left="360"/>
        <w:rPr>
          <w:rFonts w:ascii="Arial" w:hAnsi="Arial" w:cs="Arial"/>
          <w:sz w:val="22"/>
          <w:szCs w:val="22"/>
        </w:rPr>
      </w:pPr>
      <w:r w:rsidRPr="002327C7">
        <w:rPr>
          <w:rFonts w:ascii="Arial" w:hAnsi="Arial" w:cs="Arial"/>
          <w:sz w:val="22"/>
          <w:szCs w:val="22"/>
        </w:rPr>
        <w:t xml:space="preserve">The updated MHAC recommendation was approved </w:t>
      </w:r>
      <w:r w:rsidR="00C95780">
        <w:rPr>
          <w:rFonts w:ascii="Arial" w:hAnsi="Arial" w:cs="Arial"/>
          <w:sz w:val="22"/>
          <w:szCs w:val="22"/>
        </w:rPr>
        <w:t xml:space="preserve">for a performance period </w:t>
      </w:r>
      <w:r w:rsidR="005163F8">
        <w:rPr>
          <w:rFonts w:ascii="Arial" w:hAnsi="Arial" w:cs="Arial"/>
          <w:sz w:val="22"/>
          <w:szCs w:val="22"/>
        </w:rPr>
        <w:t xml:space="preserve">starting </w:t>
      </w:r>
      <w:r w:rsidR="005163F8" w:rsidRPr="002327C7">
        <w:rPr>
          <w:rFonts w:ascii="Arial" w:hAnsi="Arial" w:cs="Arial"/>
          <w:sz w:val="22"/>
          <w:szCs w:val="22"/>
        </w:rPr>
        <w:t>January</w:t>
      </w:r>
      <w:r w:rsidRPr="002327C7">
        <w:rPr>
          <w:rFonts w:ascii="Arial" w:hAnsi="Arial" w:cs="Arial"/>
          <w:sz w:val="22"/>
          <w:szCs w:val="22"/>
        </w:rPr>
        <w:t xml:space="preserve"> 1, 2014</w:t>
      </w:r>
      <w:r w:rsidR="00292B29" w:rsidRPr="002327C7">
        <w:rPr>
          <w:rFonts w:ascii="Arial" w:hAnsi="Arial" w:cs="Arial"/>
          <w:sz w:val="22"/>
          <w:szCs w:val="22"/>
        </w:rPr>
        <w:t xml:space="preserve"> (</w:t>
      </w:r>
      <w:r w:rsidR="00585C85">
        <w:rPr>
          <w:rFonts w:ascii="Arial" w:hAnsi="Arial" w:cs="Arial"/>
          <w:sz w:val="22"/>
          <w:szCs w:val="22"/>
        </w:rPr>
        <w:t>see HSCRC website for approved recommendation</w:t>
      </w:r>
      <w:r w:rsidR="00292B29" w:rsidRPr="002327C7">
        <w:rPr>
          <w:rFonts w:ascii="Arial" w:hAnsi="Arial" w:cs="Arial"/>
          <w:sz w:val="22"/>
          <w:szCs w:val="22"/>
        </w:rPr>
        <w:t>)</w:t>
      </w:r>
      <w:r w:rsidRPr="002327C7">
        <w:rPr>
          <w:rFonts w:ascii="Arial" w:hAnsi="Arial" w:cs="Arial"/>
          <w:sz w:val="22"/>
          <w:szCs w:val="22"/>
        </w:rPr>
        <w:t xml:space="preserve">.  To develop the </w:t>
      </w:r>
      <w:r w:rsidR="00553D1D" w:rsidRPr="002327C7">
        <w:rPr>
          <w:rFonts w:ascii="Arial" w:hAnsi="Arial" w:cs="Arial"/>
          <w:sz w:val="22"/>
          <w:szCs w:val="22"/>
        </w:rPr>
        <w:t>MHAC recommendation</w:t>
      </w:r>
      <w:r w:rsidR="008A4ACC" w:rsidRPr="002327C7">
        <w:rPr>
          <w:rFonts w:ascii="Arial" w:hAnsi="Arial" w:cs="Arial"/>
          <w:sz w:val="22"/>
          <w:szCs w:val="22"/>
        </w:rPr>
        <w:t>, staff worked with a multi- stakeholder work group to revi</w:t>
      </w:r>
      <w:r w:rsidR="004B17AE" w:rsidRPr="002327C7">
        <w:rPr>
          <w:rFonts w:ascii="Arial" w:hAnsi="Arial" w:cs="Arial"/>
          <w:sz w:val="22"/>
          <w:szCs w:val="22"/>
        </w:rPr>
        <w:t>se the MHAC program such that it:</w:t>
      </w:r>
      <w:r w:rsidR="008A4ACC" w:rsidRPr="002327C7">
        <w:rPr>
          <w:rFonts w:ascii="Arial" w:hAnsi="Arial" w:cs="Arial"/>
          <w:sz w:val="22"/>
          <w:szCs w:val="22"/>
        </w:rPr>
        <w:t xml:space="preserve"> identified</w:t>
      </w:r>
      <w:r w:rsidR="00EF15B2" w:rsidRPr="002327C7">
        <w:rPr>
          <w:rFonts w:ascii="Arial" w:hAnsi="Arial" w:cs="Arial"/>
          <w:sz w:val="22"/>
          <w:szCs w:val="22"/>
        </w:rPr>
        <w:t xml:space="preserve"> predetermined performan</w:t>
      </w:r>
      <w:r w:rsidR="008A4ACC" w:rsidRPr="002327C7">
        <w:rPr>
          <w:rFonts w:ascii="Arial" w:hAnsi="Arial" w:cs="Arial"/>
          <w:sz w:val="22"/>
          <w:szCs w:val="22"/>
        </w:rPr>
        <w:t>ce targets and financial impact</w:t>
      </w:r>
      <w:r w:rsidR="004B17AE" w:rsidRPr="002327C7">
        <w:rPr>
          <w:rFonts w:ascii="Arial" w:hAnsi="Arial" w:cs="Arial"/>
          <w:sz w:val="22"/>
          <w:szCs w:val="22"/>
        </w:rPr>
        <w:t>, allowing hospitals to track real time progress;</w:t>
      </w:r>
      <w:r w:rsidR="008A4ACC" w:rsidRPr="002327C7">
        <w:rPr>
          <w:rFonts w:ascii="Arial" w:hAnsi="Arial" w:cs="Arial"/>
          <w:sz w:val="22"/>
          <w:szCs w:val="22"/>
        </w:rPr>
        <w:t xml:space="preserve"> prioritized</w:t>
      </w:r>
      <w:r w:rsidR="00EF15B2" w:rsidRPr="002327C7">
        <w:rPr>
          <w:rFonts w:ascii="Arial" w:hAnsi="Arial" w:cs="Arial"/>
          <w:sz w:val="22"/>
          <w:szCs w:val="22"/>
        </w:rPr>
        <w:t xml:space="preserve"> </w:t>
      </w:r>
      <w:r w:rsidR="00292B29" w:rsidRPr="002327C7">
        <w:rPr>
          <w:rFonts w:ascii="Arial" w:hAnsi="Arial" w:cs="Arial"/>
          <w:sz w:val="22"/>
          <w:szCs w:val="22"/>
        </w:rPr>
        <w:t xml:space="preserve">PPCs that are </w:t>
      </w:r>
      <w:r w:rsidR="00EF15B2" w:rsidRPr="002327C7">
        <w:rPr>
          <w:rFonts w:ascii="Arial" w:hAnsi="Arial" w:cs="Arial"/>
          <w:sz w:val="22"/>
          <w:szCs w:val="22"/>
        </w:rPr>
        <w:t>hig</w:t>
      </w:r>
      <w:r w:rsidRPr="002327C7">
        <w:rPr>
          <w:rFonts w:ascii="Arial" w:hAnsi="Arial" w:cs="Arial"/>
          <w:sz w:val="22"/>
          <w:szCs w:val="22"/>
        </w:rPr>
        <w:t xml:space="preserve">h volume, high cost, </w:t>
      </w:r>
      <w:r w:rsidR="00292B29" w:rsidRPr="002327C7">
        <w:rPr>
          <w:rFonts w:ascii="Arial" w:hAnsi="Arial" w:cs="Arial"/>
          <w:sz w:val="22"/>
          <w:szCs w:val="22"/>
        </w:rPr>
        <w:t xml:space="preserve">have </w:t>
      </w:r>
      <w:r w:rsidRPr="002327C7">
        <w:rPr>
          <w:rFonts w:ascii="Arial" w:hAnsi="Arial" w:cs="Arial"/>
          <w:sz w:val="22"/>
          <w:szCs w:val="22"/>
        </w:rPr>
        <w:t>opportunity</w:t>
      </w:r>
      <w:r w:rsidR="00EF15B2" w:rsidRPr="002327C7">
        <w:rPr>
          <w:rFonts w:ascii="Arial" w:hAnsi="Arial" w:cs="Arial"/>
          <w:sz w:val="22"/>
          <w:szCs w:val="22"/>
        </w:rPr>
        <w:t xml:space="preserve"> for improvem</w:t>
      </w:r>
      <w:r w:rsidR="004B17AE" w:rsidRPr="002327C7">
        <w:rPr>
          <w:rFonts w:ascii="Arial" w:hAnsi="Arial" w:cs="Arial"/>
          <w:sz w:val="22"/>
          <w:szCs w:val="22"/>
        </w:rPr>
        <w:t xml:space="preserve">ent and </w:t>
      </w:r>
      <w:r w:rsidR="00292B29" w:rsidRPr="002327C7">
        <w:rPr>
          <w:rFonts w:ascii="Arial" w:hAnsi="Arial" w:cs="Arial"/>
          <w:sz w:val="22"/>
          <w:szCs w:val="22"/>
        </w:rPr>
        <w:t xml:space="preserve">are </w:t>
      </w:r>
      <w:r w:rsidR="004B17AE" w:rsidRPr="002327C7">
        <w:rPr>
          <w:rFonts w:ascii="Arial" w:hAnsi="Arial" w:cs="Arial"/>
          <w:sz w:val="22"/>
          <w:szCs w:val="22"/>
        </w:rPr>
        <w:t xml:space="preserve">areas of national focus; </w:t>
      </w:r>
      <w:r w:rsidR="00EF15B2" w:rsidRPr="002327C7">
        <w:rPr>
          <w:rFonts w:ascii="Arial" w:hAnsi="Arial" w:cs="Arial"/>
          <w:sz w:val="22"/>
          <w:szCs w:val="22"/>
        </w:rPr>
        <w:t>encourage</w:t>
      </w:r>
      <w:r w:rsidR="004B17AE" w:rsidRPr="002327C7">
        <w:rPr>
          <w:rFonts w:ascii="Arial" w:hAnsi="Arial" w:cs="Arial"/>
          <w:sz w:val="22"/>
          <w:szCs w:val="22"/>
        </w:rPr>
        <w:t>d</w:t>
      </w:r>
      <w:r w:rsidR="00EF15B2" w:rsidRPr="002327C7">
        <w:rPr>
          <w:rFonts w:ascii="Arial" w:hAnsi="Arial" w:cs="Arial"/>
          <w:sz w:val="22"/>
          <w:szCs w:val="22"/>
        </w:rPr>
        <w:t xml:space="preserve"> cooperatio</w:t>
      </w:r>
      <w:r w:rsidR="004B17AE" w:rsidRPr="002327C7">
        <w:rPr>
          <w:rFonts w:ascii="Arial" w:hAnsi="Arial" w:cs="Arial"/>
          <w:sz w:val="22"/>
          <w:szCs w:val="22"/>
        </w:rPr>
        <w:t>n and sharing of best practices</w:t>
      </w:r>
      <w:r w:rsidR="00292B29" w:rsidRPr="002327C7">
        <w:rPr>
          <w:rFonts w:ascii="Arial" w:hAnsi="Arial" w:cs="Arial"/>
          <w:sz w:val="22"/>
          <w:szCs w:val="22"/>
        </w:rPr>
        <w:t xml:space="preserve"> among hospitals</w:t>
      </w:r>
      <w:r w:rsidR="004B17AE" w:rsidRPr="002327C7">
        <w:rPr>
          <w:rFonts w:ascii="Arial" w:hAnsi="Arial" w:cs="Arial"/>
          <w:sz w:val="22"/>
          <w:szCs w:val="22"/>
        </w:rPr>
        <w:t xml:space="preserve">; and, held hospitals harmless for lack of improvement if attainment </w:t>
      </w:r>
      <w:r w:rsidR="00457BE7">
        <w:rPr>
          <w:rFonts w:ascii="Arial" w:hAnsi="Arial" w:cs="Arial"/>
          <w:sz w:val="22"/>
          <w:szCs w:val="22"/>
        </w:rPr>
        <w:t>was</w:t>
      </w:r>
      <w:r w:rsidR="00457BE7" w:rsidRPr="002327C7">
        <w:rPr>
          <w:rFonts w:ascii="Arial" w:hAnsi="Arial" w:cs="Arial"/>
          <w:sz w:val="22"/>
          <w:szCs w:val="22"/>
        </w:rPr>
        <w:t xml:space="preserve"> </w:t>
      </w:r>
      <w:r w:rsidR="004B17AE" w:rsidRPr="002327C7">
        <w:rPr>
          <w:rFonts w:ascii="Arial" w:hAnsi="Arial" w:cs="Arial"/>
          <w:sz w:val="22"/>
          <w:szCs w:val="22"/>
        </w:rPr>
        <w:t>highly favorable.  The key differences of the new methodology compared with previous one are displayed in Table 1 below.</w:t>
      </w:r>
    </w:p>
    <w:p w:rsidR="007B0A34" w:rsidRDefault="007B0A34" w:rsidP="005163F8">
      <w:pPr>
        <w:pStyle w:val="NormalWeb"/>
        <w:spacing w:before="0" w:beforeAutospacing="0" w:after="120" w:afterAutospacing="0"/>
        <w:ind w:left="360"/>
        <w:rPr>
          <w:rFonts w:ascii="Arial" w:hAnsi="Arial" w:cs="Arial"/>
          <w:sz w:val="22"/>
          <w:szCs w:val="22"/>
        </w:rPr>
      </w:pPr>
    </w:p>
    <w:p w:rsidR="007B0A34" w:rsidRDefault="007B0A34" w:rsidP="005163F8">
      <w:pPr>
        <w:pStyle w:val="NormalWeb"/>
        <w:spacing w:before="0" w:beforeAutospacing="0" w:after="120" w:afterAutospacing="0"/>
        <w:ind w:left="360"/>
        <w:rPr>
          <w:rFonts w:ascii="Arial" w:hAnsi="Arial" w:cs="Arial"/>
          <w:sz w:val="22"/>
          <w:szCs w:val="22"/>
        </w:rPr>
      </w:pPr>
    </w:p>
    <w:p w:rsidR="007B0A34" w:rsidRDefault="007B0A34" w:rsidP="005163F8">
      <w:pPr>
        <w:pStyle w:val="NormalWeb"/>
        <w:spacing w:before="0" w:beforeAutospacing="0" w:after="120" w:afterAutospacing="0"/>
        <w:ind w:left="360"/>
        <w:rPr>
          <w:rFonts w:ascii="Arial" w:hAnsi="Arial" w:cs="Arial"/>
          <w:sz w:val="22"/>
          <w:szCs w:val="22"/>
        </w:rPr>
      </w:pPr>
    </w:p>
    <w:p w:rsidR="007B0A34" w:rsidRDefault="004B17AE" w:rsidP="005163F8">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auto"/>
          <w:sz w:val="22"/>
          <w:szCs w:val="22"/>
        </w:rPr>
      </w:pPr>
      <w:r w:rsidRPr="002327C7">
        <w:rPr>
          <w:color w:val="auto"/>
          <w:sz w:val="22"/>
          <w:szCs w:val="22"/>
        </w:rPr>
        <w:t>Table 1. Previous and New MHAC Methodology Comparison</w:t>
      </w:r>
    </w:p>
    <w:tbl>
      <w:tblPr>
        <w:tblStyle w:val="TableGrid"/>
        <w:tblW w:w="0" w:type="auto"/>
        <w:tblLook w:val="04A0" w:firstRow="1" w:lastRow="0" w:firstColumn="1" w:lastColumn="0" w:noHBand="0" w:noVBand="1"/>
      </w:tblPr>
      <w:tblGrid>
        <w:gridCol w:w="2088"/>
        <w:gridCol w:w="2970"/>
        <w:gridCol w:w="4518"/>
      </w:tblGrid>
      <w:tr w:rsidR="00FE1C20" w:rsidRPr="002327C7" w:rsidTr="00747A4D">
        <w:tc>
          <w:tcPr>
            <w:tcW w:w="2088" w:type="dxa"/>
          </w:tcPr>
          <w:p w:rsidR="007B0A34" w:rsidRPr="00AA6790" w:rsidRDefault="00707CA5" w:rsidP="001F2853">
            <w:pPr>
              <w:pStyle w:val="NormalWeb"/>
              <w:spacing w:before="0" w:beforeAutospacing="0" w:after="0" w:afterAutospacing="0"/>
              <w:jc w:val="center"/>
              <w:rPr>
                <w:rFonts w:ascii="Arial" w:hAnsi="Arial" w:cs="Arial"/>
                <w:b/>
                <w:sz w:val="22"/>
                <w:szCs w:val="22"/>
              </w:rPr>
            </w:pPr>
            <w:r w:rsidRPr="00AA6790">
              <w:rPr>
                <w:rFonts w:ascii="Arial" w:hAnsi="Arial" w:cs="Arial"/>
                <w:b/>
                <w:sz w:val="22"/>
                <w:szCs w:val="22"/>
              </w:rPr>
              <w:t>Dimension</w:t>
            </w:r>
          </w:p>
        </w:tc>
        <w:tc>
          <w:tcPr>
            <w:tcW w:w="2970" w:type="dxa"/>
          </w:tcPr>
          <w:p w:rsidR="007B0A34" w:rsidRPr="00AA6790" w:rsidRDefault="00707CA5" w:rsidP="001F2853">
            <w:pPr>
              <w:pStyle w:val="NormalWeb"/>
              <w:spacing w:before="0" w:beforeAutospacing="0" w:after="0" w:afterAutospacing="0"/>
              <w:rPr>
                <w:rFonts w:ascii="Arial" w:hAnsi="Arial" w:cs="Arial"/>
                <w:b/>
                <w:sz w:val="22"/>
                <w:szCs w:val="22"/>
              </w:rPr>
            </w:pPr>
            <w:r w:rsidRPr="00AA6790">
              <w:rPr>
                <w:rFonts w:ascii="Arial" w:hAnsi="Arial" w:cs="Arial"/>
                <w:b/>
                <w:sz w:val="22"/>
                <w:szCs w:val="22"/>
              </w:rPr>
              <w:t>Previous MHAC Program</w:t>
            </w:r>
            <w:r w:rsidR="00C95780" w:rsidRPr="00AA6790">
              <w:rPr>
                <w:rFonts w:ascii="Arial" w:hAnsi="Arial" w:cs="Arial"/>
                <w:b/>
                <w:sz w:val="22"/>
                <w:szCs w:val="22"/>
              </w:rPr>
              <w:t xml:space="preserve"> </w:t>
            </w:r>
            <w:r w:rsidR="001F2853" w:rsidRPr="00AA6790">
              <w:rPr>
                <w:rFonts w:ascii="Arial" w:hAnsi="Arial" w:cs="Arial"/>
                <w:b/>
                <w:sz w:val="22"/>
                <w:szCs w:val="22"/>
              </w:rPr>
              <w:t>R</w:t>
            </w:r>
            <w:r w:rsidR="00C95780" w:rsidRPr="00AA6790">
              <w:rPr>
                <w:rFonts w:ascii="Arial" w:hAnsi="Arial" w:cs="Arial"/>
                <w:b/>
                <w:sz w:val="22"/>
                <w:szCs w:val="22"/>
              </w:rPr>
              <w:t>Y 2016</w:t>
            </w:r>
          </w:p>
        </w:tc>
        <w:tc>
          <w:tcPr>
            <w:tcW w:w="4518" w:type="dxa"/>
          </w:tcPr>
          <w:p w:rsidR="007B0A34" w:rsidRPr="00AA6790" w:rsidRDefault="00707CA5" w:rsidP="005163F8">
            <w:pPr>
              <w:pStyle w:val="NormalWeb"/>
              <w:spacing w:before="0" w:beforeAutospacing="0" w:after="0" w:afterAutospacing="0"/>
              <w:rPr>
                <w:rFonts w:ascii="Arial" w:hAnsi="Arial" w:cs="Arial"/>
                <w:b/>
                <w:sz w:val="22"/>
                <w:szCs w:val="22"/>
              </w:rPr>
            </w:pPr>
            <w:r w:rsidRPr="00AA6790">
              <w:rPr>
                <w:rFonts w:ascii="Arial" w:hAnsi="Arial" w:cs="Arial"/>
                <w:b/>
                <w:sz w:val="22"/>
                <w:szCs w:val="22"/>
              </w:rPr>
              <w:t>New MHAC Program</w:t>
            </w:r>
          </w:p>
          <w:p w:rsidR="00EF6624" w:rsidRPr="00AA6790" w:rsidRDefault="001F2853" w:rsidP="005163F8">
            <w:pPr>
              <w:pStyle w:val="NormalWeb"/>
              <w:spacing w:before="0" w:beforeAutospacing="0" w:after="0" w:afterAutospacing="0"/>
              <w:rPr>
                <w:rFonts w:ascii="Arial" w:hAnsi="Arial" w:cs="Arial"/>
                <w:b/>
                <w:sz w:val="22"/>
                <w:szCs w:val="22"/>
              </w:rPr>
            </w:pPr>
            <w:r w:rsidRPr="00AA6790">
              <w:rPr>
                <w:rFonts w:ascii="Arial" w:hAnsi="Arial" w:cs="Arial"/>
                <w:b/>
                <w:sz w:val="22"/>
                <w:szCs w:val="22"/>
              </w:rPr>
              <w:t>R</w:t>
            </w:r>
            <w:r w:rsidR="00C95780" w:rsidRPr="00AA6790">
              <w:rPr>
                <w:rFonts w:ascii="Arial" w:hAnsi="Arial" w:cs="Arial"/>
                <w:b/>
                <w:sz w:val="22"/>
                <w:szCs w:val="22"/>
              </w:rPr>
              <w:t>Y2016</w:t>
            </w:r>
          </w:p>
        </w:tc>
      </w:tr>
      <w:tr w:rsidR="00FE1C20" w:rsidRPr="002327C7" w:rsidTr="00747A4D">
        <w:tc>
          <w:tcPr>
            <w:tcW w:w="2088" w:type="dxa"/>
          </w:tcPr>
          <w:p w:rsidR="00707CA5" w:rsidRPr="00DE0613" w:rsidRDefault="00707CA5" w:rsidP="004B17AE">
            <w:pPr>
              <w:pStyle w:val="NormalWeb"/>
              <w:jc w:val="center"/>
              <w:rPr>
                <w:rFonts w:ascii="Arial" w:hAnsi="Arial" w:cs="Arial"/>
                <w:b/>
                <w:sz w:val="22"/>
                <w:szCs w:val="22"/>
              </w:rPr>
            </w:pPr>
            <w:r w:rsidRPr="00DE0613">
              <w:rPr>
                <w:rFonts w:ascii="Arial" w:hAnsi="Arial" w:cs="Arial"/>
                <w:b/>
                <w:sz w:val="22"/>
                <w:szCs w:val="22"/>
              </w:rPr>
              <w:t>Score Calculation</w:t>
            </w:r>
          </w:p>
        </w:tc>
        <w:tc>
          <w:tcPr>
            <w:tcW w:w="2970" w:type="dxa"/>
          </w:tcPr>
          <w:p w:rsidR="00707CA5" w:rsidRPr="00AA6790" w:rsidRDefault="00707CA5" w:rsidP="00707CA5">
            <w:pPr>
              <w:pStyle w:val="NormalWeb"/>
              <w:rPr>
                <w:rFonts w:ascii="Arial" w:hAnsi="Arial" w:cs="Arial"/>
                <w:sz w:val="22"/>
                <w:szCs w:val="22"/>
              </w:rPr>
            </w:pPr>
            <w:r w:rsidRPr="00AA6790">
              <w:rPr>
                <w:rFonts w:ascii="Arial" w:hAnsi="Arial" w:cs="Arial"/>
                <w:sz w:val="22"/>
                <w:szCs w:val="22"/>
              </w:rPr>
              <w:t>Excess cost of PPCs/total revenue at risk</w:t>
            </w:r>
          </w:p>
        </w:tc>
        <w:tc>
          <w:tcPr>
            <w:tcW w:w="4518" w:type="dxa"/>
          </w:tcPr>
          <w:p w:rsidR="00707CA5" w:rsidRPr="00AA6790" w:rsidRDefault="00707CA5" w:rsidP="00707CA5">
            <w:pPr>
              <w:pStyle w:val="NormalWeb"/>
              <w:rPr>
                <w:rFonts w:ascii="Arial" w:hAnsi="Arial" w:cs="Arial"/>
                <w:sz w:val="22"/>
                <w:szCs w:val="22"/>
              </w:rPr>
            </w:pPr>
            <w:r w:rsidRPr="00AA6790">
              <w:rPr>
                <w:rFonts w:ascii="Arial" w:hAnsi="Arial" w:cs="Arial"/>
                <w:sz w:val="22"/>
                <w:szCs w:val="22"/>
              </w:rPr>
              <w:t xml:space="preserve">Observed/Expected Ratio </w:t>
            </w:r>
          </w:p>
        </w:tc>
      </w:tr>
      <w:tr w:rsidR="00FE1C20" w:rsidRPr="002327C7" w:rsidTr="00747A4D">
        <w:tc>
          <w:tcPr>
            <w:tcW w:w="2088" w:type="dxa"/>
          </w:tcPr>
          <w:p w:rsidR="00707CA5" w:rsidRPr="002327C7" w:rsidRDefault="00707CA5" w:rsidP="004B17AE">
            <w:pPr>
              <w:pStyle w:val="NormalWeb"/>
              <w:jc w:val="center"/>
              <w:rPr>
                <w:rFonts w:ascii="Arial" w:hAnsi="Arial" w:cs="Arial"/>
                <w:b/>
                <w:color w:val="444451"/>
                <w:sz w:val="22"/>
                <w:szCs w:val="22"/>
              </w:rPr>
            </w:pPr>
            <w:r w:rsidRPr="002327C7">
              <w:rPr>
                <w:rFonts w:ascii="Arial" w:hAnsi="Arial" w:cs="Arial"/>
                <w:b/>
                <w:sz w:val="22"/>
                <w:szCs w:val="22"/>
              </w:rPr>
              <w:t>Weights</w:t>
            </w:r>
          </w:p>
        </w:tc>
        <w:tc>
          <w:tcPr>
            <w:tcW w:w="2970" w:type="dxa"/>
          </w:tcPr>
          <w:p w:rsidR="00707CA5" w:rsidRPr="002327C7" w:rsidRDefault="00707CA5" w:rsidP="00707CA5">
            <w:pPr>
              <w:pStyle w:val="NormalWeb"/>
              <w:rPr>
                <w:rFonts w:ascii="Arial" w:hAnsi="Arial" w:cs="Arial"/>
                <w:sz w:val="22"/>
                <w:szCs w:val="22"/>
              </w:rPr>
            </w:pPr>
            <w:r w:rsidRPr="002327C7">
              <w:rPr>
                <w:rFonts w:ascii="Arial" w:hAnsi="Arial" w:cs="Arial"/>
                <w:sz w:val="22"/>
                <w:szCs w:val="22"/>
              </w:rPr>
              <w:t xml:space="preserve">Estimated cost of each PPC </w:t>
            </w:r>
          </w:p>
        </w:tc>
        <w:tc>
          <w:tcPr>
            <w:tcW w:w="4518" w:type="dxa"/>
          </w:tcPr>
          <w:p w:rsidR="00707CA5" w:rsidRPr="002327C7" w:rsidRDefault="00707CA5" w:rsidP="00707CA5">
            <w:pPr>
              <w:pStyle w:val="NormalWeb"/>
              <w:rPr>
                <w:rFonts w:ascii="Arial" w:hAnsi="Arial" w:cs="Arial"/>
                <w:sz w:val="22"/>
                <w:szCs w:val="22"/>
              </w:rPr>
            </w:pPr>
            <w:r w:rsidRPr="002327C7">
              <w:rPr>
                <w:rFonts w:ascii="Arial" w:hAnsi="Arial" w:cs="Arial"/>
                <w:sz w:val="22"/>
                <w:szCs w:val="22"/>
              </w:rPr>
              <w:t xml:space="preserve">Three tiers; high cost/high prevalence weighted more heavily (50% of total score) </w:t>
            </w:r>
          </w:p>
        </w:tc>
      </w:tr>
      <w:tr w:rsidR="00FE1C20" w:rsidRPr="002327C7" w:rsidTr="00747A4D">
        <w:tc>
          <w:tcPr>
            <w:tcW w:w="2088" w:type="dxa"/>
          </w:tcPr>
          <w:p w:rsidR="00707CA5" w:rsidRPr="002327C7" w:rsidRDefault="004B17AE" w:rsidP="00747A4D">
            <w:pPr>
              <w:pStyle w:val="NormalWeb"/>
              <w:jc w:val="center"/>
              <w:rPr>
                <w:rFonts w:ascii="Arial" w:hAnsi="Arial" w:cs="Arial"/>
                <w:b/>
                <w:sz w:val="22"/>
                <w:szCs w:val="22"/>
              </w:rPr>
            </w:pPr>
            <w:r w:rsidRPr="002327C7">
              <w:rPr>
                <w:rFonts w:ascii="Arial" w:hAnsi="Arial" w:cs="Arial"/>
                <w:b/>
                <w:sz w:val="22"/>
                <w:szCs w:val="22"/>
              </w:rPr>
              <w:t>Case M</w:t>
            </w:r>
            <w:r w:rsidR="00707CA5" w:rsidRPr="002327C7">
              <w:rPr>
                <w:rFonts w:ascii="Arial" w:hAnsi="Arial" w:cs="Arial"/>
                <w:b/>
                <w:sz w:val="22"/>
                <w:szCs w:val="22"/>
              </w:rPr>
              <w:t>ix Adjustment</w:t>
            </w:r>
          </w:p>
        </w:tc>
        <w:tc>
          <w:tcPr>
            <w:tcW w:w="2970" w:type="dxa"/>
          </w:tcPr>
          <w:p w:rsidR="00707CA5" w:rsidRPr="002327C7" w:rsidRDefault="00707CA5">
            <w:pPr>
              <w:pStyle w:val="NormalWeb"/>
              <w:rPr>
                <w:rFonts w:ascii="Arial" w:hAnsi="Arial" w:cs="Arial"/>
                <w:sz w:val="22"/>
                <w:szCs w:val="22"/>
              </w:rPr>
            </w:pPr>
            <w:r w:rsidRPr="002327C7">
              <w:rPr>
                <w:rFonts w:ascii="Arial" w:hAnsi="Arial" w:cs="Arial"/>
                <w:sz w:val="22"/>
                <w:szCs w:val="22"/>
              </w:rPr>
              <w:t>APR-DRG/ Severity of Illne</w:t>
            </w:r>
            <w:r w:rsidR="00747A4D" w:rsidRPr="002327C7">
              <w:rPr>
                <w:rFonts w:ascii="Arial" w:hAnsi="Arial" w:cs="Arial"/>
                <w:sz w:val="22"/>
                <w:szCs w:val="22"/>
              </w:rPr>
              <w:t>ss with limited case exclusions</w:t>
            </w:r>
          </w:p>
        </w:tc>
        <w:tc>
          <w:tcPr>
            <w:tcW w:w="4518" w:type="dxa"/>
          </w:tcPr>
          <w:p w:rsidR="00707CA5" w:rsidRPr="002327C7" w:rsidRDefault="00707CA5" w:rsidP="00707CA5">
            <w:pPr>
              <w:pStyle w:val="NormalWeb"/>
              <w:rPr>
                <w:rFonts w:ascii="Arial" w:hAnsi="Arial" w:cs="Arial"/>
                <w:color w:val="444451"/>
                <w:sz w:val="22"/>
                <w:szCs w:val="22"/>
              </w:rPr>
            </w:pPr>
            <w:r w:rsidRPr="002327C7">
              <w:rPr>
                <w:rFonts w:ascii="Arial" w:hAnsi="Arial" w:cs="Arial"/>
                <w:sz w:val="22"/>
                <w:szCs w:val="22"/>
              </w:rPr>
              <w:t>Current Policy + small cell size exclusions (at risk&lt;10, expected &lt;1)</w:t>
            </w:r>
          </w:p>
        </w:tc>
      </w:tr>
      <w:tr w:rsidR="00FE1C20" w:rsidRPr="002327C7" w:rsidTr="00747A4D">
        <w:trPr>
          <w:trHeight w:val="512"/>
        </w:trPr>
        <w:tc>
          <w:tcPr>
            <w:tcW w:w="2088" w:type="dxa"/>
          </w:tcPr>
          <w:p w:rsidR="00707CA5" w:rsidRPr="002327C7" w:rsidRDefault="00707CA5" w:rsidP="004B17AE">
            <w:pPr>
              <w:pStyle w:val="NormalWeb"/>
              <w:jc w:val="center"/>
              <w:rPr>
                <w:rFonts w:ascii="Arial" w:hAnsi="Arial" w:cs="Arial"/>
                <w:b/>
                <w:sz w:val="22"/>
                <w:szCs w:val="22"/>
              </w:rPr>
            </w:pPr>
            <w:r w:rsidRPr="002327C7">
              <w:rPr>
                <w:rFonts w:ascii="Arial" w:hAnsi="Arial" w:cs="Arial"/>
                <w:b/>
                <w:sz w:val="22"/>
                <w:szCs w:val="22"/>
              </w:rPr>
              <w:t>Attainment/ Improveme</w:t>
            </w:r>
            <w:r w:rsidR="00FE1C20" w:rsidRPr="002327C7">
              <w:rPr>
                <w:rFonts w:ascii="Arial" w:hAnsi="Arial" w:cs="Arial"/>
                <w:b/>
                <w:sz w:val="22"/>
                <w:szCs w:val="22"/>
              </w:rPr>
              <w:t>nt</w:t>
            </w:r>
          </w:p>
        </w:tc>
        <w:tc>
          <w:tcPr>
            <w:tcW w:w="2970" w:type="dxa"/>
          </w:tcPr>
          <w:p w:rsidR="00707CA5" w:rsidRPr="002327C7" w:rsidRDefault="00707CA5" w:rsidP="00707CA5">
            <w:pPr>
              <w:pStyle w:val="NormalWeb"/>
              <w:rPr>
                <w:rFonts w:ascii="Arial" w:hAnsi="Arial" w:cs="Arial"/>
                <w:sz w:val="22"/>
                <w:szCs w:val="22"/>
              </w:rPr>
            </w:pPr>
            <w:r w:rsidRPr="002327C7">
              <w:rPr>
                <w:rFonts w:ascii="Arial" w:hAnsi="Arial" w:cs="Arial"/>
                <w:sz w:val="22"/>
                <w:szCs w:val="22"/>
              </w:rPr>
              <w:t xml:space="preserve">Separate scales for </w:t>
            </w:r>
            <w:r w:rsidR="004E7D0C" w:rsidRPr="002327C7">
              <w:rPr>
                <w:rFonts w:ascii="Arial" w:hAnsi="Arial" w:cs="Arial"/>
                <w:sz w:val="22"/>
                <w:szCs w:val="22"/>
              </w:rPr>
              <w:t>i</w:t>
            </w:r>
            <w:r w:rsidRPr="002327C7">
              <w:rPr>
                <w:rFonts w:ascii="Arial" w:hAnsi="Arial" w:cs="Arial"/>
                <w:sz w:val="22"/>
                <w:szCs w:val="22"/>
              </w:rPr>
              <w:t xml:space="preserve">mprovement and attainment </w:t>
            </w:r>
          </w:p>
        </w:tc>
        <w:tc>
          <w:tcPr>
            <w:tcW w:w="4518" w:type="dxa"/>
          </w:tcPr>
          <w:p w:rsidR="00707CA5" w:rsidRPr="002327C7" w:rsidRDefault="00707CA5" w:rsidP="00707CA5">
            <w:pPr>
              <w:pStyle w:val="NormalWeb"/>
              <w:rPr>
                <w:rFonts w:ascii="Arial" w:hAnsi="Arial" w:cs="Arial"/>
                <w:color w:val="444451"/>
                <w:sz w:val="22"/>
                <w:szCs w:val="22"/>
              </w:rPr>
            </w:pPr>
            <w:r w:rsidRPr="002327C7">
              <w:rPr>
                <w:rFonts w:ascii="Arial" w:hAnsi="Arial" w:cs="Arial"/>
                <w:sz w:val="22"/>
                <w:szCs w:val="22"/>
              </w:rPr>
              <w:t>Better of attainment or improvement</w:t>
            </w:r>
          </w:p>
        </w:tc>
      </w:tr>
      <w:tr w:rsidR="00FE1C20" w:rsidRPr="002327C7" w:rsidTr="00747A4D">
        <w:trPr>
          <w:trHeight w:val="1043"/>
        </w:trPr>
        <w:tc>
          <w:tcPr>
            <w:tcW w:w="2088" w:type="dxa"/>
          </w:tcPr>
          <w:p w:rsidR="00707CA5" w:rsidRPr="002327C7" w:rsidRDefault="00707CA5" w:rsidP="00747A4D">
            <w:pPr>
              <w:pStyle w:val="NormalWeb"/>
              <w:jc w:val="center"/>
              <w:rPr>
                <w:rFonts w:ascii="Arial" w:hAnsi="Arial" w:cs="Arial"/>
                <w:b/>
                <w:sz w:val="22"/>
                <w:szCs w:val="22"/>
              </w:rPr>
            </w:pPr>
            <w:r w:rsidRPr="002327C7">
              <w:rPr>
                <w:rFonts w:ascii="Arial" w:hAnsi="Arial" w:cs="Arial"/>
                <w:b/>
                <w:sz w:val="22"/>
                <w:szCs w:val="22"/>
              </w:rPr>
              <w:t>Performance Standards</w:t>
            </w:r>
          </w:p>
        </w:tc>
        <w:tc>
          <w:tcPr>
            <w:tcW w:w="2970" w:type="dxa"/>
          </w:tcPr>
          <w:p w:rsidR="00707CA5" w:rsidRPr="002327C7" w:rsidRDefault="00707CA5" w:rsidP="00707CA5">
            <w:pPr>
              <w:pStyle w:val="NormalWeb"/>
              <w:rPr>
                <w:rFonts w:ascii="Arial" w:hAnsi="Arial" w:cs="Arial"/>
                <w:sz w:val="22"/>
                <w:szCs w:val="22"/>
              </w:rPr>
            </w:pPr>
            <w:r w:rsidRPr="002327C7">
              <w:rPr>
                <w:rFonts w:ascii="Arial" w:hAnsi="Arial" w:cs="Arial"/>
                <w:sz w:val="22"/>
                <w:szCs w:val="22"/>
              </w:rPr>
              <w:t xml:space="preserve">75% of state average </w:t>
            </w:r>
          </w:p>
        </w:tc>
        <w:tc>
          <w:tcPr>
            <w:tcW w:w="4518" w:type="dxa"/>
          </w:tcPr>
          <w:p w:rsidR="00AA6790" w:rsidRDefault="00707CA5" w:rsidP="00747A4D">
            <w:pPr>
              <w:pStyle w:val="NormalWeb"/>
              <w:numPr>
                <w:ilvl w:val="0"/>
                <w:numId w:val="17"/>
              </w:numPr>
              <w:rPr>
                <w:rFonts w:ascii="Arial" w:hAnsi="Arial" w:cs="Arial"/>
                <w:sz w:val="22"/>
                <w:szCs w:val="22"/>
              </w:rPr>
            </w:pPr>
            <w:r w:rsidRPr="002327C7">
              <w:rPr>
                <w:rFonts w:ascii="Arial" w:hAnsi="Arial" w:cs="Arial"/>
                <w:sz w:val="22"/>
                <w:szCs w:val="22"/>
              </w:rPr>
              <w:t>Threshold (0 Points): State average Benchmark (Full Points): Average of top 25% best performing hospitals</w:t>
            </w:r>
            <w:r w:rsidR="00FE1C20" w:rsidRPr="002327C7">
              <w:rPr>
                <w:rFonts w:ascii="Arial" w:hAnsi="Arial" w:cs="Arial"/>
                <w:sz w:val="22"/>
                <w:szCs w:val="22"/>
              </w:rPr>
              <w:t xml:space="preserve"> </w:t>
            </w:r>
          </w:p>
          <w:p w:rsidR="00707CA5" w:rsidRPr="00AA6790" w:rsidRDefault="00747A4D" w:rsidP="00AA6790">
            <w:pPr>
              <w:pStyle w:val="NormalWeb"/>
              <w:numPr>
                <w:ilvl w:val="0"/>
                <w:numId w:val="17"/>
              </w:numPr>
              <w:rPr>
                <w:rFonts w:ascii="Arial" w:hAnsi="Arial" w:cs="Arial"/>
                <w:sz w:val="22"/>
                <w:szCs w:val="22"/>
              </w:rPr>
            </w:pPr>
            <w:r w:rsidRPr="002327C7">
              <w:rPr>
                <w:rFonts w:ascii="Arial" w:hAnsi="Arial" w:cs="Arial"/>
                <w:sz w:val="22"/>
                <w:szCs w:val="22"/>
              </w:rPr>
              <w:t>Serious</w:t>
            </w:r>
            <w:r w:rsidR="00AA6790">
              <w:rPr>
                <w:rFonts w:ascii="Arial" w:hAnsi="Arial" w:cs="Arial"/>
                <w:sz w:val="22"/>
                <w:szCs w:val="22"/>
              </w:rPr>
              <w:t xml:space="preserve"> </w:t>
            </w:r>
            <w:r w:rsidR="00FE1C20" w:rsidRPr="00AA6790">
              <w:rPr>
                <w:rFonts w:ascii="Arial" w:hAnsi="Arial" w:cs="Arial"/>
                <w:sz w:val="22"/>
                <w:szCs w:val="22"/>
              </w:rPr>
              <w:t>Reportable Events</w:t>
            </w:r>
            <w:proofErr w:type="gramStart"/>
            <w:r w:rsidR="00FE1C20" w:rsidRPr="00AA6790">
              <w:rPr>
                <w:rFonts w:ascii="Arial" w:hAnsi="Arial" w:cs="Arial"/>
                <w:sz w:val="22"/>
                <w:szCs w:val="22"/>
              </w:rPr>
              <w:t>:0</w:t>
            </w:r>
            <w:proofErr w:type="gramEnd"/>
            <w:r w:rsidR="00FE1C20" w:rsidRPr="00AA6790">
              <w:rPr>
                <w:rFonts w:ascii="Arial" w:hAnsi="Arial" w:cs="Arial"/>
                <w:sz w:val="22"/>
                <w:szCs w:val="22"/>
              </w:rPr>
              <w:t xml:space="preserve"> </w:t>
            </w:r>
          </w:p>
        </w:tc>
      </w:tr>
      <w:tr w:rsidR="00FE1C20" w:rsidRPr="002327C7" w:rsidTr="00747A4D">
        <w:trPr>
          <w:trHeight w:val="1007"/>
        </w:trPr>
        <w:tc>
          <w:tcPr>
            <w:tcW w:w="2088" w:type="dxa"/>
          </w:tcPr>
          <w:p w:rsidR="00707CA5" w:rsidRPr="002327C7" w:rsidRDefault="00FE1C20" w:rsidP="00747A4D">
            <w:pPr>
              <w:pStyle w:val="NormalWeb"/>
              <w:jc w:val="center"/>
              <w:rPr>
                <w:rFonts w:ascii="Arial" w:hAnsi="Arial" w:cs="Arial"/>
                <w:b/>
                <w:sz w:val="22"/>
                <w:szCs w:val="22"/>
              </w:rPr>
            </w:pPr>
            <w:r w:rsidRPr="002327C7">
              <w:rPr>
                <w:rFonts w:ascii="Arial" w:hAnsi="Arial" w:cs="Arial"/>
                <w:b/>
                <w:sz w:val="22"/>
                <w:szCs w:val="22"/>
              </w:rPr>
              <w:t>Scaling</w:t>
            </w:r>
          </w:p>
        </w:tc>
        <w:tc>
          <w:tcPr>
            <w:tcW w:w="2970" w:type="dxa"/>
          </w:tcPr>
          <w:p w:rsidR="00707CA5" w:rsidRPr="002327C7" w:rsidRDefault="00FE1C20" w:rsidP="00707CA5">
            <w:pPr>
              <w:pStyle w:val="NormalWeb"/>
              <w:rPr>
                <w:rFonts w:ascii="Arial" w:hAnsi="Arial" w:cs="Arial"/>
                <w:color w:val="444451"/>
                <w:sz w:val="22"/>
                <w:szCs w:val="22"/>
              </w:rPr>
            </w:pPr>
            <w:r w:rsidRPr="002327C7">
              <w:rPr>
                <w:rFonts w:ascii="Arial" w:hAnsi="Arial" w:cs="Arial"/>
                <w:sz w:val="22"/>
                <w:szCs w:val="22"/>
              </w:rPr>
              <w:t>Relative ranking, revenue neutral</w:t>
            </w:r>
          </w:p>
        </w:tc>
        <w:tc>
          <w:tcPr>
            <w:tcW w:w="4518" w:type="dxa"/>
          </w:tcPr>
          <w:p w:rsidR="00747A4D" w:rsidRPr="002327C7" w:rsidRDefault="00FE1C20" w:rsidP="00747A4D">
            <w:pPr>
              <w:pStyle w:val="NormalWeb"/>
              <w:numPr>
                <w:ilvl w:val="0"/>
                <w:numId w:val="18"/>
              </w:numPr>
              <w:rPr>
                <w:rFonts w:ascii="Arial" w:hAnsi="Arial" w:cs="Arial"/>
                <w:sz w:val="22"/>
                <w:szCs w:val="22"/>
              </w:rPr>
            </w:pPr>
            <w:r w:rsidRPr="002327C7">
              <w:rPr>
                <w:rFonts w:ascii="Arial" w:hAnsi="Arial" w:cs="Arial"/>
                <w:sz w:val="22"/>
                <w:szCs w:val="22"/>
              </w:rPr>
              <w:t>Point-based preset scal</w:t>
            </w:r>
            <w:r w:rsidR="00747A4D" w:rsidRPr="002327C7">
              <w:rPr>
                <w:rFonts w:ascii="Arial" w:hAnsi="Arial" w:cs="Arial"/>
                <w:sz w:val="22"/>
                <w:szCs w:val="22"/>
              </w:rPr>
              <w:t>ing, may not be revenue neutral</w:t>
            </w:r>
          </w:p>
          <w:p w:rsidR="00707CA5" w:rsidRPr="002327C7" w:rsidRDefault="00FE1C20" w:rsidP="00747A4D">
            <w:pPr>
              <w:pStyle w:val="NormalWeb"/>
              <w:numPr>
                <w:ilvl w:val="0"/>
                <w:numId w:val="18"/>
              </w:numPr>
              <w:rPr>
                <w:rFonts w:ascii="Arial" w:hAnsi="Arial" w:cs="Arial"/>
                <w:sz w:val="22"/>
                <w:szCs w:val="22"/>
              </w:rPr>
            </w:pPr>
            <w:r w:rsidRPr="002327C7">
              <w:rPr>
                <w:rFonts w:ascii="Arial" w:hAnsi="Arial" w:cs="Arial"/>
                <w:sz w:val="22"/>
                <w:szCs w:val="22"/>
              </w:rPr>
              <w:t>Statewide performance impacts the scaling result</w:t>
            </w:r>
            <w:r w:rsidR="00747A4D" w:rsidRPr="002327C7">
              <w:rPr>
                <w:rFonts w:ascii="Arial" w:hAnsi="Arial" w:cs="Arial"/>
                <w:sz w:val="22"/>
                <w:szCs w:val="22"/>
              </w:rPr>
              <w:t>s</w:t>
            </w:r>
          </w:p>
        </w:tc>
      </w:tr>
    </w:tbl>
    <w:p w:rsidR="007B0A34" w:rsidRDefault="007B0A34" w:rsidP="005163F8">
      <w:pPr>
        <w:pStyle w:val="NormalWeb"/>
        <w:spacing w:before="0" w:beforeAutospacing="0" w:after="0" w:afterAutospacing="0"/>
        <w:ind w:left="270"/>
        <w:rPr>
          <w:rFonts w:ascii="Arial" w:hAnsi="Arial" w:cs="Arial"/>
          <w:sz w:val="22"/>
          <w:szCs w:val="22"/>
        </w:rPr>
      </w:pPr>
    </w:p>
    <w:p w:rsidR="007B0A34" w:rsidRDefault="007B0A34" w:rsidP="005163F8">
      <w:pPr>
        <w:pStyle w:val="ListParagraph"/>
        <w:rPr>
          <w:rFonts w:ascii="Arial" w:hAnsi="Arial" w:cs="Arial"/>
          <w:b/>
        </w:rPr>
      </w:pPr>
    </w:p>
    <w:p w:rsidR="007B0A34" w:rsidRDefault="007B0A34" w:rsidP="005163F8">
      <w:pPr>
        <w:pStyle w:val="ListParagraph"/>
        <w:rPr>
          <w:rFonts w:ascii="Arial" w:hAnsi="Arial" w:cs="Arial"/>
          <w:b/>
        </w:rPr>
      </w:pPr>
    </w:p>
    <w:p w:rsidR="00EF6624" w:rsidRDefault="00C95780" w:rsidP="001F2853">
      <w:pPr>
        <w:pStyle w:val="NormalWeb"/>
        <w:numPr>
          <w:ilvl w:val="0"/>
          <w:numId w:val="2"/>
        </w:numPr>
        <w:spacing w:before="0" w:beforeAutospacing="0" w:after="0" w:afterAutospacing="0"/>
        <w:rPr>
          <w:rFonts w:ascii="Arial" w:hAnsi="Arial" w:cs="Arial"/>
          <w:b/>
          <w:sz w:val="22"/>
          <w:szCs w:val="22"/>
        </w:rPr>
      </w:pPr>
      <w:r>
        <w:rPr>
          <w:rFonts w:ascii="Arial" w:hAnsi="Arial" w:cs="Arial"/>
          <w:b/>
          <w:sz w:val="22"/>
          <w:szCs w:val="22"/>
        </w:rPr>
        <w:t xml:space="preserve">New Methodology for Hospital </w:t>
      </w:r>
      <w:r w:rsidR="004E2F2E">
        <w:rPr>
          <w:rFonts w:ascii="Arial" w:hAnsi="Arial" w:cs="Arial"/>
          <w:b/>
          <w:sz w:val="22"/>
          <w:szCs w:val="22"/>
        </w:rPr>
        <w:t xml:space="preserve">MHAC Performance </w:t>
      </w:r>
      <w:r>
        <w:rPr>
          <w:rFonts w:ascii="Arial" w:hAnsi="Arial" w:cs="Arial"/>
          <w:b/>
          <w:sz w:val="22"/>
          <w:szCs w:val="22"/>
        </w:rPr>
        <w:t xml:space="preserve">Scoring </w:t>
      </w:r>
    </w:p>
    <w:p w:rsidR="001F2853" w:rsidRDefault="001F2853" w:rsidP="001F2853">
      <w:pPr>
        <w:pStyle w:val="NormalWeb"/>
        <w:spacing w:before="0" w:beforeAutospacing="0" w:after="0" w:afterAutospacing="0"/>
        <w:ind w:left="1440"/>
        <w:rPr>
          <w:rFonts w:ascii="Arial" w:hAnsi="Arial" w:cs="Arial"/>
          <w:sz w:val="22"/>
          <w:szCs w:val="22"/>
        </w:rPr>
      </w:pPr>
    </w:p>
    <w:p w:rsidR="001F2853" w:rsidRPr="001F2853" w:rsidRDefault="003742E7" w:rsidP="001F2853">
      <w:pPr>
        <w:pStyle w:val="NormalWeb"/>
        <w:numPr>
          <w:ilvl w:val="1"/>
          <w:numId w:val="2"/>
        </w:numPr>
        <w:spacing w:before="0" w:beforeAutospacing="0" w:after="0" w:afterAutospacing="0"/>
        <w:rPr>
          <w:rFonts w:ascii="Arial" w:hAnsi="Arial" w:cs="Arial"/>
          <w:b/>
          <w:sz w:val="22"/>
          <w:szCs w:val="22"/>
        </w:rPr>
      </w:pPr>
      <w:r>
        <w:rPr>
          <w:rFonts w:ascii="Arial" w:hAnsi="Arial" w:cs="Arial"/>
          <w:b/>
          <w:sz w:val="22"/>
          <w:szCs w:val="22"/>
        </w:rPr>
        <w:t>Performance Metric</w:t>
      </w:r>
    </w:p>
    <w:p w:rsidR="004E2F2E" w:rsidRDefault="001F2853" w:rsidP="00D404E7">
      <w:pPr>
        <w:pStyle w:val="NormalWeb"/>
        <w:spacing w:before="0" w:beforeAutospacing="0" w:after="0" w:afterAutospacing="0"/>
        <w:ind w:left="720"/>
        <w:rPr>
          <w:rFonts w:ascii="Arial" w:hAnsi="Arial" w:cs="Arial"/>
          <w:sz w:val="22"/>
          <w:szCs w:val="22"/>
        </w:rPr>
      </w:pPr>
      <w:r>
        <w:rPr>
          <w:rFonts w:ascii="Arial" w:hAnsi="Arial" w:cs="Arial"/>
          <w:sz w:val="22"/>
          <w:szCs w:val="22"/>
        </w:rPr>
        <w:t>The new methodology for the MHAC program m</w:t>
      </w:r>
      <w:r w:rsidR="00C95780" w:rsidRPr="004E2F2E">
        <w:rPr>
          <w:rFonts w:ascii="Arial" w:hAnsi="Arial" w:cs="Arial"/>
          <w:sz w:val="22"/>
          <w:szCs w:val="22"/>
        </w:rPr>
        <w:t>easure</w:t>
      </w:r>
      <w:r>
        <w:rPr>
          <w:rFonts w:ascii="Arial" w:hAnsi="Arial" w:cs="Arial"/>
          <w:sz w:val="22"/>
          <w:szCs w:val="22"/>
        </w:rPr>
        <w:t>s</w:t>
      </w:r>
      <w:r w:rsidR="00C95780" w:rsidRPr="004E2F2E">
        <w:rPr>
          <w:rFonts w:ascii="Arial" w:hAnsi="Arial" w:cs="Arial"/>
          <w:sz w:val="22"/>
          <w:szCs w:val="22"/>
        </w:rPr>
        <w:t xml:space="preserve"> hospita</w:t>
      </w:r>
      <w:r>
        <w:rPr>
          <w:rFonts w:ascii="Arial" w:hAnsi="Arial" w:cs="Arial"/>
          <w:sz w:val="22"/>
          <w:szCs w:val="22"/>
        </w:rPr>
        <w:t xml:space="preserve">l performance using </w:t>
      </w:r>
      <w:r w:rsidR="003742E7">
        <w:rPr>
          <w:rFonts w:ascii="Arial" w:hAnsi="Arial" w:cs="Arial"/>
          <w:sz w:val="22"/>
          <w:szCs w:val="22"/>
        </w:rPr>
        <w:t xml:space="preserve">the </w:t>
      </w:r>
      <w:r>
        <w:rPr>
          <w:rFonts w:ascii="Arial" w:hAnsi="Arial" w:cs="Arial"/>
          <w:sz w:val="22"/>
          <w:szCs w:val="22"/>
        </w:rPr>
        <w:t xml:space="preserve">Observed (O) </w:t>
      </w:r>
      <w:r w:rsidR="00C95780" w:rsidRPr="004E2F2E">
        <w:rPr>
          <w:rFonts w:ascii="Arial" w:hAnsi="Arial" w:cs="Arial"/>
          <w:sz w:val="22"/>
          <w:szCs w:val="22"/>
        </w:rPr>
        <w:t xml:space="preserve">/Expected </w:t>
      </w:r>
      <w:r>
        <w:rPr>
          <w:rFonts w:ascii="Arial" w:hAnsi="Arial" w:cs="Arial"/>
          <w:sz w:val="22"/>
          <w:szCs w:val="22"/>
        </w:rPr>
        <w:t>(E) ratio</w:t>
      </w:r>
      <w:r w:rsidR="00C95780" w:rsidRPr="004E2F2E">
        <w:rPr>
          <w:rFonts w:ascii="Arial" w:hAnsi="Arial" w:cs="Arial"/>
          <w:sz w:val="22"/>
          <w:szCs w:val="22"/>
        </w:rPr>
        <w:t xml:space="preserve"> for each PPC. </w:t>
      </w:r>
      <w:r w:rsidR="00DE0613">
        <w:rPr>
          <w:rFonts w:ascii="Arial" w:hAnsi="Arial" w:cs="Arial"/>
          <w:sz w:val="22"/>
          <w:szCs w:val="22"/>
        </w:rPr>
        <w:t xml:space="preserve">Expected number of PPCs are calculated using the base year statewide PPC rates by APR-DRG SOI. (See </w:t>
      </w:r>
      <w:r w:rsidR="00D404E7">
        <w:rPr>
          <w:rFonts w:ascii="Arial" w:hAnsi="Arial" w:cs="Arial"/>
          <w:sz w:val="22"/>
          <w:szCs w:val="22"/>
        </w:rPr>
        <w:t>A</w:t>
      </w:r>
      <w:r w:rsidR="00DE0613">
        <w:rPr>
          <w:rFonts w:ascii="Arial" w:hAnsi="Arial" w:cs="Arial"/>
          <w:sz w:val="22"/>
          <w:szCs w:val="22"/>
        </w:rPr>
        <w:t>ppendix A for calculations).</w:t>
      </w:r>
    </w:p>
    <w:p w:rsidR="00660DD8" w:rsidRDefault="00660DD8" w:rsidP="00D404E7">
      <w:pPr>
        <w:pStyle w:val="NormalWeb"/>
        <w:spacing w:before="0" w:beforeAutospacing="0" w:after="0" w:afterAutospacing="0"/>
        <w:ind w:left="720"/>
        <w:rPr>
          <w:rFonts w:ascii="Arial" w:hAnsi="Arial" w:cs="Arial"/>
          <w:sz w:val="22"/>
          <w:szCs w:val="22"/>
        </w:rPr>
      </w:pPr>
    </w:p>
    <w:p w:rsidR="005421E2" w:rsidRPr="005163F8" w:rsidRDefault="005421E2" w:rsidP="005421E2">
      <w:pPr>
        <w:pStyle w:val="NormalWeb"/>
        <w:numPr>
          <w:ilvl w:val="1"/>
          <w:numId w:val="2"/>
        </w:numPr>
        <w:spacing w:before="0" w:beforeAutospacing="0" w:after="0" w:afterAutospacing="0"/>
        <w:rPr>
          <w:rFonts w:ascii="Arial" w:hAnsi="Arial" w:cs="Arial"/>
          <w:b/>
          <w:sz w:val="22"/>
          <w:szCs w:val="22"/>
        </w:rPr>
      </w:pPr>
      <w:r>
        <w:rPr>
          <w:rFonts w:ascii="Arial" w:hAnsi="Arial" w:cs="Arial"/>
          <w:b/>
          <w:sz w:val="22"/>
          <w:szCs w:val="22"/>
        </w:rPr>
        <w:t>A</w:t>
      </w:r>
      <w:r w:rsidRPr="005163F8">
        <w:rPr>
          <w:rFonts w:ascii="Arial" w:hAnsi="Arial" w:cs="Arial"/>
          <w:b/>
          <w:sz w:val="22"/>
          <w:szCs w:val="22"/>
        </w:rPr>
        <w:t>djustments to PPC Measurement</w:t>
      </w:r>
    </w:p>
    <w:p w:rsidR="005421E2" w:rsidRDefault="005421E2" w:rsidP="005421E2">
      <w:pPr>
        <w:pStyle w:val="NormalWeb"/>
        <w:spacing w:before="0" w:beforeAutospacing="0" w:after="0" w:afterAutospacing="0"/>
        <w:ind w:left="720"/>
        <w:rPr>
          <w:rFonts w:ascii="Arial" w:hAnsi="Arial" w:cs="Arial"/>
          <w:sz w:val="22"/>
          <w:szCs w:val="22"/>
        </w:rPr>
      </w:pPr>
    </w:p>
    <w:p w:rsidR="005421E2" w:rsidRDefault="005421E2" w:rsidP="005421E2">
      <w:pPr>
        <w:pStyle w:val="NormalWeb"/>
        <w:spacing w:before="0" w:beforeAutospacing="0" w:after="0" w:afterAutospacing="0"/>
        <w:ind w:left="720"/>
        <w:rPr>
          <w:rFonts w:ascii="Arial" w:hAnsi="Arial" w:cs="Arial"/>
          <w:sz w:val="22"/>
          <w:szCs w:val="22"/>
        </w:rPr>
      </w:pPr>
      <w:r>
        <w:rPr>
          <w:rFonts w:ascii="Arial" w:hAnsi="Arial" w:cs="Arial"/>
          <w:sz w:val="22"/>
          <w:szCs w:val="22"/>
        </w:rPr>
        <w:t>For the CY2013 base period the following exclusions will be applied.</w:t>
      </w:r>
    </w:p>
    <w:p w:rsidR="005421E2" w:rsidRDefault="005421E2" w:rsidP="005421E2">
      <w:pPr>
        <w:pStyle w:val="NormalWeb"/>
        <w:spacing w:before="0" w:beforeAutospacing="0" w:after="0" w:afterAutospacing="0"/>
        <w:ind w:left="720"/>
        <w:rPr>
          <w:rFonts w:ascii="Arial" w:hAnsi="Arial" w:cs="Arial"/>
          <w:sz w:val="22"/>
          <w:szCs w:val="22"/>
        </w:rPr>
      </w:pPr>
    </w:p>
    <w:p w:rsidR="005421E2" w:rsidRDefault="005421E2" w:rsidP="005421E2">
      <w:pPr>
        <w:pStyle w:val="NormalWeb"/>
        <w:spacing w:before="0" w:beforeAutospacing="0" w:after="0" w:afterAutospacing="0"/>
        <w:ind w:left="720"/>
        <w:rPr>
          <w:rFonts w:ascii="Arial" w:hAnsi="Arial" w:cs="Arial"/>
          <w:sz w:val="22"/>
          <w:szCs w:val="22"/>
        </w:rPr>
      </w:pPr>
      <w:r>
        <w:rPr>
          <w:rFonts w:ascii="Arial" w:hAnsi="Arial" w:cs="Arial"/>
          <w:sz w:val="22"/>
          <w:szCs w:val="22"/>
        </w:rPr>
        <w:t>For each hospital, cases will be removed if:</w:t>
      </w:r>
    </w:p>
    <w:p w:rsidR="005421E2" w:rsidRDefault="005421E2" w:rsidP="005421E2">
      <w:pPr>
        <w:pStyle w:val="NormalWeb"/>
        <w:numPr>
          <w:ilvl w:val="0"/>
          <w:numId w:val="25"/>
        </w:numPr>
        <w:spacing w:before="0" w:beforeAutospacing="0" w:after="0" w:afterAutospacing="0"/>
        <w:ind w:left="1440"/>
        <w:rPr>
          <w:rFonts w:ascii="Arial" w:hAnsi="Arial" w:cs="Arial"/>
          <w:sz w:val="22"/>
          <w:szCs w:val="22"/>
        </w:rPr>
      </w:pPr>
      <w:r>
        <w:rPr>
          <w:rFonts w:ascii="Arial" w:hAnsi="Arial" w:cs="Arial"/>
          <w:sz w:val="22"/>
          <w:szCs w:val="22"/>
        </w:rPr>
        <w:t>APR-DRG SOI cell has less than 2 total cases</w:t>
      </w:r>
    </w:p>
    <w:p w:rsidR="005421E2" w:rsidRDefault="005421E2" w:rsidP="005421E2">
      <w:pPr>
        <w:pStyle w:val="NormalWeb"/>
        <w:numPr>
          <w:ilvl w:val="0"/>
          <w:numId w:val="25"/>
        </w:numPr>
        <w:spacing w:before="0" w:beforeAutospacing="0" w:after="0" w:afterAutospacing="0"/>
        <w:ind w:left="1440"/>
        <w:rPr>
          <w:rFonts w:ascii="Arial" w:hAnsi="Arial" w:cs="Arial"/>
          <w:sz w:val="22"/>
          <w:szCs w:val="22"/>
        </w:rPr>
      </w:pPr>
      <w:r>
        <w:rPr>
          <w:rFonts w:ascii="Arial" w:hAnsi="Arial" w:cs="Arial"/>
          <w:sz w:val="22"/>
          <w:szCs w:val="22"/>
        </w:rPr>
        <w:t>Palliative care cases</w:t>
      </w:r>
    </w:p>
    <w:p w:rsidR="005421E2" w:rsidRDefault="005421E2" w:rsidP="005421E2">
      <w:pPr>
        <w:pStyle w:val="NormalWeb"/>
        <w:numPr>
          <w:ilvl w:val="0"/>
          <w:numId w:val="25"/>
        </w:numPr>
        <w:spacing w:before="0" w:beforeAutospacing="0" w:after="0" w:afterAutospacing="0"/>
        <w:ind w:left="1440"/>
        <w:rPr>
          <w:rFonts w:ascii="Arial" w:hAnsi="Arial" w:cs="Arial"/>
          <w:sz w:val="22"/>
          <w:szCs w:val="22"/>
        </w:rPr>
      </w:pPr>
      <w:r>
        <w:rPr>
          <w:rFonts w:ascii="Arial" w:hAnsi="Arial" w:cs="Arial"/>
          <w:sz w:val="22"/>
          <w:szCs w:val="22"/>
        </w:rPr>
        <w:t>Cases with more than 6 PPCs</w:t>
      </w:r>
    </w:p>
    <w:p w:rsidR="005421E2" w:rsidRDefault="005421E2" w:rsidP="005421E2">
      <w:pPr>
        <w:pStyle w:val="NormalWeb"/>
        <w:spacing w:before="0" w:beforeAutospacing="0" w:after="0" w:afterAutospacing="0"/>
        <w:ind w:left="720"/>
        <w:rPr>
          <w:rFonts w:ascii="Arial" w:hAnsi="Arial" w:cs="Arial"/>
          <w:sz w:val="22"/>
          <w:szCs w:val="22"/>
        </w:rPr>
      </w:pPr>
    </w:p>
    <w:p w:rsidR="005421E2" w:rsidRDefault="005421E2" w:rsidP="005421E2">
      <w:pPr>
        <w:pStyle w:val="NormalWeb"/>
        <w:spacing w:before="0" w:beforeAutospacing="0" w:after="0" w:afterAutospacing="0"/>
        <w:ind w:left="720"/>
        <w:rPr>
          <w:rFonts w:ascii="Arial" w:hAnsi="Arial" w:cs="Arial"/>
          <w:sz w:val="22"/>
          <w:szCs w:val="22"/>
        </w:rPr>
      </w:pPr>
      <w:r>
        <w:rPr>
          <w:rFonts w:ascii="Arial" w:hAnsi="Arial" w:cs="Arial"/>
          <w:sz w:val="22"/>
          <w:szCs w:val="22"/>
        </w:rPr>
        <w:t>For each hospital, PPCs will be removed if:</w:t>
      </w:r>
    </w:p>
    <w:p w:rsidR="005421E2" w:rsidRDefault="005421E2" w:rsidP="005421E2">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 xml:space="preserve">The number of cases at-risk is less than 10 </w:t>
      </w:r>
    </w:p>
    <w:p w:rsidR="005421E2" w:rsidRDefault="005421E2" w:rsidP="005421E2">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 xml:space="preserve">The expected number is less than 1 expected.  </w:t>
      </w:r>
    </w:p>
    <w:p w:rsidR="005421E2" w:rsidRDefault="005421E2" w:rsidP="005421E2">
      <w:pPr>
        <w:pStyle w:val="NormalWeb"/>
        <w:spacing w:before="0" w:beforeAutospacing="0" w:after="0" w:afterAutospacing="0"/>
        <w:ind w:left="720"/>
        <w:rPr>
          <w:rFonts w:ascii="Arial" w:hAnsi="Arial" w:cs="Arial"/>
          <w:sz w:val="22"/>
          <w:szCs w:val="22"/>
        </w:rPr>
      </w:pPr>
    </w:p>
    <w:p w:rsidR="005421E2" w:rsidRDefault="005421E2" w:rsidP="005421E2">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The list of PPCs excluded for each hospital is provided in the excel sheet with the monthly reports.  The PPC exclusion criteria is only applied to the base period and not the performance period.  This was done so that scores can be reliably calculated during the performance period prior to knowing whether the above exclusions should be applied.  </w:t>
      </w:r>
    </w:p>
    <w:p w:rsidR="001F2853" w:rsidRDefault="001F2853" w:rsidP="004E2F2E">
      <w:pPr>
        <w:pStyle w:val="NormalWeb"/>
        <w:spacing w:before="0" w:beforeAutospacing="0" w:after="0" w:afterAutospacing="0"/>
        <w:ind w:left="720"/>
        <w:rPr>
          <w:rFonts w:ascii="Arial" w:hAnsi="Arial" w:cs="Arial"/>
          <w:sz w:val="22"/>
          <w:szCs w:val="22"/>
        </w:rPr>
      </w:pPr>
    </w:p>
    <w:p w:rsidR="00BA431E" w:rsidRDefault="00BA431E" w:rsidP="001F2853">
      <w:pPr>
        <w:pStyle w:val="NormalWeb"/>
        <w:numPr>
          <w:ilvl w:val="1"/>
          <w:numId w:val="2"/>
        </w:numPr>
        <w:spacing w:before="0" w:beforeAutospacing="0" w:after="0" w:afterAutospacing="0"/>
        <w:rPr>
          <w:rFonts w:ascii="Arial" w:hAnsi="Arial" w:cs="Arial"/>
          <w:b/>
          <w:sz w:val="22"/>
          <w:szCs w:val="22"/>
        </w:rPr>
      </w:pPr>
      <w:r>
        <w:rPr>
          <w:rFonts w:ascii="Arial" w:hAnsi="Arial" w:cs="Arial"/>
          <w:b/>
          <w:sz w:val="22"/>
          <w:szCs w:val="22"/>
        </w:rPr>
        <w:t>Attainment and Improvement Points</w:t>
      </w:r>
    </w:p>
    <w:p w:rsidR="00A653DA" w:rsidRDefault="00DE0613" w:rsidP="00D404E7">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Hospital’s observed/expected ratios are compared to statewide benchmarks and thresholds and converted to points from 0-10. The points for each PPC are </w:t>
      </w:r>
      <w:r w:rsidRPr="00C95780">
        <w:rPr>
          <w:rFonts w:ascii="Arial" w:hAnsi="Arial" w:cs="Arial"/>
          <w:sz w:val="22"/>
          <w:szCs w:val="22"/>
        </w:rPr>
        <w:t xml:space="preserve">based on the higher of </w:t>
      </w:r>
      <w:r>
        <w:rPr>
          <w:rFonts w:ascii="Arial" w:hAnsi="Arial" w:cs="Arial"/>
          <w:sz w:val="22"/>
          <w:szCs w:val="22"/>
        </w:rPr>
        <w:t>attainment points</w:t>
      </w:r>
      <w:r w:rsidRPr="00C95780">
        <w:rPr>
          <w:rFonts w:ascii="Arial" w:hAnsi="Arial" w:cs="Arial"/>
          <w:sz w:val="22"/>
          <w:szCs w:val="22"/>
        </w:rPr>
        <w:t xml:space="preserve"> or </w:t>
      </w:r>
      <w:r>
        <w:rPr>
          <w:rFonts w:ascii="Arial" w:hAnsi="Arial" w:cs="Arial"/>
          <w:sz w:val="22"/>
          <w:szCs w:val="22"/>
        </w:rPr>
        <w:t>improvement points, rounded to the nearest whole number.</w:t>
      </w:r>
    </w:p>
    <w:p w:rsidR="00D404E7" w:rsidRDefault="00D404E7" w:rsidP="00D404E7">
      <w:pPr>
        <w:pStyle w:val="NormalWeb"/>
        <w:spacing w:before="0" w:beforeAutospacing="0" w:after="0" w:afterAutospacing="0"/>
        <w:ind w:left="720"/>
        <w:rPr>
          <w:rFonts w:ascii="Arial" w:hAnsi="Arial" w:cs="Arial"/>
          <w:sz w:val="22"/>
          <w:szCs w:val="22"/>
        </w:rPr>
      </w:pPr>
    </w:p>
    <w:p w:rsidR="00A653DA" w:rsidRDefault="00BA431E" w:rsidP="00D404E7">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Attainment points are given based on the </w:t>
      </w:r>
      <w:r w:rsidRPr="00BA431E">
        <w:rPr>
          <w:rFonts w:ascii="Arial" w:hAnsi="Arial" w:cs="Arial"/>
          <w:sz w:val="22"/>
          <w:szCs w:val="22"/>
        </w:rPr>
        <w:t xml:space="preserve">range between </w:t>
      </w:r>
      <w:r>
        <w:rPr>
          <w:rFonts w:ascii="Arial" w:hAnsi="Arial" w:cs="Arial"/>
          <w:sz w:val="22"/>
          <w:szCs w:val="22"/>
        </w:rPr>
        <w:t xml:space="preserve">the benchmark and threshold.  </w:t>
      </w:r>
      <w:r w:rsidRPr="00BA431E">
        <w:rPr>
          <w:rFonts w:ascii="Arial" w:hAnsi="Arial" w:cs="Arial"/>
          <w:sz w:val="22"/>
          <w:szCs w:val="22"/>
        </w:rPr>
        <w:t xml:space="preserve">Hospitals whose </w:t>
      </w:r>
      <w:r w:rsidR="00DE0613">
        <w:rPr>
          <w:rFonts w:ascii="Arial" w:hAnsi="Arial" w:cs="Arial"/>
          <w:sz w:val="22"/>
          <w:szCs w:val="22"/>
        </w:rPr>
        <w:t xml:space="preserve">performance year </w:t>
      </w:r>
      <w:r w:rsidRPr="00BA431E">
        <w:rPr>
          <w:rFonts w:ascii="Arial" w:hAnsi="Arial" w:cs="Arial"/>
          <w:sz w:val="22"/>
          <w:szCs w:val="22"/>
        </w:rPr>
        <w:t xml:space="preserve">rates are equal to or above the benchmark receive 10 full </w:t>
      </w:r>
      <w:r>
        <w:rPr>
          <w:rFonts w:ascii="Arial" w:hAnsi="Arial" w:cs="Arial"/>
          <w:sz w:val="22"/>
          <w:szCs w:val="22"/>
        </w:rPr>
        <w:t>a</w:t>
      </w:r>
      <w:r w:rsidRPr="00BA431E">
        <w:rPr>
          <w:rFonts w:ascii="Arial" w:hAnsi="Arial" w:cs="Arial"/>
          <w:sz w:val="22"/>
          <w:szCs w:val="22"/>
        </w:rPr>
        <w:t>ttainment points</w:t>
      </w:r>
      <w:r w:rsidR="00DE0613">
        <w:rPr>
          <w:rFonts w:ascii="Arial" w:hAnsi="Arial" w:cs="Arial"/>
          <w:sz w:val="22"/>
          <w:szCs w:val="22"/>
        </w:rPr>
        <w:t xml:space="preserve"> and hospitals whose rates are below the threshold receive 0 attainment points</w:t>
      </w:r>
      <w:r w:rsidR="0029573B">
        <w:rPr>
          <w:rFonts w:ascii="Arial" w:hAnsi="Arial" w:cs="Arial"/>
          <w:sz w:val="22"/>
          <w:szCs w:val="22"/>
        </w:rPr>
        <w:t xml:space="preserve">. </w:t>
      </w:r>
      <w:r w:rsidRPr="00BA431E">
        <w:rPr>
          <w:rFonts w:ascii="Arial" w:hAnsi="Arial" w:cs="Arial"/>
          <w:sz w:val="22"/>
          <w:szCs w:val="22"/>
        </w:rPr>
        <w:t xml:space="preserve"> Improvement points are earned based on a scale between the hospital’s </w:t>
      </w:r>
      <w:r>
        <w:rPr>
          <w:rFonts w:ascii="Arial" w:hAnsi="Arial" w:cs="Arial"/>
          <w:sz w:val="22"/>
          <w:szCs w:val="22"/>
        </w:rPr>
        <w:t>base period</w:t>
      </w:r>
      <w:r w:rsidRPr="00BA431E">
        <w:rPr>
          <w:rFonts w:ascii="Arial" w:hAnsi="Arial" w:cs="Arial"/>
          <w:sz w:val="22"/>
          <w:szCs w:val="22"/>
        </w:rPr>
        <w:t xml:space="preserve"> on a particular </w:t>
      </w:r>
      <w:r>
        <w:rPr>
          <w:rFonts w:ascii="Arial" w:hAnsi="Arial" w:cs="Arial"/>
          <w:sz w:val="22"/>
          <w:szCs w:val="22"/>
        </w:rPr>
        <w:t>PPC</w:t>
      </w:r>
      <w:r w:rsidRPr="00BA431E">
        <w:rPr>
          <w:rFonts w:ascii="Arial" w:hAnsi="Arial" w:cs="Arial"/>
          <w:sz w:val="22"/>
          <w:szCs w:val="22"/>
        </w:rPr>
        <w:t xml:space="preserve"> and the </w:t>
      </w:r>
      <w:r>
        <w:rPr>
          <w:rFonts w:ascii="Arial" w:hAnsi="Arial" w:cs="Arial"/>
          <w:sz w:val="22"/>
          <w:szCs w:val="22"/>
        </w:rPr>
        <w:t>b</w:t>
      </w:r>
      <w:r w:rsidRPr="00BA431E">
        <w:rPr>
          <w:rFonts w:ascii="Arial" w:hAnsi="Arial" w:cs="Arial"/>
          <w:sz w:val="22"/>
          <w:szCs w:val="22"/>
        </w:rPr>
        <w:t>enchmark</w:t>
      </w:r>
      <w:r>
        <w:rPr>
          <w:rFonts w:ascii="Arial" w:hAnsi="Arial" w:cs="Arial"/>
          <w:sz w:val="22"/>
          <w:szCs w:val="22"/>
        </w:rPr>
        <w:t>,</w:t>
      </w:r>
      <w:r w:rsidRPr="00BA431E">
        <w:rPr>
          <w:rFonts w:ascii="Arial" w:hAnsi="Arial" w:cs="Arial"/>
          <w:sz w:val="22"/>
          <w:szCs w:val="22"/>
        </w:rPr>
        <w:t xml:space="preserve"> and range from 0 to 9. </w:t>
      </w:r>
    </w:p>
    <w:p w:rsidR="00A653DA" w:rsidRDefault="00A653DA" w:rsidP="00D404E7">
      <w:pPr>
        <w:pStyle w:val="NormalWeb"/>
        <w:spacing w:before="0" w:beforeAutospacing="0" w:after="0" w:afterAutospacing="0"/>
        <w:ind w:left="720"/>
        <w:rPr>
          <w:rFonts w:ascii="Arial" w:hAnsi="Arial" w:cs="Arial"/>
          <w:sz w:val="22"/>
          <w:szCs w:val="22"/>
        </w:rPr>
      </w:pPr>
    </w:p>
    <w:p w:rsidR="00BA431E" w:rsidRDefault="00BA431E" w:rsidP="00D404E7">
      <w:pPr>
        <w:pStyle w:val="NormalWeb"/>
        <w:spacing w:before="0" w:beforeAutospacing="0" w:after="0" w:afterAutospacing="0"/>
        <w:ind w:left="720"/>
        <w:rPr>
          <w:rFonts w:ascii="Arial" w:hAnsi="Arial" w:cs="Arial"/>
          <w:sz w:val="22"/>
          <w:szCs w:val="22"/>
        </w:rPr>
      </w:pPr>
      <w:r>
        <w:rPr>
          <w:rFonts w:ascii="Arial" w:hAnsi="Arial" w:cs="Arial"/>
          <w:sz w:val="22"/>
          <w:szCs w:val="22"/>
        </w:rPr>
        <w:t>See Appendix B for the formulas to calculate attainment and improvement points.</w:t>
      </w:r>
    </w:p>
    <w:p w:rsidR="00DE0613" w:rsidRDefault="00DE0613" w:rsidP="00BA431E">
      <w:pPr>
        <w:pStyle w:val="NormalWeb"/>
        <w:spacing w:before="0" w:beforeAutospacing="0" w:after="0" w:afterAutospacing="0"/>
        <w:ind w:left="720"/>
        <w:rPr>
          <w:rFonts w:ascii="Arial" w:hAnsi="Arial" w:cs="Arial"/>
          <w:sz w:val="22"/>
          <w:szCs w:val="22"/>
        </w:rPr>
      </w:pPr>
    </w:p>
    <w:p w:rsidR="00DE0613" w:rsidRDefault="00DE0613" w:rsidP="00DE0613">
      <w:pPr>
        <w:pStyle w:val="NormalWeb"/>
        <w:numPr>
          <w:ilvl w:val="1"/>
          <w:numId w:val="2"/>
        </w:numPr>
        <w:spacing w:before="0" w:beforeAutospacing="0" w:after="0" w:afterAutospacing="0"/>
        <w:rPr>
          <w:rFonts w:ascii="Arial" w:hAnsi="Arial" w:cs="Arial"/>
          <w:sz w:val="22"/>
          <w:szCs w:val="22"/>
        </w:rPr>
      </w:pPr>
      <w:r w:rsidRPr="00A9657F">
        <w:rPr>
          <w:rFonts w:ascii="Arial" w:hAnsi="Arial" w:cs="Arial"/>
          <w:b/>
          <w:sz w:val="22"/>
          <w:szCs w:val="22"/>
        </w:rPr>
        <w:t>Be</w:t>
      </w:r>
      <w:r w:rsidRPr="004E2F2E">
        <w:rPr>
          <w:rFonts w:ascii="Arial" w:hAnsi="Arial" w:cs="Arial"/>
          <w:b/>
          <w:sz w:val="22"/>
          <w:szCs w:val="22"/>
        </w:rPr>
        <w:t>nchmarks and Thresholds</w:t>
      </w:r>
      <w:r w:rsidRPr="004E2F2E">
        <w:rPr>
          <w:rFonts w:ascii="Arial" w:hAnsi="Arial" w:cs="Arial"/>
          <w:sz w:val="22"/>
          <w:szCs w:val="22"/>
        </w:rPr>
        <w:t xml:space="preserve"> </w:t>
      </w: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For each PPC a threshold and benchmark value is calculated based upon the base period data.  For serious reportable events, the threshold and benchmark are 0.  For all other PPCs, the</w:t>
      </w:r>
      <w:r w:rsidRPr="004C40A5">
        <w:rPr>
          <w:rFonts w:ascii="Arial" w:hAnsi="Arial" w:cs="Arial"/>
          <w:sz w:val="22"/>
          <w:szCs w:val="22"/>
        </w:rPr>
        <w:t xml:space="preserve"> threshold value </w:t>
      </w:r>
      <w:r>
        <w:rPr>
          <w:rFonts w:ascii="Arial" w:hAnsi="Arial" w:cs="Arial"/>
          <w:sz w:val="22"/>
          <w:szCs w:val="22"/>
        </w:rPr>
        <w:t>is</w:t>
      </w:r>
      <w:r w:rsidRPr="004C40A5">
        <w:rPr>
          <w:rFonts w:ascii="Arial" w:hAnsi="Arial" w:cs="Arial"/>
          <w:sz w:val="22"/>
          <w:szCs w:val="22"/>
        </w:rPr>
        <w:t xml:space="preserve"> the weighted mean of all O/E ratios (O/E =1</w:t>
      </w:r>
      <w:r>
        <w:rPr>
          <w:rFonts w:ascii="Arial" w:hAnsi="Arial" w:cs="Arial"/>
          <w:sz w:val="22"/>
          <w:szCs w:val="22"/>
        </w:rPr>
        <w:t>) and the benchmark is</w:t>
      </w:r>
      <w:r w:rsidRPr="004C40A5">
        <w:rPr>
          <w:rFonts w:ascii="Arial" w:hAnsi="Arial" w:cs="Arial"/>
          <w:sz w:val="22"/>
          <w:szCs w:val="22"/>
        </w:rPr>
        <w:t xml:space="preserve"> the weighted mean of </w:t>
      </w:r>
      <w:r>
        <w:rPr>
          <w:rFonts w:ascii="Arial" w:hAnsi="Arial" w:cs="Arial"/>
          <w:sz w:val="22"/>
          <w:szCs w:val="22"/>
        </w:rPr>
        <w:t xml:space="preserve">the </w:t>
      </w:r>
      <w:r w:rsidRPr="004C40A5">
        <w:rPr>
          <w:rFonts w:ascii="Arial" w:hAnsi="Arial" w:cs="Arial"/>
          <w:sz w:val="22"/>
          <w:szCs w:val="22"/>
        </w:rPr>
        <w:t xml:space="preserve">top quartile O/E ratio. </w:t>
      </w:r>
    </w:p>
    <w:p w:rsidR="00DE0613" w:rsidRDefault="00DE0613" w:rsidP="00DE0613">
      <w:pPr>
        <w:pStyle w:val="NormalWeb"/>
        <w:spacing w:before="0" w:beforeAutospacing="0" w:after="0" w:afterAutospacing="0"/>
        <w:ind w:left="720"/>
        <w:rPr>
          <w:rFonts w:ascii="Arial" w:hAnsi="Arial" w:cs="Arial"/>
          <w:sz w:val="22"/>
          <w:szCs w:val="22"/>
        </w:rPr>
      </w:pPr>
    </w:p>
    <w:p w:rsidR="00DE0613" w:rsidRDefault="00DE0613" w:rsidP="00DE0613">
      <w:pPr>
        <w:pStyle w:val="NormalWeb"/>
        <w:spacing w:before="0" w:beforeAutospacing="0" w:after="0" w:afterAutospacing="0"/>
        <w:ind w:left="720"/>
        <w:rPr>
          <w:rFonts w:ascii="Arial" w:hAnsi="Arial" w:cs="Arial"/>
          <w:sz w:val="22"/>
          <w:szCs w:val="22"/>
        </w:rPr>
      </w:pPr>
      <w:r w:rsidRPr="004C40A5">
        <w:rPr>
          <w:rFonts w:ascii="Arial" w:hAnsi="Arial" w:cs="Arial"/>
          <w:sz w:val="22"/>
          <w:szCs w:val="22"/>
        </w:rPr>
        <w:t>The serious reportable event</w:t>
      </w:r>
      <w:r w:rsidR="0029573B">
        <w:rPr>
          <w:rFonts w:ascii="Arial" w:hAnsi="Arial" w:cs="Arial"/>
          <w:sz w:val="22"/>
          <w:szCs w:val="22"/>
        </w:rPr>
        <w:t xml:space="preserve"> PPCs</w:t>
      </w:r>
      <w:r w:rsidRPr="004C40A5">
        <w:rPr>
          <w:rFonts w:ascii="Arial" w:hAnsi="Arial" w:cs="Arial"/>
          <w:sz w:val="22"/>
          <w:szCs w:val="22"/>
        </w:rPr>
        <w:t xml:space="preserve"> for </w:t>
      </w:r>
      <w:r>
        <w:rPr>
          <w:rFonts w:ascii="Arial" w:hAnsi="Arial" w:cs="Arial"/>
          <w:sz w:val="22"/>
          <w:szCs w:val="22"/>
        </w:rPr>
        <w:t xml:space="preserve">the base and </w:t>
      </w:r>
      <w:r w:rsidRPr="00314397">
        <w:rPr>
          <w:rFonts w:ascii="Arial" w:hAnsi="Arial" w:cs="Arial"/>
          <w:sz w:val="22"/>
          <w:szCs w:val="22"/>
        </w:rPr>
        <w:t xml:space="preserve">performance period </w:t>
      </w:r>
      <w:r w:rsidRPr="004C40A5">
        <w:rPr>
          <w:rFonts w:ascii="Arial" w:hAnsi="Arial" w:cs="Arial"/>
          <w:sz w:val="22"/>
          <w:szCs w:val="22"/>
        </w:rPr>
        <w:t>are</w:t>
      </w:r>
      <w:r w:rsidR="0029573B">
        <w:rPr>
          <w:rFonts w:ascii="Arial" w:hAnsi="Arial" w:cs="Arial"/>
          <w:sz w:val="22"/>
          <w:szCs w:val="22"/>
        </w:rPr>
        <w:t xml:space="preserve"> the following:</w:t>
      </w:r>
      <w:r w:rsidRPr="004C40A5">
        <w:rPr>
          <w:rFonts w:ascii="Arial" w:hAnsi="Arial" w:cs="Arial"/>
          <w:sz w:val="22"/>
          <w:szCs w:val="22"/>
        </w:rPr>
        <w:t xml:space="preserve"> PPC 30, 31, 32, 45, and 46</w:t>
      </w:r>
      <w:r>
        <w:rPr>
          <w:rFonts w:ascii="Arial" w:hAnsi="Arial" w:cs="Arial"/>
          <w:sz w:val="22"/>
          <w:szCs w:val="22"/>
        </w:rPr>
        <w:t>.</w:t>
      </w:r>
    </w:p>
    <w:p w:rsidR="00DE0613" w:rsidRDefault="00DE0613" w:rsidP="00DE0613">
      <w:pPr>
        <w:pStyle w:val="NormalWeb"/>
        <w:spacing w:before="0" w:beforeAutospacing="0" w:after="0" w:afterAutospacing="0"/>
        <w:ind w:left="720"/>
        <w:rPr>
          <w:rFonts w:ascii="Arial" w:hAnsi="Arial" w:cs="Arial"/>
          <w:sz w:val="22"/>
          <w:szCs w:val="22"/>
        </w:rPr>
      </w:pPr>
    </w:p>
    <w:p w:rsidR="00DE0613" w:rsidRDefault="00DE0613" w:rsidP="00DE0613">
      <w:pPr>
        <w:pStyle w:val="NormalWeb"/>
        <w:spacing w:before="0" w:beforeAutospacing="0" w:after="0" w:afterAutospacing="0"/>
        <w:ind w:left="720"/>
        <w:rPr>
          <w:rFonts w:ascii="Arial" w:hAnsi="Arial" w:cs="Arial"/>
          <w:sz w:val="22"/>
          <w:szCs w:val="22"/>
        </w:rPr>
      </w:pPr>
      <w:r w:rsidRPr="00314397">
        <w:rPr>
          <w:rFonts w:ascii="Arial" w:hAnsi="Arial" w:cs="Arial"/>
          <w:sz w:val="22"/>
          <w:szCs w:val="22"/>
        </w:rPr>
        <w:t xml:space="preserve">See </w:t>
      </w:r>
      <w:r>
        <w:rPr>
          <w:rFonts w:ascii="Arial" w:hAnsi="Arial" w:cs="Arial"/>
          <w:sz w:val="22"/>
          <w:szCs w:val="22"/>
        </w:rPr>
        <w:t>Appendix</w:t>
      </w:r>
      <w:r w:rsidRPr="00314397">
        <w:rPr>
          <w:rFonts w:ascii="Arial" w:hAnsi="Arial" w:cs="Arial"/>
          <w:sz w:val="22"/>
          <w:szCs w:val="22"/>
        </w:rPr>
        <w:t xml:space="preserve"> </w:t>
      </w:r>
      <w:r>
        <w:rPr>
          <w:rFonts w:ascii="Arial" w:hAnsi="Arial" w:cs="Arial"/>
          <w:sz w:val="22"/>
          <w:szCs w:val="22"/>
        </w:rPr>
        <w:t>C</w:t>
      </w:r>
      <w:r w:rsidRPr="00314397">
        <w:rPr>
          <w:rFonts w:ascii="Arial" w:hAnsi="Arial" w:cs="Arial"/>
          <w:sz w:val="22"/>
          <w:szCs w:val="22"/>
        </w:rPr>
        <w:t xml:space="preserve"> for the thresholds and benchmarks based upon CY2013 data, which will be used to assess CY2014 performance and assign </w:t>
      </w:r>
      <w:r>
        <w:rPr>
          <w:rFonts w:ascii="Arial" w:hAnsi="Arial" w:cs="Arial"/>
          <w:sz w:val="22"/>
          <w:szCs w:val="22"/>
        </w:rPr>
        <w:t xml:space="preserve">improvement and attainment </w:t>
      </w:r>
      <w:r w:rsidRPr="00314397">
        <w:rPr>
          <w:rFonts w:ascii="Arial" w:hAnsi="Arial" w:cs="Arial"/>
          <w:sz w:val="22"/>
          <w:szCs w:val="22"/>
        </w:rPr>
        <w:t>points.</w:t>
      </w:r>
    </w:p>
    <w:p w:rsidR="005C6C0B" w:rsidRPr="00BA431E" w:rsidRDefault="005C6C0B" w:rsidP="00BA431E">
      <w:pPr>
        <w:pStyle w:val="NormalWeb"/>
        <w:spacing w:before="0" w:beforeAutospacing="0" w:after="0" w:afterAutospacing="0"/>
        <w:ind w:left="720"/>
        <w:rPr>
          <w:rFonts w:ascii="Arial" w:hAnsi="Arial" w:cs="Arial"/>
          <w:sz w:val="22"/>
          <w:szCs w:val="22"/>
        </w:rPr>
      </w:pPr>
    </w:p>
    <w:p w:rsidR="00E01B52" w:rsidRPr="00D404E7" w:rsidRDefault="00C95780" w:rsidP="00D404E7">
      <w:pPr>
        <w:pStyle w:val="NormalWeb"/>
        <w:numPr>
          <w:ilvl w:val="1"/>
          <w:numId w:val="2"/>
        </w:numPr>
        <w:spacing w:before="0" w:beforeAutospacing="0" w:after="0" w:afterAutospacing="0"/>
        <w:rPr>
          <w:rFonts w:ascii="Arial" w:hAnsi="Arial" w:cs="Arial"/>
          <w:b/>
          <w:sz w:val="22"/>
          <w:szCs w:val="22"/>
        </w:rPr>
      </w:pPr>
      <w:r w:rsidRPr="00E35A3B">
        <w:rPr>
          <w:rFonts w:ascii="Arial" w:hAnsi="Arial" w:cs="Arial"/>
          <w:b/>
          <w:sz w:val="22"/>
          <w:szCs w:val="22"/>
        </w:rPr>
        <w:t xml:space="preserve">Calculation of Hospital </w:t>
      </w:r>
      <w:r w:rsidR="00DE0613">
        <w:rPr>
          <w:rFonts w:ascii="Arial" w:hAnsi="Arial" w:cs="Arial"/>
          <w:b/>
          <w:sz w:val="22"/>
          <w:szCs w:val="22"/>
        </w:rPr>
        <w:t xml:space="preserve">Overall </w:t>
      </w:r>
      <w:r w:rsidRPr="00E35A3B">
        <w:rPr>
          <w:rFonts w:ascii="Arial" w:hAnsi="Arial" w:cs="Arial"/>
          <w:b/>
          <w:sz w:val="22"/>
          <w:szCs w:val="22"/>
        </w:rPr>
        <w:t>MHAC Score</w:t>
      </w:r>
    </w:p>
    <w:p w:rsidR="00E01B52" w:rsidRPr="00984384" w:rsidRDefault="00C95780" w:rsidP="00E01B52">
      <w:pPr>
        <w:pStyle w:val="NormalWeb"/>
        <w:spacing w:before="0" w:beforeAutospacing="0" w:after="0" w:afterAutospacing="0"/>
        <w:ind w:left="720"/>
        <w:rPr>
          <w:rFonts w:ascii="Arial" w:hAnsi="Arial" w:cs="Arial"/>
          <w:sz w:val="22"/>
          <w:szCs w:val="22"/>
        </w:rPr>
      </w:pPr>
      <w:r w:rsidRPr="00984384">
        <w:rPr>
          <w:rFonts w:ascii="Arial" w:hAnsi="Arial" w:cs="Arial"/>
          <w:sz w:val="22"/>
          <w:szCs w:val="22"/>
        </w:rPr>
        <w:t xml:space="preserve">To calculate the </w:t>
      </w:r>
      <w:r w:rsidR="00E01B52" w:rsidRPr="00984384">
        <w:rPr>
          <w:rFonts w:ascii="Arial" w:hAnsi="Arial" w:cs="Arial"/>
          <w:sz w:val="22"/>
          <w:szCs w:val="22"/>
        </w:rPr>
        <w:t>final</w:t>
      </w:r>
      <w:r w:rsidRPr="00984384">
        <w:rPr>
          <w:rFonts w:ascii="Arial" w:hAnsi="Arial" w:cs="Arial"/>
          <w:sz w:val="22"/>
          <w:szCs w:val="22"/>
        </w:rPr>
        <w:t xml:space="preserve"> score for each hospital, the </w:t>
      </w:r>
      <w:r w:rsidR="00DE0613" w:rsidRPr="00984384">
        <w:rPr>
          <w:rFonts w:ascii="Arial" w:hAnsi="Arial" w:cs="Arial"/>
          <w:sz w:val="22"/>
          <w:szCs w:val="22"/>
        </w:rPr>
        <w:t xml:space="preserve">final </w:t>
      </w:r>
      <w:r w:rsidRPr="00984384">
        <w:rPr>
          <w:rFonts w:ascii="Arial" w:hAnsi="Arial" w:cs="Arial"/>
          <w:sz w:val="22"/>
          <w:szCs w:val="22"/>
        </w:rPr>
        <w:t>points</w:t>
      </w:r>
      <w:r w:rsidR="00DE0613" w:rsidRPr="00984384">
        <w:rPr>
          <w:rFonts w:ascii="Arial" w:hAnsi="Arial" w:cs="Arial"/>
          <w:sz w:val="22"/>
          <w:szCs w:val="22"/>
        </w:rPr>
        <w:t xml:space="preserve"> (better of attainment or improvement)</w:t>
      </w:r>
      <w:r w:rsidRPr="00984384">
        <w:rPr>
          <w:rFonts w:ascii="Arial" w:hAnsi="Arial" w:cs="Arial"/>
          <w:sz w:val="22"/>
          <w:szCs w:val="22"/>
        </w:rPr>
        <w:t xml:space="preserve"> for each PPC</w:t>
      </w:r>
      <w:r w:rsidR="003742E7" w:rsidRPr="00984384">
        <w:rPr>
          <w:rFonts w:ascii="Arial" w:hAnsi="Arial" w:cs="Arial"/>
          <w:sz w:val="22"/>
          <w:szCs w:val="22"/>
        </w:rPr>
        <w:t xml:space="preserve"> in a tier</w:t>
      </w:r>
      <w:r w:rsidRPr="00984384">
        <w:rPr>
          <w:rFonts w:ascii="Arial" w:hAnsi="Arial" w:cs="Arial"/>
          <w:sz w:val="22"/>
          <w:szCs w:val="22"/>
        </w:rPr>
        <w:t xml:space="preserve"> are added up and divided by the total possible points</w:t>
      </w:r>
      <w:r w:rsidR="003742E7" w:rsidRPr="00984384">
        <w:rPr>
          <w:rFonts w:ascii="Arial" w:hAnsi="Arial" w:cs="Arial"/>
          <w:sz w:val="22"/>
          <w:szCs w:val="22"/>
        </w:rPr>
        <w:t xml:space="preserve"> in that tier</w:t>
      </w:r>
      <w:r w:rsidR="00626720" w:rsidRPr="00984384">
        <w:rPr>
          <w:rFonts w:ascii="Arial" w:hAnsi="Arial" w:cs="Arial"/>
          <w:sz w:val="22"/>
          <w:szCs w:val="22"/>
        </w:rPr>
        <w:t xml:space="preserve"> to calculate a percent score for each tier</w:t>
      </w:r>
      <w:r w:rsidR="003742E7" w:rsidRPr="00984384">
        <w:rPr>
          <w:rFonts w:ascii="Arial" w:hAnsi="Arial" w:cs="Arial"/>
          <w:sz w:val="22"/>
          <w:szCs w:val="22"/>
        </w:rPr>
        <w:t xml:space="preserve">.  The PPCs are grouped in tiers so </w:t>
      </w:r>
      <w:r w:rsidR="00E0319C" w:rsidRPr="00984384">
        <w:rPr>
          <w:rFonts w:ascii="Arial" w:hAnsi="Arial" w:cs="Arial"/>
          <w:sz w:val="22"/>
          <w:szCs w:val="22"/>
        </w:rPr>
        <w:t xml:space="preserve">that PPCs that are </w:t>
      </w:r>
      <w:r w:rsidR="00E01B52" w:rsidRPr="00984384">
        <w:rPr>
          <w:rFonts w:ascii="Arial" w:hAnsi="Arial" w:cs="Arial"/>
          <w:sz w:val="22"/>
          <w:szCs w:val="22"/>
        </w:rPr>
        <w:t>high cost, high volume, have opportunity to improve, and are of national priority can be weighted more heavily</w:t>
      </w:r>
      <w:r w:rsidR="007B792B" w:rsidRPr="00984384">
        <w:rPr>
          <w:rFonts w:ascii="Arial" w:hAnsi="Arial" w:cs="Arial"/>
          <w:sz w:val="22"/>
          <w:szCs w:val="22"/>
        </w:rPr>
        <w:t xml:space="preserve"> (Table 2)</w:t>
      </w:r>
      <w:r w:rsidR="00E01B52" w:rsidRPr="00984384">
        <w:rPr>
          <w:rFonts w:ascii="Arial" w:hAnsi="Arial" w:cs="Arial"/>
          <w:sz w:val="22"/>
          <w:szCs w:val="22"/>
        </w:rPr>
        <w:t xml:space="preserve">.  The total possible points for each PPC is 10, and hospitals </w:t>
      </w:r>
      <w:r w:rsidR="005421E2">
        <w:rPr>
          <w:rFonts w:ascii="Arial" w:hAnsi="Arial" w:cs="Arial"/>
          <w:sz w:val="22"/>
          <w:szCs w:val="22"/>
        </w:rPr>
        <w:t>may</w:t>
      </w:r>
      <w:r w:rsidR="00E01B52" w:rsidRPr="00984384">
        <w:rPr>
          <w:rFonts w:ascii="Arial" w:hAnsi="Arial" w:cs="Arial"/>
          <w:sz w:val="22"/>
          <w:szCs w:val="22"/>
        </w:rPr>
        <w:t xml:space="preserve"> have </w:t>
      </w:r>
      <w:r w:rsidR="007B792B" w:rsidRPr="00984384">
        <w:rPr>
          <w:rFonts w:ascii="Arial" w:hAnsi="Arial" w:cs="Arial"/>
          <w:sz w:val="22"/>
          <w:szCs w:val="22"/>
        </w:rPr>
        <w:t>different total possible points</w:t>
      </w:r>
      <w:r w:rsidR="00E0319C" w:rsidRPr="00984384">
        <w:rPr>
          <w:rFonts w:ascii="Arial" w:hAnsi="Arial" w:cs="Arial"/>
          <w:sz w:val="22"/>
          <w:szCs w:val="22"/>
        </w:rPr>
        <w:t xml:space="preserve"> </w:t>
      </w:r>
      <w:r w:rsidR="00BF78E9">
        <w:rPr>
          <w:rFonts w:ascii="Arial" w:hAnsi="Arial" w:cs="Arial"/>
          <w:sz w:val="22"/>
          <w:szCs w:val="22"/>
        </w:rPr>
        <w:t xml:space="preserve">depending upon which PPCs, </w:t>
      </w:r>
      <w:r w:rsidR="005421E2">
        <w:rPr>
          <w:rFonts w:ascii="Arial" w:hAnsi="Arial" w:cs="Arial"/>
          <w:sz w:val="22"/>
          <w:szCs w:val="22"/>
        </w:rPr>
        <w:t xml:space="preserve"> if any</w:t>
      </w:r>
      <w:r w:rsidR="00BF78E9">
        <w:rPr>
          <w:rFonts w:ascii="Arial" w:hAnsi="Arial" w:cs="Arial"/>
          <w:sz w:val="22"/>
          <w:szCs w:val="22"/>
        </w:rPr>
        <w:t xml:space="preserve">, </w:t>
      </w:r>
      <w:r w:rsidR="007B792B" w:rsidRPr="00984384">
        <w:rPr>
          <w:rFonts w:ascii="Arial" w:hAnsi="Arial" w:cs="Arial"/>
          <w:sz w:val="22"/>
          <w:szCs w:val="22"/>
        </w:rPr>
        <w:t xml:space="preserve"> </w:t>
      </w:r>
      <w:r w:rsidR="00BF78E9">
        <w:rPr>
          <w:rFonts w:ascii="Arial" w:hAnsi="Arial" w:cs="Arial"/>
          <w:sz w:val="22"/>
          <w:szCs w:val="22"/>
        </w:rPr>
        <w:t>are</w:t>
      </w:r>
      <w:r w:rsidR="005421E2">
        <w:rPr>
          <w:rFonts w:ascii="Arial" w:hAnsi="Arial" w:cs="Arial"/>
          <w:sz w:val="22"/>
          <w:szCs w:val="22"/>
        </w:rPr>
        <w:t xml:space="preserve"> exc</w:t>
      </w:r>
      <w:r w:rsidR="00660DD8">
        <w:rPr>
          <w:rFonts w:ascii="Arial" w:hAnsi="Arial" w:cs="Arial"/>
          <w:sz w:val="22"/>
          <w:szCs w:val="22"/>
        </w:rPr>
        <w:t>l</w:t>
      </w:r>
      <w:r w:rsidR="005421E2">
        <w:rPr>
          <w:rFonts w:ascii="Arial" w:hAnsi="Arial" w:cs="Arial"/>
          <w:sz w:val="22"/>
          <w:szCs w:val="22"/>
        </w:rPr>
        <w:t>uded</w:t>
      </w:r>
      <w:r w:rsidR="007B792B" w:rsidRPr="00984384">
        <w:rPr>
          <w:rFonts w:ascii="Arial" w:hAnsi="Arial" w:cs="Arial"/>
          <w:sz w:val="22"/>
          <w:szCs w:val="22"/>
        </w:rPr>
        <w:t xml:space="preserve"> for th</w:t>
      </w:r>
      <w:r w:rsidR="00660DD8">
        <w:rPr>
          <w:rFonts w:ascii="Arial" w:hAnsi="Arial" w:cs="Arial"/>
          <w:sz w:val="22"/>
          <w:szCs w:val="22"/>
        </w:rPr>
        <w:t>at</w:t>
      </w:r>
      <w:r w:rsidR="005421E2">
        <w:rPr>
          <w:rFonts w:ascii="Arial" w:hAnsi="Arial" w:cs="Arial"/>
          <w:sz w:val="22"/>
          <w:szCs w:val="22"/>
        </w:rPr>
        <w:t xml:space="preserve"> hospital</w:t>
      </w:r>
      <w:r w:rsidR="00BF78E9">
        <w:rPr>
          <w:rFonts w:ascii="Arial" w:hAnsi="Arial" w:cs="Arial"/>
          <w:sz w:val="22"/>
          <w:szCs w:val="22"/>
        </w:rPr>
        <w:t xml:space="preserve"> (see exclusion criteria in section b above)</w:t>
      </w:r>
      <w:r w:rsidR="007B792B" w:rsidRPr="00984384">
        <w:rPr>
          <w:rFonts w:ascii="Arial" w:hAnsi="Arial" w:cs="Arial"/>
          <w:sz w:val="22"/>
          <w:szCs w:val="22"/>
        </w:rPr>
        <w:t>.</w:t>
      </w:r>
      <w:r w:rsidR="003742E7" w:rsidRPr="00984384">
        <w:rPr>
          <w:rFonts w:ascii="Arial" w:hAnsi="Arial" w:cs="Arial"/>
          <w:sz w:val="22"/>
          <w:szCs w:val="22"/>
        </w:rPr>
        <w:t xml:space="preserve">  A list of excluded P</w:t>
      </w:r>
      <w:r w:rsidR="00626720" w:rsidRPr="00984384">
        <w:rPr>
          <w:rFonts w:ascii="Arial" w:hAnsi="Arial" w:cs="Arial"/>
          <w:sz w:val="22"/>
          <w:szCs w:val="22"/>
        </w:rPr>
        <w:t>PCs by hospital will be provided with the monthly and quarterly PPC results.</w:t>
      </w:r>
    </w:p>
    <w:p w:rsidR="00E01B52" w:rsidRPr="00984384" w:rsidRDefault="00E01B52" w:rsidP="00E01B52">
      <w:pPr>
        <w:pStyle w:val="NormalWeb"/>
        <w:spacing w:before="0" w:beforeAutospacing="0" w:after="0" w:afterAutospacing="0"/>
        <w:ind w:left="720"/>
        <w:rPr>
          <w:rFonts w:ascii="Arial" w:hAnsi="Arial" w:cs="Arial"/>
          <w:sz w:val="22"/>
          <w:szCs w:val="22"/>
        </w:rPr>
      </w:pPr>
    </w:p>
    <w:p w:rsidR="00C95780" w:rsidRPr="00984384" w:rsidRDefault="00C95780" w:rsidP="00E01B52">
      <w:pPr>
        <w:pStyle w:val="NormalWeb"/>
        <w:spacing w:before="0" w:beforeAutospacing="0" w:after="0" w:afterAutospacing="0"/>
        <w:ind w:left="720"/>
        <w:rPr>
          <w:rFonts w:ascii="Arial" w:hAnsi="Arial" w:cs="Arial"/>
          <w:sz w:val="22"/>
          <w:szCs w:val="22"/>
        </w:rPr>
      </w:pPr>
      <w:r w:rsidRPr="00984384">
        <w:rPr>
          <w:rFonts w:ascii="Arial" w:hAnsi="Arial" w:cs="Arial"/>
          <w:sz w:val="22"/>
          <w:szCs w:val="22"/>
        </w:rPr>
        <w:t>The final score is then calculated using the following formula:</w:t>
      </w:r>
    </w:p>
    <w:p w:rsidR="00D83BB3" w:rsidRPr="00984384" w:rsidRDefault="00D83BB3" w:rsidP="00D83BB3">
      <w:pPr>
        <w:pStyle w:val="NormalWeb"/>
        <w:spacing w:before="0" w:beforeAutospacing="0" w:after="0" w:afterAutospacing="0"/>
        <w:ind w:left="1080"/>
        <w:rPr>
          <w:rFonts w:ascii="Arial" w:hAnsi="Arial" w:cs="Arial"/>
          <w:sz w:val="22"/>
          <w:szCs w:val="22"/>
        </w:rPr>
      </w:pPr>
    </w:p>
    <w:p w:rsidR="00D048B8" w:rsidRPr="00984384" w:rsidRDefault="00C95780" w:rsidP="00D048B8">
      <w:pPr>
        <w:pStyle w:val="NormalWeb"/>
        <w:spacing w:before="0" w:beforeAutospacing="0" w:after="0" w:afterAutospacing="0"/>
        <w:ind w:left="1080"/>
        <w:rPr>
          <w:rFonts w:ascii="Arial" w:hAnsi="Arial" w:cs="Arial"/>
          <w:sz w:val="22"/>
          <w:szCs w:val="22"/>
        </w:rPr>
      </w:pPr>
      <w:r w:rsidRPr="00984384">
        <w:rPr>
          <w:rFonts w:ascii="Arial" w:hAnsi="Arial" w:cs="Arial"/>
          <w:sz w:val="22"/>
          <w:szCs w:val="22"/>
        </w:rPr>
        <w:t>Final Score = (</w:t>
      </w:r>
      <w:r w:rsidR="00D404E7" w:rsidRPr="00984384">
        <w:rPr>
          <w:rFonts w:ascii="Arial" w:hAnsi="Arial" w:cs="Arial"/>
          <w:sz w:val="22"/>
          <w:szCs w:val="22"/>
        </w:rPr>
        <w:t xml:space="preserve">(Score Tier 1 * 1) / (Denominator Tier 1 * 1)) + </w:t>
      </w:r>
    </w:p>
    <w:p w:rsidR="00D048B8" w:rsidRDefault="00D404E7" w:rsidP="00D048B8">
      <w:pPr>
        <w:pStyle w:val="NormalWeb"/>
        <w:spacing w:before="0" w:beforeAutospacing="0" w:after="0" w:afterAutospacing="0"/>
        <w:ind w:left="1080"/>
        <w:rPr>
          <w:rFonts w:ascii="Arial" w:hAnsi="Arial" w:cs="Arial"/>
          <w:sz w:val="22"/>
          <w:szCs w:val="22"/>
        </w:rPr>
      </w:pPr>
      <w:r w:rsidRPr="00984384">
        <w:rPr>
          <w:rFonts w:ascii="Arial" w:hAnsi="Arial" w:cs="Arial"/>
          <w:sz w:val="22"/>
          <w:szCs w:val="22"/>
        </w:rPr>
        <w:lastRenderedPageBreak/>
        <w:t xml:space="preserve">((Score Tier 2 * 0.6) / (Denominator Tier 2 * 0.6)) + </w:t>
      </w:r>
      <w:r w:rsidR="00D048B8" w:rsidRPr="00984384">
        <w:rPr>
          <w:rFonts w:ascii="Arial" w:hAnsi="Arial" w:cs="Arial"/>
          <w:sz w:val="22"/>
          <w:szCs w:val="22"/>
        </w:rPr>
        <w:t>((Score Tier 3 * 0.4) / (Denominator Tier 3 * 0.4))</w:t>
      </w:r>
      <w:r w:rsidR="00D048B8">
        <w:rPr>
          <w:rFonts w:ascii="Arial" w:hAnsi="Arial" w:cs="Arial"/>
          <w:sz w:val="22"/>
          <w:szCs w:val="22"/>
        </w:rPr>
        <w:t xml:space="preserve"> </w:t>
      </w:r>
    </w:p>
    <w:p w:rsidR="005C6C0B" w:rsidRDefault="005C6C0B" w:rsidP="00D83BB3">
      <w:pPr>
        <w:pStyle w:val="NormalWeb"/>
        <w:spacing w:before="0" w:beforeAutospacing="0" w:after="0" w:afterAutospacing="0"/>
        <w:ind w:left="1080"/>
        <w:rPr>
          <w:rFonts w:ascii="Arial" w:hAnsi="Arial" w:cs="Arial"/>
          <w:sz w:val="22"/>
          <w:szCs w:val="22"/>
        </w:rPr>
      </w:pPr>
    </w:p>
    <w:p w:rsidR="00E01B52" w:rsidRDefault="00E01B52" w:rsidP="007B792B">
      <w:pPr>
        <w:pStyle w:val="NormalWeb"/>
        <w:spacing w:before="0" w:beforeAutospacing="0" w:after="0" w:afterAutospacing="0"/>
        <w:rPr>
          <w:rFonts w:ascii="Arial" w:hAnsi="Arial" w:cs="Arial"/>
          <w:b/>
          <w:sz w:val="22"/>
          <w:szCs w:val="22"/>
        </w:rPr>
      </w:pPr>
    </w:p>
    <w:p w:rsidR="00E01B52" w:rsidRDefault="00E01B52" w:rsidP="007B792B">
      <w:pPr>
        <w:pStyle w:val="NormalWeb"/>
        <w:spacing w:before="0" w:beforeAutospacing="0" w:after="0" w:afterAutospacing="0"/>
        <w:rPr>
          <w:rFonts w:ascii="Arial" w:hAnsi="Arial" w:cs="Arial"/>
          <w:b/>
          <w:sz w:val="22"/>
          <w:szCs w:val="22"/>
        </w:rPr>
      </w:pPr>
      <w:r w:rsidRPr="004C40A5">
        <w:rPr>
          <w:rFonts w:ascii="Arial" w:hAnsi="Arial" w:cs="Arial"/>
          <w:b/>
          <w:sz w:val="22"/>
          <w:szCs w:val="22"/>
        </w:rPr>
        <w:t>Table 2.  PPCs in each tier and their weight</w:t>
      </w:r>
    </w:p>
    <w:tbl>
      <w:tblPr>
        <w:tblStyle w:val="TableGrid"/>
        <w:tblW w:w="9265" w:type="dxa"/>
        <w:tblLayout w:type="fixed"/>
        <w:tblLook w:val="04A0" w:firstRow="1" w:lastRow="0" w:firstColumn="1" w:lastColumn="0" w:noHBand="0" w:noVBand="1"/>
      </w:tblPr>
      <w:tblGrid>
        <w:gridCol w:w="805"/>
        <w:gridCol w:w="2520"/>
        <w:gridCol w:w="5940"/>
      </w:tblGrid>
      <w:tr w:rsidR="00E01B52" w:rsidTr="003742E7">
        <w:tc>
          <w:tcPr>
            <w:tcW w:w="805" w:type="dxa"/>
            <w:shd w:val="clear" w:color="auto" w:fill="auto"/>
          </w:tcPr>
          <w:p w:rsidR="00E01B52" w:rsidRDefault="00E01B52" w:rsidP="003742E7">
            <w:pPr>
              <w:pStyle w:val="NormalWeb"/>
              <w:spacing w:before="0" w:beforeAutospacing="0" w:after="0" w:afterAutospacing="0"/>
              <w:jc w:val="center"/>
              <w:rPr>
                <w:rFonts w:ascii="Arial" w:hAnsi="Arial" w:cs="Arial"/>
                <w:b/>
                <w:sz w:val="22"/>
                <w:szCs w:val="22"/>
              </w:rPr>
            </w:pPr>
            <w:r>
              <w:rPr>
                <w:rFonts w:ascii="Arial" w:hAnsi="Arial" w:cs="Arial"/>
                <w:b/>
                <w:sz w:val="22"/>
                <w:szCs w:val="22"/>
              </w:rPr>
              <w:t>Tier</w:t>
            </w:r>
          </w:p>
        </w:tc>
        <w:tc>
          <w:tcPr>
            <w:tcW w:w="2520" w:type="dxa"/>
          </w:tcPr>
          <w:p w:rsidR="00E01B52" w:rsidRDefault="00D404E7" w:rsidP="003742E7">
            <w:pPr>
              <w:pStyle w:val="NormalWeb"/>
              <w:spacing w:before="0" w:beforeAutospacing="0" w:after="0" w:afterAutospacing="0"/>
              <w:jc w:val="center"/>
              <w:rPr>
                <w:rFonts w:ascii="Arial" w:hAnsi="Arial" w:cs="Arial"/>
                <w:b/>
                <w:sz w:val="22"/>
                <w:szCs w:val="22"/>
              </w:rPr>
            </w:pPr>
            <w:r>
              <w:rPr>
                <w:rFonts w:ascii="Arial" w:hAnsi="Arial" w:cs="Arial"/>
                <w:b/>
                <w:sz w:val="22"/>
                <w:szCs w:val="22"/>
              </w:rPr>
              <w:t>Weighting</w:t>
            </w:r>
          </w:p>
        </w:tc>
        <w:tc>
          <w:tcPr>
            <w:tcW w:w="5940" w:type="dxa"/>
            <w:shd w:val="clear" w:color="auto" w:fill="auto"/>
          </w:tcPr>
          <w:p w:rsidR="00E01B52" w:rsidRDefault="00E01B52" w:rsidP="003742E7">
            <w:pPr>
              <w:pStyle w:val="NormalWeb"/>
              <w:spacing w:before="0" w:beforeAutospacing="0" w:after="0" w:afterAutospacing="0"/>
              <w:rPr>
                <w:rFonts w:ascii="Arial" w:hAnsi="Arial" w:cs="Arial"/>
                <w:b/>
                <w:sz w:val="22"/>
                <w:szCs w:val="22"/>
              </w:rPr>
            </w:pPr>
            <w:r>
              <w:rPr>
                <w:rFonts w:ascii="Arial" w:hAnsi="Arial" w:cs="Arial"/>
                <w:b/>
                <w:sz w:val="22"/>
                <w:szCs w:val="22"/>
              </w:rPr>
              <w:t>PPCs Included</w:t>
            </w:r>
          </w:p>
        </w:tc>
      </w:tr>
      <w:tr w:rsidR="00E01B52" w:rsidTr="003742E7">
        <w:tc>
          <w:tcPr>
            <w:tcW w:w="805" w:type="dxa"/>
            <w:shd w:val="clear" w:color="auto" w:fill="auto"/>
          </w:tcPr>
          <w:p w:rsidR="00E01B52" w:rsidRDefault="00E01B52" w:rsidP="003742E7">
            <w:pPr>
              <w:pStyle w:val="NormalWeb"/>
              <w:jc w:val="center"/>
              <w:rPr>
                <w:rFonts w:ascii="Arial" w:hAnsi="Arial" w:cs="Arial"/>
                <w:sz w:val="22"/>
                <w:szCs w:val="22"/>
              </w:rPr>
            </w:pPr>
            <w:r w:rsidRPr="004C40A5">
              <w:rPr>
                <w:rFonts w:ascii="Arial" w:hAnsi="Arial" w:cs="Arial"/>
                <w:sz w:val="22"/>
                <w:szCs w:val="22"/>
              </w:rPr>
              <w:t>1</w:t>
            </w:r>
          </w:p>
        </w:tc>
        <w:tc>
          <w:tcPr>
            <w:tcW w:w="2520" w:type="dxa"/>
          </w:tcPr>
          <w:p w:rsidR="00E01B52" w:rsidRPr="00984384" w:rsidRDefault="00D404E7" w:rsidP="00D404E7">
            <w:pPr>
              <w:pStyle w:val="NormalWeb"/>
              <w:jc w:val="center"/>
              <w:rPr>
                <w:rFonts w:ascii="Arial" w:hAnsi="Arial" w:cs="Arial"/>
                <w:sz w:val="22"/>
                <w:szCs w:val="22"/>
              </w:rPr>
            </w:pPr>
            <w:r w:rsidRPr="00984384">
              <w:rPr>
                <w:rFonts w:ascii="Arial" w:hAnsi="Arial" w:cs="Arial"/>
                <w:sz w:val="22"/>
                <w:szCs w:val="22"/>
              </w:rPr>
              <w:t>10</w:t>
            </w:r>
            <w:r w:rsidR="00E01B52" w:rsidRPr="00984384">
              <w:rPr>
                <w:rFonts w:ascii="Arial" w:hAnsi="Arial" w:cs="Arial"/>
                <w:sz w:val="22"/>
                <w:szCs w:val="22"/>
              </w:rPr>
              <w:t>0%</w:t>
            </w:r>
          </w:p>
        </w:tc>
        <w:tc>
          <w:tcPr>
            <w:tcW w:w="5940" w:type="dxa"/>
            <w:shd w:val="clear" w:color="auto" w:fill="auto"/>
          </w:tcPr>
          <w:p w:rsidR="00E01B52" w:rsidRPr="004C40A5" w:rsidRDefault="00E01B52" w:rsidP="003742E7">
            <w:pPr>
              <w:pStyle w:val="NormalWeb"/>
              <w:rPr>
                <w:rFonts w:ascii="Arial" w:hAnsi="Arial" w:cs="Arial"/>
                <w:sz w:val="22"/>
                <w:szCs w:val="22"/>
              </w:rPr>
            </w:pPr>
            <w:r w:rsidRPr="004C40A5">
              <w:rPr>
                <w:rFonts w:ascii="Arial" w:hAnsi="Arial" w:cs="Arial"/>
                <w:sz w:val="22"/>
                <w:szCs w:val="22"/>
              </w:rPr>
              <w:t>3,4,5,6,7,9,14,16,24,28,31,35,37,38,40,42,49,54,65,66</w:t>
            </w:r>
          </w:p>
        </w:tc>
      </w:tr>
      <w:tr w:rsidR="00E01B52" w:rsidTr="003742E7">
        <w:tc>
          <w:tcPr>
            <w:tcW w:w="805" w:type="dxa"/>
            <w:shd w:val="clear" w:color="auto" w:fill="auto"/>
          </w:tcPr>
          <w:p w:rsidR="00E01B52" w:rsidRDefault="00E01B52" w:rsidP="003742E7">
            <w:pPr>
              <w:pStyle w:val="NormalWeb"/>
              <w:jc w:val="center"/>
              <w:rPr>
                <w:rFonts w:ascii="Arial" w:hAnsi="Arial" w:cs="Arial"/>
                <w:sz w:val="22"/>
                <w:szCs w:val="22"/>
              </w:rPr>
            </w:pPr>
            <w:r w:rsidRPr="004C40A5">
              <w:rPr>
                <w:rFonts w:ascii="Arial" w:hAnsi="Arial" w:cs="Arial"/>
                <w:sz w:val="22"/>
                <w:szCs w:val="22"/>
              </w:rPr>
              <w:t>2</w:t>
            </w:r>
          </w:p>
        </w:tc>
        <w:tc>
          <w:tcPr>
            <w:tcW w:w="2520" w:type="dxa"/>
          </w:tcPr>
          <w:p w:rsidR="00E01B52" w:rsidRPr="00984384" w:rsidRDefault="00D404E7" w:rsidP="00D404E7">
            <w:pPr>
              <w:pStyle w:val="NormalWeb"/>
              <w:jc w:val="center"/>
              <w:rPr>
                <w:rFonts w:ascii="Arial" w:hAnsi="Arial" w:cs="Arial"/>
                <w:sz w:val="22"/>
                <w:szCs w:val="22"/>
              </w:rPr>
            </w:pPr>
            <w:r w:rsidRPr="00984384">
              <w:rPr>
                <w:rFonts w:ascii="Arial" w:hAnsi="Arial" w:cs="Arial"/>
                <w:sz w:val="22"/>
                <w:szCs w:val="22"/>
              </w:rPr>
              <w:t>6</w:t>
            </w:r>
            <w:r w:rsidR="00E01B52" w:rsidRPr="00984384">
              <w:rPr>
                <w:rFonts w:ascii="Arial" w:hAnsi="Arial" w:cs="Arial"/>
                <w:sz w:val="22"/>
                <w:szCs w:val="22"/>
              </w:rPr>
              <w:t>0%</w:t>
            </w:r>
          </w:p>
        </w:tc>
        <w:tc>
          <w:tcPr>
            <w:tcW w:w="5940" w:type="dxa"/>
            <w:shd w:val="clear" w:color="auto" w:fill="auto"/>
          </w:tcPr>
          <w:p w:rsidR="00E01B52" w:rsidRPr="004C40A5" w:rsidRDefault="00E01B52" w:rsidP="003742E7">
            <w:pPr>
              <w:pStyle w:val="NormalWeb"/>
              <w:rPr>
                <w:rFonts w:ascii="Arial" w:hAnsi="Arial" w:cs="Arial"/>
                <w:sz w:val="22"/>
                <w:szCs w:val="22"/>
              </w:rPr>
            </w:pPr>
            <w:r w:rsidRPr="004C40A5">
              <w:rPr>
                <w:rFonts w:ascii="Arial" w:hAnsi="Arial" w:cs="Arial"/>
                <w:sz w:val="22"/>
                <w:szCs w:val="22"/>
              </w:rPr>
              <w:t>8,10,11,17,18,19,27,41,48</w:t>
            </w:r>
          </w:p>
        </w:tc>
      </w:tr>
      <w:tr w:rsidR="00E01B52" w:rsidTr="003742E7">
        <w:tc>
          <w:tcPr>
            <w:tcW w:w="805" w:type="dxa"/>
            <w:shd w:val="clear" w:color="auto" w:fill="auto"/>
          </w:tcPr>
          <w:p w:rsidR="00E01B52" w:rsidRDefault="00E01B52" w:rsidP="003742E7">
            <w:pPr>
              <w:pStyle w:val="NormalWeb"/>
              <w:jc w:val="center"/>
              <w:rPr>
                <w:rFonts w:ascii="Arial" w:hAnsi="Arial" w:cs="Arial"/>
                <w:sz w:val="22"/>
                <w:szCs w:val="22"/>
              </w:rPr>
            </w:pPr>
            <w:r w:rsidRPr="004C40A5">
              <w:rPr>
                <w:rFonts w:ascii="Arial" w:hAnsi="Arial" w:cs="Arial"/>
                <w:sz w:val="22"/>
                <w:szCs w:val="22"/>
              </w:rPr>
              <w:t>3</w:t>
            </w:r>
          </w:p>
        </w:tc>
        <w:tc>
          <w:tcPr>
            <w:tcW w:w="2520" w:type="dxa"/>
          </w:tcPr>
          <w:p w:rsidR="00E01B52" w:rsidRPr="00984384" w:rsidRDefault="00D404E7" w:rsidP="003742E7">
            <w:pPr>
              <w:pStyle w:val="NormalWeb"/>
              <w:jc w:val="center"/>
              <w:rPr>
                <w:rFonts w:ascii="Arial" w:hAnsi="Arial" w:cs="Arial"/>
                <w:sz w:val="22"/>
                <w:szCs w:val="22"/>
              </w:rPr>
            </w:pPr>
            <w:r w:rsidRPr="00984384">
              <w:rPr>
                <w:rFonts w:ascii="Arial" w:hAnsi="Arial" w:cs="Arial"/>
                <w:sz w:val="22"/>
                <w:szCs w:val="22"/>
              </w:rPr>
              <w:t>4</w:t>
            </w:r>
            <w:r w:rsidR="00E01B52" w:rsidRPr="00984384">
              <w:rPr>
                <w:rFonts w:ascii="Arial" w:hAnsi="Arial" w:cs="Arial"/>
                <w:sz w:val="22"/>
                <w:szCs w:val="22"/>
              </w:rPr>
              <w:t>0%</w:t>
            </w:r>
          </w:p>
        </w:tc>
        <w:tc>
          <w:tcPr>
            <w:tcW w:w="5940" w:type="dxa"/>
            <w:shd w:val="clear" w:color="auto" w:fill="auto"/>
          </w:tcPr>
          <w:p w:rsidR="00E01B52" w:rsidRPr="004C40A5" w:rsidRDefault="00E01B52" w:rsidP="003742E7">
            <w:pPr>
              <w:pStyle w:val="NormalWeb"/>
              <w:rPr>
                <w:rFonts w:ascii="Arial" w:hAnsi="Arial" w:cs="Arial"/>
                <w:sz w:val="22"/>
                <w:szCs w:val="22"/>
              </w:rPr>
            </w:pPr>
            <w:r w:rsidRPr="004C40A5">
              <w:rPr>
                <w:rFonts w:ascii="Arial" w:hAnsi="Arial" w:cs="Arial"/>
                <w:sz w:val="22"/>
                <w:szCs w:val="22"/>
              </w:rPr>
              <w:t>1,2,12,13,15,20,21,23,25,26,29,30,32,33,34,36,39,43,44,45,46,47,50,51,52,53,55,56,57,58,59,60,61,62,63,64</w:t>
            </w:r>
          </w:p>
        </w:tc>
      </w:tr>
    </w:tbl>
    <w:p w:rsidR="00C95780" w:rsidRDefault="00C95780" w:rsidP="00C95780">
      <w:pPr>
        <w:pStyle w:val="NormalWeb"/>
        <w:spacing w:before="0" w:beforeAutospacing="0" w:after="0" w:afterAutospacing="0"/>
        <w:ind w:left="720"/>
        <w:rPr>
          <w:rFonts w:ascii="Arial" w:hAnsi="Arial" w:cs="Arial"/>
          <w:sz w:val="22"/>
          <w:szCs w:val="22"/>
        </w:rPr>
      </w:pPr>
    </w:p>
    <w:p w:rsidR="007B0A34" w:rsidRDefault="0000478F" w:rsidP="005163F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  </w:t>
      </w:r>
    </w:p>
    <w:p w:rsidR="007B0A34" w:rsidRDefault="007B0A34" w:rsidP="005163F8">
      <w:pPr>
        <w:pStyle w:val="NormalWeb"/>
        <w:spacing w:before="0" w:beforeAutospacing="0" w:after="0" w:afterAutospacing="0"/>
        <w:ind w:left="720"/>
        <w:rPr>
          <w:rFonts w:ascii="Arial" w:hAnsi="Arial" w:cs="Arial"/>
          <w:b/>
          <w:sz w:val="22"/>
          <w:szCs w:val="22"/>
        </w:rPr>
      </w:pPr>
    </w:p>
    <w:p w:rsidR="00EF6624" w:rsidRDefault="004E2F2E" w:rsidP="001F2853">
      <w:pPr>
        <w:pStyle w:val="NormalWeb"/>
        <w:numPr>
          <w:ilvl w:val="0"/>
          <w:numId w:val="2"/>
        </w:numPr>
        <w:spacing w:before="0" w:beforeAutospacing="0" w:after="0" w:afterAutospacing="0"/>
        <w:rPr>
          <w:rFonts w:ascii="Arial" w:hAnsi="Arial" w:cs="Arial"/>
          <w:b/>
          <w:sz w:val="22"/>
          <w:szCs w:val="22"/>
        </w:rPr>
      </w:pPr>
      <w:r>
        <w:rPr>
          <w:rFonts w:ascii="Arial" w:hAnsi="Arial" w:cs="Arial"/>
          <w:b/>
          <w:sz w:val="22"/>
          <w:szCs w:val="22"/>
        </w:rPr>
        <w:t>Financial Impact of MHAC Performance (Scaling)</w:t>
      </w:r>
    </w:p>
    <w:p w:rsidR="00EF6624" w:rsidRDefault="00EF6624" w:rsidP="005163F8">
      <w:pPr>
        <w:pStyle w:val="NormalWeb"/>
        <w:spacing w:before="0" w:beforeAutospacing="0" w:after="0" w:afterAutospacing="0"/>
        <w:ind w:left="1440"/>
        <w:rPr>
          <w:rFonts w:ascii="Arial" w:hAnsi="Arial" w:cs="Arial"/>
          <w:b/>
          <w:sz w:val="22"/>
          <w:szCs w:val="22"/>
        </w:rPr>
      </w:pPr>
    </w:p>
    <w:p w:rsidR="007B0A34" w:rsidRDefault="00587C75" w:rsidP="001F2853">
      <w:pPr>
        <w:pStyle w:val="NormalWeb"/>
        <w:numPr>
          <w:ilvl w:val="1"/>
          <w:numId w:val="2"/>
        </w:numPr>
        <w:spacing w:before="0" w:beforeAutospacing="0" w:after="0" w:afterAutospacing="0"/>
        <w:rPr>
          <w:rFonts w:ascii="Arial" w:hAnsi="Arial" w:cs="Arial"/>
          <w:b/>
          <w:sz w:val="22"/>
          <w:szCs w:val="22"/>
        </w:rPr>
      </w:pPr>
      <w:r>
        <w:rPr>
          <w:rFonts w:ascii="Arial" w:hAnsi="Arial" w:cs="Arial"/>
          <w:b/>
          <w:sz w:val="22"/>
          <w:szCs w:val="22"/>
        </w:rPr>
        <w:t xml:space="preserve">Preset Scaling Scores and Variation by whether state-wide target is met </w:t>
      </w:r>
    </w:p>
    <w:p w:rsidR="007B0A34" w:rsidRDefault="00587C75" w:rsidP="005163F8">
      <w:pPr>
        <w:pStyle w:val="NormalWeb"/>
        <w:ind w:left="720"/>
        <w:rPr>
          <w:rFonts w:ascii="Arial" w:hAnsi="Arial" w:cs="Arial"/>
          <w:sz w:val="22"/>
          <w:szCs w:val="22"/>
        </w:rPr>
      </w:pPr>
      <w:r>
        <w:rPr>
          <w:rFonts w:ascii="Arial" w:hAnsi="Arial" w:cs="Arial"/>
          <w:sz w:val="22"/>
          <w:szCs w:val="22"/>
        </w:rPr>
        <w:t xml:space="preserve">Scaling will be determined based on preset values that are calculated using the base year attainment </w:t>
      </w:r>
      <w:r w:rsidR="00E0319C">
        <w:rPr>
          <w:rFonts w:ascii="Arial" w:hAnsi="Arial" w:cs="Arial"/>
          <w:sz w:val="22"/>
          <w:szCs w:val="22"/>
        </w:rPr>
        <w:t>points</w:t>
      </w:r>
      <w:r>
        <w:rPr>
          <w:rFonts w:ascii="Arial" w:hAnsi="Arial" w:cs="Arial"/>
          <w:sz w:val="22"/>
          <w:szCs w:val="22"/>
        </w:rPr>
        <w:t xml:space="preserve">. </w:t>
      </w:r>
      <w:r w:rsidR="00F16299">
        <w:rPr>
          <w:rFonts w:ascii="Arial" w:hAnsi="Arial" w:cs="Arial"/>
          <w:sz w:val="22"/>
          <w:szCs w:val="22"/>
        </w:rPr>
        <w:t xml:space="preserve">The percent of revenue at-risk will vary for all hospitals depending on whether the statewide MHAC </w:t>
      </w:r>
      <w:r w:rsidR="001E4F71">
        <w:rPr>
          <w:rFonts w:ascii="Arial" w:hAnsi="Arial" w:cs="Arial"/>
          <w:sz w:val="22"/>
          <w:szCs w:val="22"/>
        </w:rPr>
        <w:t xml:space="preserve">minimum </w:t>
      </w:r>
      <w:r w:rsidR="00F16299">
        <w:rPr>
          <w:rFonts w:ascii="Arial" w:hAnsi="Arial" w:cs="Arial"/>
          <w:sz w:val="22"/>
          <w:szCs w:val="22"/>
        </w:rPr>
        <w:t xml:space="preserve">improvement target is met.  </w:t>
      </w:r>
    </w:p>
    <w:p w:rsidR="007B0A34" w:rsidRDefault="007B0A34" w:rsidP="005163F8">
      <w:pPr>
        <w:pStyle w:val="NormalWeb"/>
        <w:ind w:left="720"/>
        <w:rPr>
          <w:rFonts w:ascii="Arial" w:hAnsi="Arial" w:cs="Arial"/>
          <w:sz w:val="22"/>
          <w:szCs w:val="22"/>
        </w:rPr>
      </w:pPr>
      <w:r w:rsidRPr="005163F8">
        <w:rPr>
          <w:rFonts w:ascii="Arial" w:hAnsi="Arial" w:cs="Arial"/>
          <w:sz w:val="22"/>
          <w:szCs w:val="22"/>
        </w:rPr>
        <w:t xml:space="preserve">For CY2014 performance period, the </w:t>
      </w:r>
      <w:r w:rsidR="001E4F71">
        <w:rPr>
          <w:rFonts w:ascii="Arial" w:hAnsi="Arial" w:cs="Arial"/>
          <w:sz w:val="22"/>
          <w:szCs w:val="22"/>
        </w:rPr>
        <w:t>state-wide MHAC minimum improvement target is</w:t>
      </w:r>
      <w:r w:rsidRPr="005163F8">
        <w:rPr>
          <w:rFonts w:ascii="Arial" w:hAnsi="Arial" w:cs="Arial"/>
          <w:sz w:val="22"/>
          <w:szCs w:val="22"/>
        </w:rPr>
        <w:t xml:space="preserve"> </w:t>
      </w:r>
      <w:r w:rsidR="00F16299" w:rsidRPr="00F16299">
        <w:rPr>
          <w:rFonts w:ascii="Arial" w:hAnsi="Arial" w:cs="Arial"/>
          <w:b/>
          <w:sz w:val="22"/>
          <w:szCs w:val="22"/>
        </w:rPr>
        <w:t>8%</w:t>
      </w:r>
      <w:r w:rsidRPr="005163F8">
        <w:rPr>
          <w:rFonts w:ascii="Arial" w:hAnsi="Arial" w:cs="Arial"/>
          <w:sz w:val="22"/>
          <w:szCs w:val="22"/>
        </w:rPr>
        <w:t xml:space="preserve"> improvement</w:t>
      </w:r>
      <w:r w:rsidR="00DE0613">
        <w:rPr>
          <w:rFonts w:ascii="Arial" w:hAnsi="Arial" w:cs="Arial"/>
          <w:sz w:val="22"/>
          <w:szCs w:val="22"/>
        </w:rPr>
        <w:t>.</w:t>
      </w:r>
      <w:r w:rsidRPr="005163F8">
        <w:rPr>
          <w:rFonts w:ascii="Arial" w:hAnsi="Arial" w:cs="Arial"/>
          <w:sz w:val="22"/>
          <w:szCs w:val="22"/>
        </w:rPr>
        <w:t xml:space="preserve">  </w:t>
      </w:r>
      <w:r w:rsidR="00CB383C" w:rsidRPr="00F16299">
        <w:rPr>
          <w:rFonts w:ascii="Arial" w:hAnsi="Arial" w:cs="Arial"/>
          <w:sz w:val="22"/>
          <w:szCs w:val="22"/>
        </w:rPr>
        <w:t xml:space="preserve">The </w:t>
      </w:r>
      <w:r w:rsidR="00E0319C">
        <w:rPr>
          <w:rFonts w:ascii="Arial" w:hAnsi="Arial" w:cs="Arial"/>
          <w:sz w:val="22"/>
          <w:szCs w:val="22"/>
        </w:rPr>
        <w:t>s</w:t>
      </w:r>
      <w:r w:rsidR="00CB383C" w:rsidRPr="00F16299">
        <w:rPr>
          <w:rFonts w:ascii="Arial" w:hAnsi="Arial" w:cs="Arial"/>
          <w:sz w:val="22"/>
          <w:szCs w:val="22"/>
        </w:rPr>
        <w:t>tatewide</w:t>
      </w:r>
      <w:r w:rsidR="00CB383C">
        <w:rPr>
          <w:rFonts w:ascii="Arial" w:hAnsi="Arial" w:cs="Arial"/>
          <w:sz w:val="22"/>
          <w:szCs w:val="22"/>
        </w:rPr>
        <w:t xml:space="preserve"> MHAC</w:t>
      </w:r>
      <w:r w:rsidR="00CB383C" w:rsidRPr="00CB383C">
        <w:rPr>
          <w:rFonts w:ascii="Arial" w:hAnsi="Arial" w:cs="Arial"/>
          <w:sz w:val="22"/>
          <w:szCs w:val="22"/>
        </w:rPr>
        <w:t xml:space="preserve"> improvement rate is the percentage change in the </w:t>
      </w:r>
      <w:r w:rsidR="00E0319C">
        <w:rPr>
          <w:rFonts w:ascii="Arial" w:hAnsi="Arial" w:cs="Arial"/>
          <w:sz w:val="22"/>
          <w:szCs w:val="22"/>
        </w:rPr>
        <w:t>O/E</w:t>
      </w:r>
      <w:r w:rsidR="00CB383C" w:rsidRPr="00CB383C">
        <w:rPr>
          <w:rFonts w:ascii="Arial" w:hAnsi="Arial" w:cs="Arial"/>
          <w:sz w:val="22"/>
          <w:szCs w:val="22"/>
        </w:rPr>
        <w:t xml:space="preserve"> </w:t>
      </w:r>
      <w:r w:rsidR="00E0319C">
        <w:rPr>
          <w:rFonts w:ascii="Arial" w:hAnsi="Arial" w:cs="Arial"/>
          <w:sz w:val="22"/>
          <w:szCs w:val="22"/>
        </w:rPr>
        <w:t xml:space="preserve">ratio </w:t>
      </w:r>
      <w:r w:rsidR="00CB383C" w:rsidRPr="00CB383C">
        <w:rPr>
          <w:rFonts w:ascii="Arial" w:hAnsi="Arial" w:cs="Arial"/>
          <w:sz w:val="22"/>
          <w:szCs w:val="22"/>
        </w:rPr>
        <w:t>in the performance year compared to the base year and calculated as follows:</w:t>
      </w:r>
    </w:p>
    <w:p w:rsidR="00D048B8" w:rsidRDefault="00D048B8" w:rsidP="00D048B8">
      <w:pPr>
        <w:pStyle w:val="NormalWeb"/>
        <w:spacing w:before="0" w:beforeAutospacing="0" w:after="0" w:afterAutospacing="0"/>
        <w:ind w:left="1440"/>
        <w:rPr>
          <w:rFonts w:ascii="Arial" w:hAnsi="Arial" w:cs="Arial"/>
          <w:sz w:val="22"/>
          <w:szCs w:val="22"/>
        </w:rPr>
      </w:pPr>
      <w:r w:rsidRPr="00CB383C">
        <w:rPr>
          <w:rFonts w:ascii="Arial" w:hAnsi="Arial" w:cs="Arial"/>
          <w:sz w:val="22"/>
          <w:szCs w:val="22"/>
        </w:rPr>
        <w:t>{[</w:t>
      </w:r>
      <w:r>
        <w:rPr>
          <w:rFonts w:ascii="Arial" w:hAnsi="Arial" w:cs="Arial"/>
          <w:sz w:val="22"/>
          <w:szCs w:val="22"/>
        </w:rPr>
        <w:t>Observed</w:t>
      </w:r>
      <w:r w:rsidRPr="00CB383C">
        <w:rPr>
          <w:rFonts w:ascii="Arial" w:hAnsi="Arial" w:cs="Arial"/>
          <w:sz w:val="22"/>
          <w:szCs w:val="22"/>
        </w:rPr>
        <w:t xml:space="preserve"> in CY201</w:t>
      </w:r>
      <w:r>
        <w:rPr>
          <w:rFonts w:ascii="Arial" w:hAnsi="Arial" w:cs="Arial"/>
          <w:sz w:val="22"/>
          <w:szCs w:val="22"/>
        </w:rPr>
        <w:t>4/E</w:t>
      </w:r>
      <w:r w:rsidRPr="00CB383C">
        <w:rPr>
          <w:rFonts w:ascii="Arial" w:hAnsi="Arial" w:cs="Arial"/>
          <w:sz w:val="22"/>
          <w:szCs w:val="22"/>
        </w:rPr>
        <w:t>xpected in CY201</w:t>
      </w:r>
      <w:r>
        <w:rPr>
          <w:rFonts w:ascii="Arial" w:hAnsi="Arial" w:cs="Arial"/>
          <w:sz w:val="22"/>
          <w:szCs w:val="22"/>
        </w:rPr>
        <w:t>4</w:t>
      </w:r>
      <w:r w:rsidRPr="00CB383C">
        <w:rPr>
          <w:rFonts w:ascii="Arial" w:hAnsi="Arial" w:cs="Arial"/>
          <w:sz w:val="22"/>
          <w:szCs w:val="22"/>
        </w:rPr>
        <w:t>]/ [</w:t>
      </w:r>
      <w:r>
        <w:rPr>
          <w:rFonts w:ascii="Arial" w:hAnsi="Arial" w:cs="Arial"/>
          <w:sz w:val="22"/>
          <w:szCs w:val="22"/>
        </w:rPr>
        <w:t>Observed</w:t>
      </w:r>
      <w:r w:rsidRPr="00CB383C">
        <w:rPr>
          <w:rFonts w:ascii="Arial" w:hAnsi="Arial" w:cs="Arial"/>
          <w:sz w:val="22"/>
          <w:szCs w:val="22"/>
        </w:rPr>
        <w:t xml:space="preserve"> in </w:t>
      </w:r>
      <w:r>
        <w:rPr>
          <w:rFonts w:ascii="Arial" w:hAnsi="Arial" w:cs="Arial"/>
          <w:sz w:val="22"/>
          <w:szCs w:val="22"/>
        </w:rPr>
        <w:t>C</w:t>
      </w:r>
      <w:r w:rsidRPr="00CB383C">
        <w:rPr>
          <w:rFonts w:ascii="Arial" w:hAnsi="Arial" w:cs="Arial"/>
          <w:sz w:val="22"/>
          <w:szCs w:val="22"/>
        </w:rPr>
        <w:t>Y201</w:t>
      </w:r>
      <w:r>
        <w:rPr>
          <w:rFonts w:ascii="Arial" w:hAnsi="Arial" w:cs="Arial"/>
          <w:sz w:val="22"/>
          <w:szCs w:val="22"/>
        </w:rPr>
        <w:t>3</w:t>
      </w:r>
      <w:r w:rsidRPr="00CB383C">
        <w:rPr>
          <w:rFonts w:ascii="Arial" w:hAnsi="Arial" w:cs="Arial"/>
          <w:sz w:val="22"/>
          <w:szCs w:val="22"/>
        </w:rPr>
        <w:t>/</w:t>
      </w:r>
      <w:r>
        <w:rPr>
          <w:rFonts w:ascii="Arial" w:hAnsi="Arial" w:cs="Arial"/>
          <w:sz w:val="22"/>
          <w:szCs w:val="22"/>
        </w:rPr>
        <w:t>Observed</w:t>
      </w:r>
      <w:r w:rsidRPr="00CB383C">
        <w:rPr>
          <w:rFonts w:ascii="Arial" w:hAnsi="Arial" w:cs="Arial"/>
          <w:sz w:val="22"/>
          <w:szCs w:val="22"/>
        </w:rPr>
        <w:t xml:space="preserve"> in </w:t>
      </w:r>
      <w:r>
        <w:rPr>
          <w:rFonts w:ascii="Arial" w:hAnsi="Arial" w:cs="Arial"/>
          <w:sz w:val="22"/>
          <w:szCs w:val="22"/>
        </w:rPr>
        <w:t>C</w:t>
      </w:r>
      <w:r w:rsidRPr="00CB383C">
        <w:rPr>
          <w:rFonts w:ascii="Arial" w:hAnsi="Arial" w:cs="Arial"/>
          <w:sz w:val="22"/>
          <w:szCs w:val="22"/>
        </w:rPr>
        <w:t>Y201</w:t>
      </w:r>
      <w:r>
        <w:rPr>
          <w:rFonts w:ascii="Arial" w:hAnsi="Arial" w:cs="Arial"/>
          <w:sz w:val="22"/>
          <w:szCs w:val="22"/>
        </w:rPr>
        <w:t>3</w:t>
      </w:r>
      <w:r w:rsidRPr="00CB383C">
        <w:rPr>
          <w:rFonts w:ascii="Arial" w:hAnsi="Arial" w:cs="Arial"/>
          <w:sz w:val="22"/>
          <w:szCs w:val="22"/>
        </w:rPr>
        <w:t>]} – 1</w:t>
      </w:r>
    </w:p>
    <w:p w:rsidR="007B0A34" w:rsidRDefault="007B0A34" w:rsidP="005163F8">
      <w:pPr>
        <w:pStyle w:val="NormalWeb"/>
        <w:spacing w:before="0" w:beforeAutospacing="0" w:after="0" w:afterAutospacing="0"/>
        <w:ind w:left="1440"/>
        <w:rPr>
          <w:rFonts w:ascii="Arial" w:hAnsi="Arial" w:cs="Arial"/>
          <w:sz w:val="22"/>
          <w:szCs w:val="22"/>
        </w:rPr>
      </w:pPr>
    </w:p>
    <w:p w:rsidR="007B0A34" w:rsidRDefault="007B0A34" w:rsidP="005163F8">
      <w:pPr>
        <w:pStyle w:val="NormalWeb"/>
        <w:spacing w:before="0" w:beforeAutospacing="0" w:after="0" w:afterAutospacing="0"/>
        <w:ind w:firstLine="720"/>
        <w:rPr>
          <w:rFonts w:ascii="Arial" w:hAnsi="Arial" w:cs="Arial"/>
          <w:sz w:val="22"/>
          <w:szCs w:val="22"/>
        </w:rPr>
      </w:pPr>
    </w:p>
    <w:p w:rsidR="007B0A34" w:rsidRDefault="0031049D" w:rsidP="005163F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A report will be provided </w:t>
      </w:r>
      <w:r w:rsidR="001469C4">
        <w:rPr>
          <w:rFonts w:ascii="Arial" w:hAnsi="Arial" w:cs="Arial"/>
          <w:sz w:val="22"/>
          <w:szCs w:val="22"/>
        </w:rPr>
        <w:t>from</w:t>
      </w:r>
      <w:r>
        <w:rPr>
          <w:rFonts w:ascii="Arial" w:hAnsi="Arial" w:cs="Arial"/>
          <w:sz w:val="22"/>
          <w:szCs w:val="22"/>
        </w:rPr>
        <w:t xml:space="preserve"> </w:t>
      </w:r>
      <w:r w:rsidR="001469C4">
        <w:rPr>
          <w:rFonts w:ascii="Arial" w:hAnsi="Arial" w:cs="Arial"/>
          <w:sz w:val="22"/>
          <w:szCs w:val="22"/>
        </w:rPr>
        <w:t xml:space="preserve">preliminary </w:t>
      </w:r>
      <w:r w:rsidR="001E4F71">
        <w:rPr>
          <w:rFonts w:ascii="Arial" w:hAnsi="Arial" w:cs="Arial"/>
          <w:sz w:val="22"/>
          <w:szCs w:val="22"/>
        </w:rPr>
        <w:t>monthly</w:t>
      </w:r>
      <w:r w:rsidR="001469C4">
        <w:rPr>
          <w:rFonts w:ascii="Arial" w:hAnsi="Arial" w:cs="Arial"/>
          <w:sz w:val="22"/>
          <w:szCs w:val="22"/>
        </w:rPr>
        <w:t xml:space="preserve"> data submissions</w:t>
      </w:r>
      <w:r w:rsidR="001E4F71">
        <w:rPr>
          <w:rFonts w:ascii="Arial" w:hAnsi="Arial" w:cs="Arial"/>
          <w:sz w:val="22"/>
          <w:szCs w:val="22"/>
        </w:rPr>
        <w:t xml:space="preserve"> and </w:t>
      </w:r>
      <w:r w:rsidR="001469C4">
        <w:rPr>
          <w:rFonts w:ascii="Arial" w:hAnsi="Arial" w:cs="Arial"/>
          <w:sz w:val="22"/>
          <w:szCs w:val="22"/>
        </w:rPr>
        <w:t xml:space="preserve">final </w:t>
      </w:r>
      <w:r w:rsidR="001E4F71">
        <w:rPr>
          <w:rFonts w:ascii="Arial" w:hAnsi="Arial" w:cs="Arial"/>
          <w:sz w:val="22"/>
          <w:szCs w:val="22"/>
        </w:rPr>
        <w:t>quarterly</w:t>
      </w:r>
      <w:r>
        <w:rPr>
          <w:rFonts w:ascii="Arial" w:hAnsi="Arial" w:cs="Arial"/>
          <w:sz w:val="22"/>
          <w:szCs w:val="22"/>
        </w:rPr>
        <w:t xml:space="preserve"> </w:t>
      </w:r>
      <w:r w:rsidR="001469C4">
        <w:rPr>
          <w:rFonts w:ascii="Arial" w:hAnsi="Arial" w:cs="Arial"/>
          <w:sz w:val="22"/>
          <w:szCs w:val="22"/>
        </w:rPr>
        <w:t>data</w:t>
      </w:r>
      <w:r>
        <w:rPr>
          <w:rFonts w:ascii="Arial" w:hAnsi="Arial" w:cs="Arial"/>
          <w:sz w:val="22"/>
          <w:szCs w:val="22"/>
        </w:rPr>
        <w:t xml:space="preserve"> </w:t>
      </w:r>
      <w:r w:rsidR="001E4F71">
        <w:rPr>
          <w:rFonts w:ascii="Arial" w:hAnsi="Arial" w:cs="Arial"/>
          <w:sz w:val="22"/>
          <w:szCs w:val="22"/>
        </w:rPr>
        <w:t>calculating the</w:t>
      </w:r>
      <w:r>
        <w:rPr>
          <w:rFonts w:ascii="Arial" w:hAnsi="Arial" w:cs="Arial"/>
          <w:sz w:val="22"/>
          <w:szCs w:val="22"/>
        </w:rPr>
        <w:t xml:space="preserve"> </w:t>
      </w:r>
      <w:r w:rsidR="001E4F71">
        <w:rPr>
          <w:rFonts w:ascii="Arial" w:hAnsi="Arial" w:cs="Arial"/>
          <w:sz w:val="22"/>
          <w:szCs w:val="22"/>
        </w:rPr>
        <w:t xml:space="preserve">state-wide </w:t>
      </w:r>
      <w:r>
        <w:rPr>
          <w:rFonts w:ascii="Arial" w:hAnsi="Arial" w:cs="Arial"/>
          <w:sz w:val="22"/>
          <w:szCs w:val="22"/>
        </w:rPr>
        <w:t>improvement rate.</w:t>
      </w:r>
    </w:p>
    <w:p w:rsidR="007B0A34" w:rsidRDefault="007B0A34" w:rsidP="005163F8">
      <w:pPr>
        <w:pStyle w:val="NormalWeb"/>
        <w:spacing w:before="0" w:beforeAutospacing="0" w:after="0" w:afterAutospacing="0"/>
        <w:ind w:left="720"/>
        <w:rPr>
          <w:rFonts w:ascii="Arial" w:hAnsi="Arial" w:cs="Arial"/>
          <w:sz w:val="22"/>
          <w:szCs w:val="22"/>
        </w:rPr>
      </w:pPr>
    </w:p>
    <w:p w:rsidR="007B0A34" w:rsidRDefault="007B0A34" w:rsidP="005163F8">
      <w:pPr>
        <w:pStyle w:val="NormalWeb"/>
        <w:spacing w:before="0" w:beforeAutospacing="0" w:after="0" w:afterAutospacing="0"/>
        <w:ind w:firstLine="720"/>
        <w:rPr>
          <w:rFonts w:ascii="Arial" w:hAnsi="Arial" w:cs="Arial"/>
          <w:sz w:val="22"/>
          <w:szCs w:val="22"/>
        </w:rPr>
      </w:pPr>
    </w:p>
    <w:p w:rsidR="007B0A34" w:rsidRDefault="00F16299" w:rsidP="001F2853">
      <w:pPr>
        <w:pStyle w:val="NormalWeb"/>
        <w:numPr>
          <w:ilvl w:val="1"/>
          <w:numId w:val="2"/>
        </w:numPr>
        <w:spacing w:before="0" w:beforeAutospacing="0" w:after="0" w:afterAutospacing="0"/>
        <w:rPr>
          <w:rFonts w:ascii="Arial" w:hAnsi="Arial" w:cs="Arial"/>
          <w:b/>
          <w:sz w:val="22"/>
          <w:szCs w:val="22"/>
        </w:rPr>
      </w:pPr>
      <w:r w:rsidRPr="00F16299">
        <w:rPr>
          <w:rFonts w:ascii="Arial" w:hAnsi="Arial" w:cs="Arial"/>
          <w:b/>
          <w:sz w:val="22"/>
          <w:szCs w:val="22"/>
        </w:rPr>
        <w:t xml:space="preserve">Revenue At-Risk </w:t>
      </w:r>
      <w:r w:rsidR="00587C75">
        <w:rPr>
          <w:rFonts w:ascii="Arial" w:hAnsi="Arial" w:cs="Arial"/>
          <w:b/>
          <w:sz w:val="22"/>
          <w:szCs w:val="22"/>
        </w:rPr>
        <w:t>for RY2016</w:t>
      </w:r>
    </w:p>
    <w:p w:rsidR="007B0A34" w:rsidRDefault="001469C4" w:rsidP="00D048B8">
      <w:pPr>
        <w:pStyle w:val="NormalWeb"/>
        <w:spacing w:before="0" w:beforeAutospacing="0" w:after="0" w:afterAutospacing="0"/>
        <w:ind w:left="720"/>
        <w:rPr>
          <w:rFonts w:ascii="Arial" w:hAnsi="Arial" w:cs="Arial"/>
          <w:sz w:val="22"/>
          <w:szCs w:val="22"/>
        </w:rPr>
      </w:pPr>
      <w:r>
        <w:rPr>
          <w:rFonts w:ascii="Arial" w:hAnsi="Arial" w:cs="Arial"/>
          <w:sz w:val="22"/>
          <w:szCs w:val="22"/>
        </w:rPr>
        <w:t>For RY 2016, which will be based on CY2014 performance period, the Commission voted for the following scaling parameters:</w:t>
      </w:r>
    </w:p>
    <w:p w:rsidR="007B0A34" w:rsidRPr="005163F8" w:rsidRDefault="00CB383C" w:rsidP="00D048B8">
      <w:pPr>
        <w:pStyle w:val="NormalWeb"/>
        <w:numPr>
          <w:ilvl w:val="0"/>
          <w:numId w:val="30"/>
        </w:numPr>
        <w:spacing w:before="0" w:beforeAutospacing="0" w:after="0" w:afterAutospacing="0"/>
        <w:ind w:left="1440"/>
        <w:rPr>
          <w:rFonts w:ascii="Arial" w:hAnsi="Arial" w:cs="Arial"/>
          <w:sz w:val="22"/>
          <w:szCs w:val="22"/>
        </w:rPr>
      </w:pPr>
      <w:r>
        <w:rPr>
          <w:rFonts w:ascii="Arial" w:hAnsi="Arial" w:cs="Arial"/>
          <w:sz w:val="22"/>
          <w:szCs w:val="22"/>
        </w:rPr>
        <w:t xml:space="preserve">If the 8% </w:t>
      </w:r>
      <w:r w:rsidR="007F3F87">
        <w:rPr>
          <w:rFonts w:ascii="Arial" w:hAnsi="Arial" w:cs="Arial"/>
          <w:sz w:val="22"/>
          <w:szCs w:val="22"/>
        </w:rPr>
        <w:t xml:space="preserve">MHAC </w:t>
      </w:r>
      <w:r w:rsidR="005421E2">
        <w:rPr>
          <w:rFonts w:ascii="Arial" w:hAnsi="Arial" w:cs="Arial"/>
          <w:sz w:val="22"/>
          <w:szCs w:val="22"/>
        </w:rPr>
        <w:t xml:space="preserve">reduction </w:t>
      </w:r>
      <w:r>
        <w:rPr>
          <w:rFonts w:ascii="Arial" w:hAnsi="Arial" w:cs="Arial"/>
          <w:sz w:val="22"/>
          <w:szCs w:val="22"/>
        </w:rPr>
        <w:t xml:space="preserve">minimum target is </w:t>
      </w:r>
      <w:r w:rsidR="0000478F">
        <w:rPr>
          <w:rFonts w:ascii="Arial" w:hAnsi="Arial" w:cs="Arial"/>
          <w:sz w:val="22"/>
          <w:szCs w:val="22"/>
        </w:rPr>
        <w:t>not met, the</w:t>
      </w:r>
      <w:r w:rsidR="007B0A34" w:rsidRPr="005163F8">
        <w:rPr>
          <w:rFonts w:ascii="Arial" w:hAnsi="Arial" w:cs="Arial"/>
          <w:sz w:val="22"/>
          <w:szCs w:val="22"/>
        </w:rPr>
        <w:t xml:space="preserve"> maximum revenue at risk </w:t>
      </w:r>
      <w:r w:rsidR="0000478F">
        <w:rPr>
          <w:rFonts w:ascii="Arial" w:hAnsi="Arial" w:cs="Arial"/>
          <w:sz w:val="22"/>
          <w:szCs w:val="22"/>
        </w:rPr>
        <w:t>will be</w:t>
      </w:r>
      <w:r w:rsidR="007B0A34" w:rsidRPr="005163F8">
        <w:rPr>
          <w:rFonts w:ascii="Arial" w:hAnsi="Arial" w:cs="Arial"/>
          <w:sz w:val="22"/>
          <w:szCs w:val="22"/>
        </w:rPr>
        <w:t xml:space="preserve"> 4% of permanent inpatient revenue.</w:t>
      </w:r>
    </w:p>
    <w:p w:rsidR="00587C75" w:rsidRPr="001E4F71" w:rsidRDefault="0000478F" w:rsidP="00D048B8">
      <w:pPr>
        <w:pStyle w:val="NormalWeb"/>
        <w:numPr>
          <w:ilvl w:val="0"/>
          <w:numId w:val="30"/>
        </w:numPr>
        <w:spacing w:before="0" w:beforeAutospacing="0" w:after="0" w:afterAutospacing="0"/>
        <w:ind w:left="1440"/>
        <w:rPr>
          <w:rFonts w:ascii="Arial" w:hAnsi="Arial" w:cs="Arial"/>
          <w:sz w:val="22"/>
          <w:szCs w:val="22"/>
        </w:rPr>
      </w:pPr>
      <w:r w:rsidRPr="001E4F71">
        <w:rPr>
          <w:rFonts w:ascii="Arial" w:hAnsi="Arial" w:cs="Arial"/>
          <w:sz w:val="22"/>
          <w:szCs w:val="22"/>
        </w:rPr>
        <w:t xml:space="preserve">If the 8% </w:t>
      </w:r>
      <w:r w:rsidR="007F3F87">
        <w:rPr>
          <w:rFonts w:ascii="Arial" w:hAnsi="Arial" w:cs="Arial"/>
          <w:sz w:val="22"/>
          <w:szCs w:val="22"/>
        </w:rPr>
        <w:t xml:space="preserve">MHAC </w:t>
      </w:r>
      <w:r w:rsidR="005421E2">
        <w:rPr>
          <w:rFonts w:ascii="Arial" w:hAnsi="Arial" w:cs="Arial"/>
          <w:sz w:val="22"/>
          <w:szCs w:val="22"/>
        </w:rPr>
        <w:t xml:space="preserve">reduction </w:t>
      </w:r>
      <w:r w:rsidRPr="001E4F71">
        <w:rPr>
          <w:rFonts w:ascii="Arial" w:hAnsi="Arial" w:cs="Arial"/>
          <w:sz w:val="22"/>
          <w:szCs w:val="22"/>
        </w:rPr>
        <w:t xml:space="preserve">minimum target is exceeded, the maximum revenue at risk will be 1% of permanent inpatient revenue and there will be </w:t>
      </w:r>
      <w:r w:rsidR="007B0A34" w:rsidRPr="001E4F71">
        <w:rPr>
          <w:rFonts w:ascii="Arial" w:hAnsi="Arial" w:cs="Arial"/>
          <w:sz w:val="22"/>
          <w:szCs w:val="22"/>
        </w:rPr>
        <w:t>rewards to hospitals with more than 0.60 score up to 1% of permanent inpatient revenue provided sufficient funds a</w:t>
      </w:r>
      <w:r w:rsidR="001E4F71">
        <w:rPr>
          <w:rFonts w:ascii="Arial" w:hAnsi="Arial" w:cs="Arial"/>
          <w:sz w:val="22"/>
          <w:szCs w:val="22"/>
        </w:rPr>
        <w:t>re collected through penalties.</w:t>
      </w:r>
    </w:p>
    <w:p w:rsidR="007B0A34" w:rsidRDefault="0000478F" w:rsidP="00D048B8">
      <w:pPr>
        <w:pStyle w:val="NormalWeb"/>
        <w:numPr>
          <w:ilvl w:val="0"/>
          <w:numId w:val="30"/>
        </w:numPr>
        <w:spacing w:before="0" w:beforeAutospacing="0" w:after="0" w:afterAutospacing="0"/>
        <w:ind w:left="1440"/>
        <w:rPr>
          <w:rFonts w:ascii="Arial" w:hAnsi="Arial" w:cs="Arial"/>
          <w:sz w:val="22"/>
          <w:szCs w:val="22"/>
        </w:rPr>
      </w:pPr>
      <w:r>
        <w:rPr>
          <w:rFonts w:ascii="Arial" w:hAnsi="Arial" w:cs="Arial"/>
          <w:sz w:val="22"/>
          <w:szCs w:val="22"/>
        </w:rPr>
        <w:t>There is a</w:t>
      </w:r>
      <w:r w:rsidR="007B0A34" w:rsidRPr="005163F8">
        <w:rPr>
          <w:rFonts w:ascii="Arial" w:hAnsi="Arial" w:cs="Arial"/>
          <w:sz w:val="22"/>
          <w:szCs w:val="22"/>
        </w:rPr>
        <w:t xml:space="preserve"> maximum state-wide total penalty limit at 0.5% of permanent inpatient revenue. </w:t>
      </w:r>
    </w:p>
    <w:p w:rsidR="007B0A34" w:rsidRPr="005163F8" w:rsidRDefault="007B0A34" w:rsidP="005163F8">
      <w:pPr>
        <w:pStyle w:val="NormalWeb"/>
        <w:spacing w:before="0" w:beforeAutospacing="0" w:after="0" w:afterAutospacing="0"/>
        <w:rPr>
          <w:rFonts w:ascii="Arial" w:hAnsi="Arial" w:cs="Arial"/>
          <w:sz w:val="22"/>
          <w:szCs w:val="22"/>
        </w:rPr>
      </w:pPr>
    </w:p>
    <w:p w:rsidR="00F16299" w:rsidRDefault="00F16299" w:rsidP="00F16299">
      <w:pPr>
        <w:pStyle w:val="NormalWeb"/>
        <w:spacing w:before="0" w:beforeAutospacing="0" w:after="0" w:afterAutospacing="0"/>
        <w:ind w:left="720"/>
        <w:rPr>
          <w:rFonts w:ascii="Arial" w:hAnsi="Arial" w:cs="Arial"/>
          <w:sz w:val="22"/>
          <w:szCs w:val="22"/>
        </w:rPr>
      </w:pPr>
      <w:r w:rsidRPr="0077057A">
        <w:rPr>
          <w:rFonts w:ascii="Arial" w:hAnsi="Arial" w:cs="Arial"/>
          <w:sz w:val="22"/>
          <w:szCs w:val="22"/>
        </w:rPr>
        <w:t xml:space="preserve">See </w:t>
      </w:r>
      <w:r>
        <w:rPr>
          <w:rFonts w:ascii="Arial" w:hAnsi="Arial" w:cs="Arial"/>
          <w:sz w:val="22"/>
          <w:szCs w:val="22"/>
        </w:rPr>
        <w:t>Appendix</w:t>
      </w:r>
      <w:r w:rsidRPr="0077057A">
        <w:rPr>
          <w:rFonts w:ascii="Arial" w:hAnsi="Arial" w:cs="Arial"/>
          <w:sz w:val="22"/>
          <w:szCs w:val="22"/>
        </w:rPr>
        <w:t xml:space="preserve"> </w:t>
      </w:r>
      <w:r w:rsidR="00D048B8">
        <w:rPr>
          <w:rFonts w:ascii="Arial" w:hAnsi="Arial" w:cs="Arial"/>
          <w:sz w:val="22"/>
          <w:szCs w:val="22"/>
        </w:rPr>
        <w:t>D</w:t>
      </w:r>
      <w:r w:rsidRPr="0077057A">
        <w:rPr>
          <w:rFonts w:ascii="Arial" w:hAnsi="Arial" w:cs="Arial"/>
          <w:sz w:val="22"/>
          <w:szCs w:val="22"/>
        </w:rPr>
        <w:t xml:space="preserve"> for the preset percent of revenue </w:t>
      </w:r>
      <w:r>
        <w:rPr>
          <w:rFonts w:ascii="Arial" w:hAnsi="Arial" w:cs="Arial"/>
          <w:sz w:val="22"/>
          <w:szCs w:val="22"/>
        </w:rPr>
        <w:t>at-risk for</w:t>
      </w:r>
      <w:r w:rsidRPr="0077057A">
        <w:rPr>
          <w:rFonts w:ascii="Arial" w:hAnsi="Arial" w:cs="Arial"/>
          <w:sz w:val="22"/>
          <w:szCs w:val="22"/>
        </w:rPr>
        <w:t xml:space="preserve"> penalties or rewards that will be assessed base</w:t>
      </w:r>
      <w:r>
        <w:rPr>
          <w:rFonts w:ascii="Arial" w:hAnsi="Arial" w:cs="Arial"/>
          <w:sz w:val="22"/>
          <w:szCs w:val="22"/>
        </w:rPr>
        <w:t>d upon whether or not the state</w:t>
      </w:r>
      <w:r w:rsidRPr="0077057A">
        <w:rPr>
          <w:rFonts w:ascii="Arial" w:hAnsi="Arial" w:cs="Arial"/>
          <w:sz w:val="22"/>
          <w:szCs w:val="22"/>
        </w:rPr>
        <w:t xml:space="preserve">wide </w:t>
      </w:r>
      <w:r>
        <w:rPr>
          <w:rFonts w:ascii="Arial" w:hAnsi="Arial" w:cs="Arial"/>
          <w:sz w:val="22"/>
          <w:szCs w:val="22"/>
        </w:rPr>
        <w:t xml:space="preserve">minimum </w:t>
      </w:r>
      <w:r w:rsidRPr="0077057A">
        <w:rPr>
          <w:rFonts w:ascii="Arial" w:hAnsi="Arial" w:cs="Arial"/>
          <w:sz w:val="22"/>
          <w:szCs w:val="22"/>
        </w:rPr>
        <w:t xml:space="preserve">MHAC performance target is met.  </w:t>
      </w:r>
    </w:p>
    <w:p w:rsidR="00CB383C" w:rsidRDefault="00CB383C" w:rsidP="00314397">
      <w:pPr>
        <w:spacing w:line="203" w:lineRule="exact"/>
        <w:ind w:right="420"/>
        <w:rPr>
          <w:rFonts w:ascii="Arial" w:hAnsi="Arial" w:cs="Arial"/>
          <w:b/>
          <w:sz w:val="22"/>
          <w:szCs w:val="22"/>
          <w:highlight w:val="yellow"/>
        </w:rPr>
      </w:pPr>
    </w:p>
    <w:p w:rsidR="00A801EB" w:rsidRDefault="00A801EB" w:rsidP="00314397">
      <w:pPr>
        <w:spacing w:line="203" w:lineRule="exact"/>
        <w:ind w:right="420"/>
        <w:rPr>
          <w:rFonts w:ascii="Arial" w:hAnsi="Arial" w:cs="Arial"/>
          <w:b/>
          <w:sz w:val="22"/>
          <w:szCs w:val="22"/>
          <w:highlight w:val="yellow"/>
        </w:rPr>
      </w:pPr>
    </w:p>
    <w:p w:rsidR="002160C6" w:rsidRDefault="002160C6" w:rsidP="00314397">
      <w:pPr>
        <w:spacing w:line="203" w:lineRule="exact"/>
        <w:ind w:right="420"/>
        <w:rPr>
          <w:rFonts w:ascii="Arial" w:hAnsi="Arial" w:cs="Arial"/>
          <w:b/>
          <w:sz w:val="22"/>
          <w:szCs w:val="22"/>
          <w:highlight w:val="yellow"/>
        </w:rPr>
      </w:pPr>
    </w:p>
    <w:p w:rsidR="002160C6" w:rsidRDefault="002160C6" w:rsidP="00314397">
      <w:pPr>
        <w:spacing w:line="203" w:lineRule="exact"/>
        <w:ind w:right="420"/>
        <w:rPr>
          <w:rFonts w:ascii="Arial" w:hAnsi="Arial" w:cs="Arial"/>
          <w:b/>
          <w:sz w:val="22"/>
          <w:szCs w:val="22"/>
          <w:highlight w:val="yellow"/>
        </w:rPr>
      </w:pPr>
    </w:p>
    <w:p w:rsidR="002160C6" w:rsidRDefault="002160C6" w:rsidP="00314397">
      <w:pPr>
        <w:spacing w:line="203" w:lineRule="exact"/>
        <w:ind w:right="420"/>
        <w:rPr>
          <w:rFonts w:ascii="Arial" w:hAnsi="Arial" w:cs="Arial"/>
          <w:b/>
          <w:sz w:val="22"/>
          <w:szCs w:val="22"/>
          <w:highlight w:val="yellow"/>
        </w:rPr>
      </w:pPr>
      <w:bookmarkStart w:id="0" w:name="_GoBack"/>
      <w:bookmarkEnd w:id="0"/>
    </w:p>
    <w:p w:rsidR="00D47CDA" w:rsidRPr="00533D7D" w:rsidRDefault="00D47CDA" w:rsidP="00314397">
      <w:pPr>
        <w:spacing w:line="203" w:lineRule="exact"/>
        <w:ind w:right="420"/>
        <w:rPr>
          <w:rFonts w:ascii="Arial" w:hAnsi="Arial" w:cs="Arial"/>
          <w:b/>
          <w:sz w:val="22"/>
          <w:szCs w:val="22"/>
        </w:rPr>
      </w:pPr>
    </w:p>
    <w:p w:rsidR="007B0A34" w:rsidRPr="005163F8" w:rsidRDefault="007B0A34" w:rsidP="001F2853">
      <w:pPr>
        <w:pStyle w:val="ListParagraph"/>
        <w:numPr>
          <w:ilvl w:val="0"/>
          <w:numId w:val="2"/>
        </w:numPr>
        <w:rPr>
          <w:rFonts w:ascii="Arial" w:hAnsi="Arial" w:cs="Arial"/>
          <w:b/>
        </w:rPr>
      </w:pPr>
      <w:r w:rsidRPr="005163F8">
        <w:rPr>
          <w:rFonts w:ascii="Arial" w:hAnsi="Arial" w:cs="Arial"/>
          <w:b/>
        </w:rPr>
        <w:t>MHAC Program Reporting and Calculation Sheet</w:t>
      </w:r>
    </w:p>
    <w:p w:rsidR="007B0A34" w:rsidRDefault="007B0A34" w:rsidP="005163F8">
      <w:pPr>
        <w:spacing w:after="120"/>
        <w:ind w:left="720"/>
        <w:rPr>
          <w:rFonts w:ascii="Arial" w:hAnsi="Arial" w:cs="Arial"/>
          <w:sz w:val="22"/>
          <w:szCs w:val="22"/>
        </w:rPr>
      </w:pPr>
    </w:p>
    <w:p w:rsidR="007B0A34" w:rsidRPr="005163F8" w:rsidRDefault="007B0A34" w:rsidP="005163F8">
      <w:pPr>
        <w:spacing w:after="120"/>
        <w:ind w:left="720"/>
        <w:rPr>
          <w:rFonts w:ascii="Arial" w:hAnsi="Arial" w:cs="Arial"/>
          <w:sz w:val="22"/>
          <w:szCs w:val="22"/>
        </w:rPr>
      </w:pPr>
      <w:r w:rsidRPr="005163F8">
        <w:rPr>
          <w:rFonts w:ascii="Arial" w:hAnsi="Arial" w:cs="Arial"/>
          <w:sz w:val="22"/>
          <w:szCs w:val="22"/>
        </w:rPr>
        <w:t xml:space="preserve">To support hospitals in monitoring their performance on the MHAC program during the CY2014 performance period, HSCRC will provide monthly </w:t>
      </w:r>
      <w:r w:rsidR="007344E0">
        <w:rPr>
          <w:rFonts w:ascii="Arial" w:hAnsi="Arial" w:cs="Arial"/>
          <w:sz w:val="22"/>
          <w:szCs w:val="22"/>
        </w:rPr>
        <w:t xml:space="preserve">preliminary reports </w:t>
      </w:r>
      <w:r w:rsidRPr="005163F8">
        <w:rPr>
          <w:rFonts w:ascii="Arial" w:hAnsi="Arial" w:cs="Arial"/>
          <w:sz w:val="22"/>
          <w:szCs w:val="22"/>
        </w:rPr>
        <w:t xml:space="preserve">and quarterly </w:t>
      </w:r>
      <w:r w:rsidR="007344E0">
        <w:rPr>
          <w:rFonts w:ascii="Arial" w:hAnsi="Arial" w:cs="Arial"/>
          <w:sz w:val="22"/>
          <w:szCs w:val="22"/>
        </w:rPr>
        <w:t xml:space="preserve">final </w:t>
      </w:r>
      <w:r w:rsidRPr="005163F8">
        <w:rPr>
          <w:rFonts w:ascii="Arial" w:hAnsi="Arial" w:cs="Arial"/>
          <w:sz w:val="22"/>
          <w:szCs w:val="22"/>
        </w:rPr>
        <w:t>reports indicating the hospital</w:t>
      </w:r>
      <w:r w:rsidR="005421E2">
        <w:rPr>
          <w:rFonts w:ascii="Arial" w:hAnsi="Arial" w:cs="Arial"/>
          <w:sz w:val="22"/>
          <w:szCs w:val="22"/>
        </w:rPr>
        <w:t>’</w:t>
      </w:r>
      <w:r w:rsidRPr="005163F8">
        <w:rPr>
          <w:rFonts w:ascii="Arial" w:hAnsi="Arial" w:cs="Arial"/>
          <w:sz w:val="22"/>
          <w:szCs w:val="22"/>
        </w:rPr>
        <w:t xml:space="preserve">s current score as of the most recent data.  Case level data will also be sent to hospitals monthly via </w:t>
      </w:r>
      <w:proofErr w:type="spellStart"/>
      <w:r w:rsidR="009C20CB" w:rsidRPr="00533D7D">
        <w:rPr>
          <w:rFonts w:ascii="Arial" w:hAnsi="Arial" w:cs="Arial"/>
          <w:sz w:val="22"/>
          <w:szCs w:val="22"/>
        </w:rPr>
        <w:t>RepliWeb</w:t>
      </w:r>
      <w:proofErr w:type="spellEnd"/>
      <w:r w:rsidR="005C6C0B">
        <w:rPr>
          <w:rFonts w:ascii="Arial" w:hAnsi="Arial" w:cs="Arial"/>
          <w:sz w:val="22"/>
          <w:szCs w:val="22"/>
        </w:rPr>
        <w:t>.  These reports will also include the state-wide improvement rate since the revenue at-risk will vary depending on whether the state-wide MHAC minimum improvement target is achieved.</w:t>
      </w:r>
    </w:p>
    <w:p w:rsidR="007B0A34" w:rsidRDefault="007B0A34" w:rsidP="005163F8">
      <w:pPr>
        <w:ind w:left="720"/>
        <w:rPr>
          <w:rFonts w:ascii="Arial" w:hAnsi="Arial" w:cs="Arial"/>
          <w:sz w:val="22"/>
          <w:szCs w:val="22"/>
        </w:rPr>
      </w:pPr>
    </w:p>
    <w:p w:rsidR="007B0A34" w:rsidRDefault="007B0A34" w:rsidP="005163F8">
      <w:pPr>
        <w:ind w:left="720"/>
        <w:rPr>
          <w:rFonts w:ascii="Arial" w:hAnsi="Arial" w:cs="Arial"/>
          <w:sz w:val="22"/>
          <w:szCs w:val="22"/>
        </w:rPr>
      </w:pPr>
      <w:r w:rsidRPr="005163F8">
        <w:rPr>
          <w:rFonts w:ascii="Arial" w:hAnsi="Arial" w:cs="Arial"/>
          <w:sz w:val="22"/>
          <w:szCs w:val="22"/>
        </w:rPr>
        <w:t>In addition, HSCRC staff have developed a calculation sheet</w:t>
      </w:r>
      <w:r w:rsidR="009C20CB" w:rsidRPr="00314397">
        <w:rPr>
          <w:rFonts w:ascii="Arial" w:hAnsi="Arial" w:cs="Arial"/>
          <w:sz w:val="22"/>
          <w:szCs w:val="22"/>
        </w:rPr>
        <w:t xml:space="preserve"> for hospitals</w:t>
      </w:r>
      <w:r w:rsidRPr="005163F8">
        <w:rPr>
          <w:rFonts w:ascii="Arial" w:hAnsi="Arial" w:cs="Arial"/>
          <w:sz w:val="22"/>
          <w:szCs w:val="22"/>
        </w:rPr>
        <w:t>.  The calculation sheet has embedded formulas that include the PPC</w:t>
      </w:r>
      <w:r w:rsidR="009C20CB" w:rsidRPr="00314397">
        <w:rPr>
          <w:rFonts w:ascii="Arial" w:hAnsi="Arial" w:cs="Arial"/>
          <w:sz w:val="22"/>
          <w:szCs w:val="22"/>
        </w:rPr>
        <w:t>-specific</w:t>
      </w:r>
      <w:r w:rsidRPr="005163F8">
        <w:rPr>
          <w:rFonts w:ascii="Arial" w:hAnsi="Arial" w:cs="Arial"/>
          <w:sz w:val="22"/>
          <w:szCs w:val="22"/>
        </w:rPr>
        <w:t xml:space="preserve"> thresholds and benchmarks so </w:t>
      </w:r>
      <w:r w:rsidR="009C20CB">
        <w:rPr>
          <w:rFonts w:ascii="Arial" w:hAnsi="Arial" w:cs="Arial"/>
          <w:sz w:val="22"/>
          <w:szCs w:val="22"/>
        </w:rPr>
        <w:t xml:space="preserve">that </w:t>
      </w:r>
      <w:r w:rsidRPr="005163F8">
        <w:rPr>
          <w:rFonts w:ascii="Arial" w:hAnsi="Arial" w:cs="Arial"/>
          <w:sz w:val="22"/>
          <w:szCs w:val="22"/>
        </w:rPr>
        <w:t xml:space="preserve">hospitals can insert </w:t>
      </w:r>
      <w:r w:rsidR="009C20CB">
        <w:rPr>
          <w:rFonts w:ascii="Arial" w:hAnsi="Arial" w:cs="Arial"/>
          <w:sz w:val="22"/>
          <w:szCs w:val="22"/>
        </w:rPr>
        <w:t xml:space="preserve">their own </w:t>
      </w:r>
      <w:r w:rsidR="009F57BF">
        <w:rPr>
          <w:rFonts w:ascii="Arial" w:hAnsi="Arial" w:cs="Arial"/>
          <w:sz w:val="22"/>
          <w:szCs w:val="22"/>
        </w:rPr>
        <w:t xml:space="preserve">at-risk, </w:t>
      </w:r>
      <w:r w:rsidRPr="005163F8">
        <w:rPr>
          <w:rFonts w:ascii="Arial" w:hAnsi="Arial" w:cs="Arial"/>
          <w:sz w:val="22"/>
          <w:szCs w:val="22"/>
        </w:rPr>
        <w:t>observed</w:t>
      </w:r>
      <w:r w:rsidR="009F57BF">
        <w:rPr>
          <w:rFonts w:ascii="Arial" w:hAnsi="Arial" w:cs="Arial"/>
          <w:sz w:val="22"/>
          <w:szCs w:val="22"/>
        </w:rPr>
        <w:t>,</w:t>
      </w:r>
      <w:r w:rsidRPr="005163F8">
        <w:rPr>
          <w:rFonts w:ascii="Arial" w:hAnsi="Arial" w:cs="Arial"/>
          <w:sz w:val="22"/>
          <w:szCs w:val="22"/>
        </w:rPr>
        <w:t xml:space="preserve"> </w:t>
      </w:r>
      <w:r w:rsidR="009C20CB">
        <w:rPr>
          <w:rFonts w:ascii="Arial" w:hAnsi="Arial" w:cs="Arial"/>
          <w:sz w:val="22"/>
          <w:szCs w:val="22"/>
        </w:rPr>
        <w:t xml:space="preserve">and expected values </w:t>
      </w:r>
      <w:r w:rsidRPr="005163F8">
        <w:rPr>
          <w:rFonts w:ascii="Arial" w:hAnsi="Arial" w:cs="Arial"/>
          <w:sz w:val="22"/>
          <w:szCs w:val="22"/>
        </w:rPr>
        <w:t xml:space="preserve">and obtain their scores on the measures.  </w:t>
      </w:r>
      <w:r w:rsidR="009C20CB">
        <w:rPr>
          <w:rFonts w:ascii="Arial" w:hAnsi="Arial" w:cs="Arial"/>
          <w:sz w:val="22"/>
          <w:szCs w:val="22"/>
        </w:rPr>
        <w:t>This can be helpful in monitoring performance or modeling different scenarios.</w:t>
      </w:r>
      <w:r w:rsidR="00ED32E4">
        <w:rPr>
          <w:rFonts w:ascii="Arial" w:hAnsi="Arial" w:cs="Arial"/>
          <w:sz w:val="22"/>
          <w:szCs w:val="22"/>
        </w:rPr>
        <w:t xml:space="preserve">  </w:t>
      </w:r>
    </w:p>
    <w:p w:rsidR="005C6C0B" w:rsidRDefault="005C6C0B" w:rsidP="005163F8">
      <w:pPr>
        <w:ind w:left="720"/>
        <w:rPr>
          <w:rFonts w:ascii="Arial" w:hAnsi="Arial" w:cs="Arial"/>
          <w:sz w:val="22"/>
          <w:szCs w:val="22"/>
        </w:rPr>
      </w:pPr>
    </w:p>
    <w:p w:rsidR="007B0A34" w:rsidRDefault="007B0A34" w:rsidP="005163F8">
      <w:pPr>
        <w:spacing w:after="120"/>
        <w:ind w:left="720"/>
        <w:rPr>
          <w:rFonts w:ascii="Arial" w:hAnsi="Arial" w:cs="Arial"/>
          <w:sz w:val="22"/>
          <w:szCs w:val="22"/>
        </w:rPr>
      </w:pPr>
    </w:p>
    <w:p w:rsidR="00587C75" w:rsidRDefault="00587C75" w:rsidP="001E4F71">
      <w:pPr>
        <w:pStyle w:val="NormalWeb"/>
        <w:numPr>
          <w:ilvl w:val="0"/>
          <w:numId w:val="2"/>
        </w:numPr>
        <w:spacing w:before="0" w:beforeAutospacing="0" w:after="0" w:afterAutospacing="0"/>
        <w:rPr>
          <w:rFonts w:ascii="Arial" w:hAnsi="Arial" w:cs="Arial"/>
          <w:b/>
          <w:sz w:val="22"/>
          <w:szCs w:val="22"/>
        </w:rPr>
      </w:pPr>
      <w:r>
        <w:rPr>
          <w:rFonts w:ascii="Arial" w:hAnsi="Arial" w:cs="Arial"/>
          <w:b/>
          <w:sz w:val="22"/>
          <w:szCs w:val="22"/>
        </w:rPr>
        <w:t xml:space="preserve">Measurement Periods for </w:t>
      </w:r>
      <w:r w:rsidR="001E4F71">
        <w:rPr>
          <w:rFonts w:ascii="Arial" w:hAnsi="Arial" w:cs="Arial"/>
          <w:b/>
          <w:sz w:val="22"/>
          <w:szCs w:val="22"/>
        </w:rPr>
        <w:t>R</w:t>
      </w:r>
      <w:r>
        <w:rPr>
          <w:rFonts w:ascii="Arial" w:hAnsi="Arial" w:cs="Arial"/>
          <w:b/>
          <w:sz w:val="22"/>
          <w:szCs w:val="22"/>
        </w:rPr>
        <w:t>Y2016 MHAC Program</w:t>
      </w:r>
    </w:p>
    <w:p w:rsidR="00587C75" w:rsidRDefault="00587C75" w:rsidP="00587C75">
      <w:pPr>
        <w:pStyle w:val="NormalWeb"/>
        <w:spacing w:before="0" w:beforeAutospacing="0" w:after="0" w:afterAutospacing="0"/>
        <w:ind w:left="720"/>
        <w:rPr>
          <w:rFonts w:ascii="Arial" w:hAnsi="Arial" w:cs="Arial"/>
          <w:sz w:val="22"/>
          <w:szCs w:val="22"/>
        </w:rPr>
      </w:pPr>
    </w:p>
    <w:p w:rsidR="00587C75" w:rsidRDefault="00587C75" w:rsidP="00587C75">
      <w:pPr>
        <w:pStyle w:val="NormalWeb"/>
        <w:spacing w:before="0" w:beforeAutospacing="0" w:after="0" w:afterAutospacing="0"/>
        <w:ind w:left="720"/>
        <w:rPr>
          <w:rFonts w:ascii="Arial" w:hAnsi="Arial" w:cs="Arial"/>
          <w:sz w:val="22"/>
          <w:szCs w:val="22"/>
        </w:rPr>
      </w:pPr>
      <w:r w:rsidRPr="00314397">
        <w:rPr>
          <w:rFonts w:ascii="Arial" w:hAnsi="Arial" w:cs="Arial"/>
          <w:sz w:val="22"/>
          <w:szCs w:val="22"/>
        </w:rPr>
        <w:t xml:space="preserve">For </w:t>
      </w:r>
      <w:r>
        <w:rPr>
          <w:rFonts w:ascii="Arial" w:hAnsi="Arial" w:cs="Arial"/>
          <w:sz w:val="22"/>
          <w:szCs w:val="22"/>
        </w:rPr>
        <w:t>RY</w:t>
      </w:r>
      <w:r w:rsidRPr="00314397">
        <w:rPr>
          <w:rFonts w:ascii="Arial" w:hAnsi="Arial" w:cs="Arial"/>
          <w:sz w:val="22"/>
          <w:szCs w:val="22"/>
        </w:rPr>
        <w:t xml:space="preserve">2016, the </w:t>
      </w:r>
      <w:r>
        <w:rPr>
          <w:rFonts w:ascii="Arial" w:hAnsi="Arial" w:cs="Arial"/>
          <w:sz w:val="22"/>
          <w:szCs w:val="22"/>
        </w:rPr>
        <w:t>base</w:t>
      </w:r>
      <w:r w:rsidRPr="00314397">
        <w:rPr>
          <w:rFonts w:ascii="Arial" w:hAnsi="Arial" w:cs="Arial"/>
          <w:sz w:val="22"/>
          <w:szCs w:val="22"/>
        </w:rPr>
        <w:t xml:space="preserve"> year will be CY2013 and the performance year will be CY2014.</w:t>
      </w:r>
      <w:r>
        <w:rPr>
          <w:rFonts w:ascii="Arial" w:hAnsi="Arial" w:cs="Arial"/>
          <w:sz w:val="22"/>
          <w:szCs w:val="22"/>
        </w:rPr>
        <w:t xml:space="preserve"> Next year, we will resume the regular </w:t>
      </w:r>
      <w:r w:rsidR="001E4F71">
        <w:rPr>
          <w:rFonts w:ascii="Arial" w:hAnsi="Arial" w:cs="Arial"/>
          <w:sz w:val="22"/>
          <w:szCs w:val="22"/>
        </w:rPr>
        <w:t xml:space="preserve">base </w:t>
      </w:r>
      <w:r>
        <w:rPr>
          <w:rFonts w:ascii="Arial" w:hAnsi="Arial" w:cs="Arial"/>
          <w:sz w:val="22"/>
          <w:szCs w:val="22"/>
        </w:rPr>
        <w:t>periods where the base year will be FY2014 and measurement year will be CY20</w:t>
      </w:r>
      <w:r w:rsidR="001E4F71">
        <w:rPr>
          <w:rFonts w:ascii="Arial" w:hAnsi="Arial" w:cs="Arial"/>
          <w:sz w:val="22"/>
          <w:szCs w:val="22"/>
        </w:rPr>
        <w:t>15 for RY</w:t>
      </w:r>
      <w:r>
        <w:rPr>
          <w:rFonts w:ascii="Arial" w:hAnsi="Arial" w:cs="Arial"/>
          <w:sz w:val="22"/>
          <w:szCs w:val="22"/>
        </w:rPr>
        <w:t>2017.</w:t>
      </w:r>
    </w:p>
    <w:p w:rsidR="007B0A34" w:rsidRDefault="007B0A34" w:rsidP="005163F8">
      <w:pPr>
        <w:spacing w:after="120"/>
        <w:ind w:left="720"/>
        <w:rPr>
          <w:rFonts w:ascii="Arial" w:hAnsi="Arial" w:cs="Arial"/>
          <w:sz w:val="22"/>
          <w:szCs w:val="22"/>
        </w:rPr>
      </w:pPr>
    </w:p>
    <w:p w:rsidR="005C6C0B" w:rsidRPr="005163F8" w:rsidRDefault="005C6C0B" w:rsidP="005163F8">
      <w:pPr>
        <w:spacing w:after="120"/>
        <w:ind w:left="720"/>
        <w:rPr>
          <w:rFonts w:ascii="Arial" w:hAnsi="Arial" w:cs="Arial"/>
          <w:sz w:val="22"/>
          <w:szCs w:val="22"/>
        </w:rPr>
      </w:pPr>
    </w:p>
    <w:p w:rsidR="007B0A34" w:rsidRPr="005163F8" w:rsidRDefault="007B0A34" w:rsidP="001F2853">
      <w:pPr>
        <w:pStyle w:val="ListParagraph"/>
        <w:numPr>
          <w:ilvl w:val="0"/>
          <w:numId w:val="2"/>
        </w:numPr>
        <w:rPr>
          <w:rFonts w:ascii="Arial" w:eastAsia="Calibri" w:hAnsi="Arial" w:cs="Arial"/>
          <w:b/>
        </w:rPr>
      </w:pPr>
      <w:r w:rsidRPr="005163F8">
        <w:rPr>
          <w:rFonts w:ascii="Arial" w:eastAsia="Calibri" w:hAnsi="Arial" w:cs="Arial"/>
          <w:b/>
        </w:rPr>
        <w:t>Version</w:t>
      </w:r>
    </w:p>
    <w:p w:rsidR="007B0A34" w:rsidRDefault="007344E0" w:rsidP="005163F8">
      <w:pPr>
        <w:ind w:firstLine="720"/>
        <w:rPr>
          <w:rFonts w:ascii="Arial" w:hAnsi="Arial" w:cs="Arial"/>
          <w:bCs/>
          <w:sz w:val="22"/>
          <w:szCs w:val="22"/>
        </w:rPr>
      </w:pPr>
      <w:r w:rsidRPr="009B31ED">
        <w:rPr>
          <w:rFonts w:ascii="Arial" w:hAnsi="Arial" w:cs="Arial"/>
          <w:bCs/>
          <w:sz w:val="22"/>
          <w:szCs w:val="22"/>
        </w:rPr>
        <w:t>PPC and APR version 3</w:t>
      </w:r>
      <w:r>
        <w:rPr>
          <w:rFonts w:ascii="Arial" w:hAnsi="Arial" w:cs="Arial"/>
          <w:bCs/>
          <w:sz w:val="22"/>
          <w:szCs w:val="22"/>
        </w:rPr>
        <w:t xml:space="preserve">1 will be used for </w:t>
      </w:r>
      <w:r w:rsidR="00587C75">
        <w:rPr>
          <w:rFonts w:ascii="Arial" w:hAnsi="Arial" w:cs="Arial"/>
          <w:bCs/>
          <w:sz w:val="22"/>
          <w:szCs w:val="22"/>
        </w:rPr>
        <w:t>RY</w:t>
      </w:r>
      <w:r w:rsidRPr="009B31ED">
        <w:rPr>
          <w:rFonts w:ascii="Arial" w:hAnsi="Arial" w:cs="Arial"/>
          <w:bCs/>
          <w:sz w:val="22"/>
          <w:szCs w:val="22"/>
        </w:rPr>
        <w:t>201</w:t>
      </w:r>
      <w:r>
        <w:rPr>
          <w:rFonts w:ascii="Arial" w:hAnsi="Arial" w:cs="Arial"/>
          <w:bCs/>
          <w:sz w:val="22"/>
          <w:szCs w:val="22"/>
        </w:rPr>
        <w:t>6</w:t>
      </w:r>
      <w:r w:rsidRPr="009B31ED">
        <w:rPr>
          <w:rFonts w:ascii="Arial" w:hAnsi="Arial" w:cs="Arial"/>
          <w:bCs/>
          <w:sz w:val="22"/>
          <w:szCs w:val="22"/>
        </w:rPr>
        <w:t xml:space="preserve"> program. </w:t>
      </w:r>
    </w:p>
    <w:p w:rsidR="007B0A34" w:rsidRPr="005163F8" w:rsidRDefault="007B0A34" w:rsidP="005163F8">
      <w:pPr>
        <w:spacing w:after="120"/>
        <w:ind w:left="720"/>
        <w:rPr>
          <w:rFonts w:ascii="Arial" w:hAnsi="Arial" w:cs="Arial"/>
          <w:sz w:val="22"/>
          <w:szCs w:val="22"/>
        </w:rPr>
      </w:pPr>
    </w:p>
    <w:p w:rsidR="007B0A34" w:rsidRDefault="007B0A34" w:rsidP="005163F8">
      <w:pPr>
        <w:spacing w:after="120"/>
        <w:rPr>
          <w:rFonts w:ascii="Arial" w:hAnsi="Arial" w:cs="Arial"/>
          <w:sz w:val="22"/>
          <w:szCs w:val="22"/>
        </w:rPr>
      </w:pPr>
    </w:p>
    <w:p w:rsidR="007B0A34" w:rsidRPr="005163F8" w:rsidRDefault="007B0A34" w:rsidP="005163F8">
      <w:pPr>
        <w:spacing w:after="120"/>
        <w:rPr>
          <w:rFonts w:ascii="Arial" w:hAnsi="Arial" w:cs="Arial"/>
          <w:sz w:val="22"/>
          <w:szCs w:val="22"/>
        </w:rPr>
      </w:pPr>
      <w:r w:rsidRPr="005163F8">
        <w:rPr>
          <w:rFonts w:ascii="Arial" w:hAnsi="Arial" w:cs="Arial"/>
          <w:sz w:val="22"/>
          <w:szCs w:val="22"/>
        </w:rPr>
        <w:t>HSCRC staff appreciates the Maryland Hospital Association, hospital, payer and other stakeholder collaboration in d</w:t>
      </w:r>
      <w:r w:rsidR="008E50BA">
        <w:rPr>
          <w:rFonts w:ascii="Arial" w:hAnsi="Arial" w:cs="Arial"/>
          <w:sz w:val="22"/>
          <w:szCs w:val="22"/>
        </w:rPr>
        <w:t>eveloping and implementing this policy</w:t>
      </w:r>
      <w:r w:rsidRPr="005163F8">
        <w:rPr>
          <w:rFonts w:ascii="Arial" w:hAnsi="Arial" w:cs="Arial"/>
          <w:sz w:val="22"/>
          <w:szCs w:val="22"/>
        </w:rPr>
        <w:t xml:space="preserve">.  </w:t>
      </w:r>
    </w:p>
    <w:p w:rsidR="007B0A34" w:rsidRPr="005163F8" w:rsidRDefault="007B0A34" w:rsidP="005163F8">
      <w:pPr>
        <w:spacing w:after="120"/>
        <w:rPr>
          <w:rFonts w:ascii="Arial" w:hAnsi="Arial" w:cs="Arial"/>
          <w:sz w:val="22"/>
          <w:szCs w:val="22"/>
        </w:rPr>
      </w:pPr>
    </w:p>
    <w:p w:rsidR="00D048B8" w:rsidRPr="00D95FDB" w:rsidRDefault="00BF78E9" w:rsidP="00D048B8">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Pr>
          <w:b w:val="0"/>
          <w:color w:val="auto"/>
          <w:sz w:val="22"/>
          <w:szCs w:val="22"/>
        </w:rPr>
        <w:t>HSCRC will host a webinar on Thursday, May 1, 2014 from 2pm to 3:30pm</w:t>
      </w:r>
      <w:r w:rsidR="003B61D6">
        <w:rPr>
          <w:b w:val="0"/>
          <w:color w:val="auto"/>
          <w:sz w:val="22"/>
          <w:szCs w:val="22"/>
        </w:rPr>
        <w:t xml:space="preserve"> to review the information in this memo and attachments</w:t>
      </w:r>
      <w:r>
        <w:rPr>
          <w:b w:val="0"/>
          <w:color w:val="auto"/>
          <w:sz w:val="22"/>
          <w:szCs w:val="22"/>
        </w:rPr>
        <w:t>.</w:t>
      </w:r>
      <w:r w:rsidR="000255E7">
        <w:rPr>
          <w:b w:val="0"/>
          <w:color w:val="auto"/>
          <w:sz w:val="22"/>
          <w:szCs w:val="22"/>
        </w:rPr>
        <w:t xml:space="preserve">  A registration link will be posted to the HSCRC website and emailed out shortly.</w:t>
      </w:r>
      <w:r>
        <w:rPr>
          <w:b w:val="0"/>
          <w:color w:val="auto"/>
          <w:sz w:val="22"/>
          <w:szCs w:val="22"/>
        </w:rPr>
        <w:t xml:space="preserve">  </w:t>
      </w:r>
      <w:r w:rsidR="00D048B8" w:rsidRPr="00D95FDB">
        <w:rPr>
          <w:b w:val="0"/>
          <w:color w:val="auto"/>
          <w:sz w:val="22"/>
          <w:szCs w:val="22"/>
        </w:rPr>
        <w:t>If you have any questions, please</w:t>
      </w:r>
      <w:r w:rsidR="003B61D6">
        <w:rPr>
          <w:b w:val="0"/>
          <w:color w:val="auto"/>
          <w:sz w:val="22"/>
          <w:szCs w:val="22"/>
        </w:rPr>
        <w:t xml:space="preserve"> feel free to send them in advance via </w:t>
      </w:r>
      <w:r w:rsidR="00D048B8" w:rsidRPr="00D95FDB">
        <w:rPr>
          <w:b w:val="0"/>
          <w:color w:val="auto"/>
          <w:sz w:val="22"/>
          <w:szCs w:val="22"/>
        </w:rPr>
        <w:t>email</w:t>
      </w:r>
      <w:r w:rsidR="003B61D6">
        <w:rPr>
          <w:b w:val="0"/>
          <w:color w:val="auto"/>
          <w:sz w:val="22"/>
          <w:szCs w:val="22"/>
        </w:rPr>
        <w:t xml:space="preserve"> to</w:t>
      </w:r>
      <w:r w:rsidR="00D048B8" w:rsidRPr="00D95FDB">
        <w:rPr>
          <w:b w:val="0"/>
          <w:color w:val="auto"/>
          <w:sz w:val="22"/>
          <w:szCs w:val="22"/>
        </w:rPr>
        <w:t xml:space="preserve"> </w:t>
      </w:r>
      <w:r w:rsidR="00D048B8">
        <w:rPr>
          <w:b w:val="0"/>
          <w:color w:val="auto"/>
          <w:sz w:val="22"/>
          <w:szCs w:val="22"/>
        </w:rPr>
        <w:t>Alyson Schuster</w:t>
      </w:r>
      <w:r w:rsidR="00D048B8" w:rsidRPr="00D95FDB">
        <w:rPr>
          <w:b w:val="0"/>
          <w:color w:val="auto"/>
          <w:sz w:val="22"/>
          <w:szCs w:val="22"/>
        </w:rPr>
        <w:t xml:space="preserve"> at </w:t>
      </w:r>
      <w:hyperlink r:id="rId14" w:history="1">
        <w:r w:rsidR="00D048B8" w:rsidRPr="00355500">
          <w:rPr>
            <w:rStyle w:val="Hyperlink"/>
            <w:b w:val="0"/>
            <w:sz w:val="22"/>
            <w:szCs w:val="22"/>
          </w:rPr>
          <w:t>alyson.schuster@maryland.gov</w:t>
        </w:r>
      </w:hyperlink>
      <w:r w:rsidR="00D048B8" w:rsidRPr="00D95FDB">
        <w:rPr>
          <w:b w:val="0"/>
          <w:color w:val="auto"/>
          <w:sz w:val="22"/>
          <w:szCs w:val="22"/>
        </w:rPr>
        <w:t xml:space="preserve"> or </w:t>
      </w:r>
      <w:r w:rsidR="003B61D6">
        <w:rPr>
          <w:b w:val="0"/>
          <w:color w:val="auto"/>
          <w:sz w:val="22"/>
          <w:szCs w:val="22"/>
        </w:rPr>
        <w:t>telephone at</w:t>
      </w:r>
      <w:r w:rsidR="00D048B8" w:rsidRPr="00D95FDB">
        <w:rPr>
          <w:b w:val="0"/>
          <w:color w:val="auto"/>
          <w:sz w:val="22"/>
          <w:szCs w:val="22"/>
        </w:rPr>
        <w:t xml:space="preserve"> 410-764-2</w:t>
      </w:r>
      <w:r w:rsidR="00D048B8">
        <w:rPr>
          <w:b w:val="0"/>
          <w:color w:val="auto"/>
          <w:sz w:val="22"/>
          <w:szCs w:val="22"/>
        </w:rPr>
        <w:t>673</w:t>
      </w:r>
      <w:r w:rsidR="00D048B8" w:rsidRPr="00D95FDB">
        <w:rPr>
          <w:b w:val="0"/>
          <w:color w:val="auto"/>
          <w:sz w:val="22"/>
          <w:szCs w:val="22"/>
        </w:rPr>
        <w:t>.</w:t>
      </w:r>
    </w:p>
    <w:p w:rsidR="001F2853" w:rsidRDefault="001F2853">
      <w:pPr>
        <w:widowControl/>
        <w:autoSpaceDE/>
        <w:autoSpaceDN/>
        <w:adjustRightInd/>
        <w:rPr>
          <w:rFonts w:ascii="Arial" w:hAnsi="Arial" w:cs="Arial"/>
          <w:sz w:val="22"/>
          <w:szCs w:val="22"/>
        </w:rPr>
      </w:pPr>
      <w:r>
        <w:rPr>
          <w:rFonts w:ascii="Arial" w:hAnsi="Arial" w:cs="Arial"/>
          <w:sz w:val="22"/>
          <w:szCs w:val="22"/>
        </w:rPr>
        <w:br w:type="page"/>
      </w:r>
    </w:p>
    <w:p w:rsidR="002342D7" w:rsidRDefault="002342D7">
      <w:pPr>
        <w:widowControl/>
        <w:autoSpaceDE/>
        <w:autoSpaceDN/>
        <w:adjustRightInd/>
        <w:rPr>
          <w:rFonts w:ascii="Arial" w:hAnsi="Arial" w:cs="Arial"/>
          <w:sz w:val="22"/>
          <w:szCs w:val="22"/>
        </w:rPr>
      </w:pPr>
    </w:p>
    <w:p w:rsidR="00DE0613" w:rsidRPr="00E851EE" w:rsidRDefault="00DE0613" w:rsidP="00DE0613">
      <w:pPr>
        <w:pStyle w:val="Heading4"/>
        <w:rPr>
          <w:rFonts w:ascii="Times New Roman" w:hAnsi="Times New Roman" w:cs="Times New Roman"/>
          <w:sz w:val="22"/>
          <w:szCs w:val="22"/>
        </w:rPr>
      </w:pPr>
      <w:r>
        <w:rPr>
          <w:rFonts w:ascii="Times New Roman" w:hAnsi="Times New Roman" w:cs="Times New Roman"/>
          <w:sz w:val="22"/>
          <w:szCs w:val="22"/>
        </w:rPr>
        <w:t xml:space="preserve">Appendix A: </w:t>
      </w:r>
      <w:r w:rsidRPr="00E851EE">
        <w:rPr>
          <w:rFonts w:ascii="Times New Roman" w:hAnsi="Times New Roman" w:cs="Times New Roman"/>
          <w:sz w:val="22"/>
          <w:szCs w:val="22"/>
        </w:rPr>
        <w:t>Expected Values</w:t>
      </w:r>
    </w:p>
    <w:p w:rsidR="00DE0613" w:rsidRDefault="00DE0613" w:rsidP="00DE0613">
      <w:pPr>
        <w:rPr>
          <w:sz w:val="22"/>
          <w:szCs w:val="22"/>
        </w:rPr>
      </w:pPr>
    </w:p>
    <w:p w:rsidR="00DE0613" w:rsidRDefault="00DE0613" w:rsidP="00DE0613">
      <w:pPr>
        <w:pStyle w:val="BodyText2"/>
      </w:pPr>
      <w:r>
        <w:t xml:space="preserve">The expected value of PPCs is the number of PPCs a hospital, given its mix of patients as defined by APR DRG category and severity of illness level, would have experienced had its rate of PPCs been identical to that experienced by a reference or normative set of hospitals. </w:t>
      </w:r>
    </w:p>
    <w:p w:rsidR="00DE0613" w:rsidRDefault="00DE0613" w:rsidP="00DE0613">
      <w:pPr>
        <w:tabs>
          <w:tab w:val="left" w:pos="2430"/>
        </w:tabs>
        <w:rPr>
          <w:sz w:val="22"/>
          <w:szCs w:val="22"/>
        </w:rPr>
      </w:pPr>
    </w:p>
    <w:p w:rsidR="00DE0613" w:rsidRDefault="00DE0613" w:rsidP="00DE0613">
      <w:pPr>
        <w:pStyle w:val="BodyText"/>
        <w:rPr>
          <w:rFonts w:ascii="Times New Roman" w:hAnsi="Times New Roman" w:cs="Times New Roman"/>
          <w:dstrike/>
          <w:sz w:val="22"/>
          <w:szCs w:val="22"/>
        </w:rPr>
      </w:pPr>
      <w:r>
        <w:rPr>
          <w:rFonts w:ascii="Times New Roman" w:hAnsi="Times New Roman" w:cs="Times New Roman"/>
          <w:sz w:val="22"/>
          <w:szCs w:val="22"/>
        </w:rPr>
        <w:t xml:space="preserve">The technique by which the expected value or expected number of PPCs is calculated is called indirect standardization. For illustrative purposes, assume that every discharge can meet the criteria for having a PPC, a condition called being “at risk” for a PPC. All discharges will either have no PPCs or will have one and possibly more PPCs. For this exercise, therefore, each discharge either has a PPC or does not have a PPC. The PPC rate is proportion or percent of admissions which have at least one PPC. </w:t>
      </w:r>
    </w:p>
    <w:p w:rsidR="00DE0613" w:rsidRDefault="00DE0613" w:rsidP="00DE0613">
      <w:pPr>
        <w:tabs>
          <w:tab w:val="left" w:pos="2430"/>
        </w:tabs>
        <w:rPr>
          <w:sz w:val="22"/>
          <w:szCs w:val="22"/>
        </w:rPr>
      </w:pPr>
    </w:p>
    <w:p w:rsidR="00DE0613" w:rsidRDefault="00DE0613" w:rsidP="00DE0613">
      <w:pPr>
        <w:tabs>
          <w:tab w:val="left" w:pos="2430"/>
        </w:tabs>
        <w:rPr>
          <w:sz w:val="22"/>
          <w:szCs w:val="22"/>
        </w:rPr>
      </w:pPr>
      <w:r>
        <w:rPr>
          <w:sz w:val="22"/>
          <w:szCs w:val="22"/>
        </w:rPr>
        <w:t>The rates of PPCs in the normative database are calculated for each APR DRG category and its severity of illness levels by dividing the observed number of PPCs by the total number of admissions. The PPC norm for a single APR DRG severity of illness level is calculated as follows:</w:t>
      </w:r>
    </w:p>
    <w:p w:rsidR="00DE0613" w:rsidRDefault="00DE0613" w:rsidP="00DE0613">
      <w:pPr>
        <w:tabs>
          <w:tab w:val="left" w:pos="2430"/>
        </w:tabs>
        <w:rPr>
          <w:sz w:val="22"/>
          <w:szCs w:val="22"/>
        </w:rPr>
      </w:pPr>
    </w:p>
    <w:p w:rsidR="00DE0613" w:rsidRDefault="00DE0613" w:rsidP="00DE0613">
      <w:pPr>
        <w:tabs>
          <w:tab w:val="left" w:pos="2430"/>
        </w:tabs>
        <w:ind w:left="720"/>
        <w:rPr>
          <w:sz w:val="22"/>
          <w:szCs w:val="22"/>
        </w:rPr>
      </w:pPr>
      <w:r>
        <w:rPr>
          <w:sz w:val="22"/>
          <w:szCs w:val="22"/>
        </w:rPr>
        <w:t>Let:</w:t>
      </w:r>
    </w:p>
    <w:p w:rsidR="00DE0613" w:rsidRDefault="00DE0613" w:rsidP="00DE0613">
      <w:pPr>
        <w:tabs>
          <w:tab w:val="left" w:pos="2430"/>
        </w:tabs>
        <w:ind w:left="720"/>
        <w:rPr>
          <w:sz w:val="22"/>
          <w:szCs w:val="22"/>
        </w:rPr>
      </w:pPr>
    </w:p>
    <w:p w:rsidR="00DE0613" w:rsidRDefault="00DE0613" w:rsidP="00DE0613">
      <w:pPr>
        <w:tabs>
          <w:tab w:val="left" w:pos="2430"/>
        </w:tabs>
        <w:ind w:left="720"/>
        <w:rPr>
          <w:sz w:val="22"/>
          <w:szCs w:val="22"/>
        </w:rPr>
      </w:pPr>
      <w:r>
        <w:rPr>
          <w:sz w:val="22"/>
          <w:szCs w:val="22"/>
        </w:rPr>
        <w:t>N = norm</w:t>
      </w:r>
    </w:p>
    <w:p w:rsidR="00DE0613" w:rsidRDefault="00DE0613" w:rsidP="00DE0613">
      <w:pPr>
        <w:tabs>
          <w:tab w:val="left" w:pos="2430"/>
        </w:tabs>
        <w:ind w:left="720"/>
        <w:rPr>
          <w:sz w:val="22"/>
          <w:szCs w:val="22"/>
        </w:rPr>
      </w:pPr>
      <w:r>
        <w:rPr>
          <w:sz w:val="22"/>
          <w:szCs w:val="22"/>
        </w:rPr>
        <w:t>P = Number of discharges with one or more PPCs</w:t>
      </w:r>
    </w:p>
    <w:p w:rsidR="00DE0613" w:rsidRDefault="00DE0613" w:rsidP="00DE0613">
      <w:pPr>
        <w:tabs>
          <w:tab w:val="left" w:pos="2430"/>
        </w:tabs>
        <w:ind w:left="720"/>
        <w:rPr>
          <w:sz w:val="22"/>
          <w:szCs w:val="22"/>
        </w:rPr>
      </w:pPr>
      <w:r>
        <w:rPr>
          <w:sz w:val="22"/>
          <w:szCs w:val="22"/>
        </w:rPr>
        <w:t xml:space="preserve">D = Number of discharges that can potentially have a PPC </w:t>
      </w:r>
    </w:p>
    <w:p w:rsidR="00DE0613" w:rsidRDefault="00DE0613" w:rsidP="00DE0613">
      <w:pPr>
        <w:tabs>
          <w:tab w:val="left" w:pos="2430"/>
        </w:tabs>
        <w:ind w:left="720"/>
        <w:rPr>
          <w:sz w:val="22"/>
          <w:szCs w:val="22"/>
        </w:rPr>
      </w:pPr>
      <w:proofErr w:type="spellStart"/>
      <w:r>
        <w:rPr>
          <w:sz w:val="22"/>
          <w:szCs w:val="22"/>
        </w:rPr>
        <w:t>i</w:t>
      </w:r>
      <w:proofErr w:type="spellEnd"/>
      <w:r>
        <w:rPr>
          <w:sz w:val="22"/>
          <w:szCs w:val="22"/>
        </w:rPr>
        <w:t xml:space="preserve"> = An APR DRG category and a single severity of illness level </w:t>
      </w:r>
    </w:p>
    <w:p w:rsidR="00DE0613" w:rsidRDefault="00DE0613" w:rsidP="00DE0613">
      <w:pPr>
        <w:tabs>
          <w:tab w:val="left" w:pos="2430"/>
        </w:tabs>
        <w:ind w:left="720"/>
        <w:rPr>
          <w:rFonts w:ascii="Arial" w:hAnsi="Arial" w:cs="Arial"/>
        </w:rPr>
      </w:pPr>
    </w:p>
    <w:p w:rsidR="00DE0613" w:rsidRDefault="00DE0613" w:rsidP="00DE0613">
      <w:pPr>
        <w:tabs>
          <w:tab w:val="left" w:pos="2430"/>
        </w:tabs>
        <w:ind w:left="720"/>
        <w:rPr>
          <w:rFonts w:ascii="Arial" w:hAnsi="Arial" w:cs="Arial"/>
        </w:rPr>
      </w:pPr>
      <w:r w:rsidRPr="001A5794">
        <w:rPr>
          <w:rFonts w:ascii="Arial" w:hAnsi="Arial" w:cs="Arial"/>
          <w:position w:val="-22"/>
        </w:rPr>
        <w:object w:dxaOrig="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36.4pt" o:ole="">
            <v:imagedata r:id="rId15" o:title=""/>
          </v:shape>
          <o:OLEObject Type="Embed" ProgID="Equation.3" ShapeID="_x0000_i1025" DrawAspect="Content" ObjectID="_1459602341" r:id="rId16"/>
        </w:object>
      </w:r>
    </w:p>
    <w:p w:rsidR="00DE0613" w:rsidRDefault="00DE0613" w:rsidP="00DE0613">
      <w:pPr>
        <w:tabs>
          <w:tab w:val="left" w:pos="2430"/>
        </w:tabs>
        <w:ind w:left="720"/>
        <w:rPr>
          <w:rFonts w:ascii="Arial" w:hAnsi="Arial" w:cs="Arial"/>
        </w:rPr>
      </w:pPr>
    </w:p>
    <w:p w:rsidR="00DE0613" w:rsidRDefault="00DE0613" w:rsidP="00DE0613">
      <w:pPr>
        <w:tabs>
          <w:tab w:val="left" w:pos="2430"/>
        </w:tabs>
        <w:rPr>
          <w:sz w:val="22"/>
          <w:szCs w:val="22"/>
        </w:rPr>
      </w:pPr>
      <w:r>
        <w:rPr>
          <w:sz w:val="22"/>
          <w:szCs w:val="22"/>
        </w:rPr>
        <w:t>For this example, this number is displayed as PPCs per discharge to facilitate the calculations in the example. Most reports will display this number as a rate per one thousand.</w:t>
      </w:r>
    </w:p>
    <w:p w:rsidR="00DE0613" w:rsidRDefault="00DE0613" w:rsidP="00DE0613">
      <w:pPr>
        <w:tabs>
          <w:tab w:val="left" w:pos="2430"/>
        </w:tabs>
        <w:rPr>
          <w:sz w:val="22"/>
          <w:szCs w:val="22"/>
        </w:rPr>
      </w:pPr>
    </w:p>
    <w:p w:rsidR="00DE0613" w:rsidRDefault="00DE0613" w:rsidP="00DE0613">
      <w:pPr>
        <w:tabs>
          <w:tab w:val="left" w:pos="2430"/>
        </w:tabs>
        <w:rPr>
          <w:sz w:val="22"/>
          <w:szCs w:val="22"/>
        </w:rPr>
      </w:pPr>
      <w:r>
        <w:rPr>
          <w:sz w:val="22"/>
          <w:szCs w:val="22"/>
        </w:rPr>
        <w:t>Once a set of norms has been calculated, they can be applied to each hospital. For this example, the computation is for an individual APR DRG category and its severity of illness levels. This computation could be expanded to include</w:t>
      </w:r>
      <w:r>
        <w:rPr>
          <w:rFonts w:ascii="Arial" w:hAnsi="Arial" w:cs="Arial"/>
        </w:rPr>
        <w:t xml:space="preserve"> </w:t>
      </w:r>
      <w:r>
        <w:rPr>
          <w:sz w:val="22"/>
          <w:szCs w:val="22"/>
        </w:rPr>
        <w:t xml:space="preserve">multiple APR DRG categories or any other subset of data, by simply expanding the summations. </w:t>
      </w:r>
    </w:p>
    <w:p w:rsidR="00DE0613" w:rsidRDefault="00DE0613" w:rsidP="00DE0613">
      <w:pPr>
        <w:tabs>
          <w:tab w:val="left" w:pos="2430"/>
        </w:tabs>
        <w:rPr>
          <w:sz w:val="22"/>
          <w:szCs w:val="22"/>
        </w:rPr>
      </w:pPr>
    </w:p>
    <w:p w:rsidR="00DE0613" w:rsidRDefault="00DE0613" w:rsidP="00DE0613">
      <w:pPr>
        <w:tabs>
          <w:tab w:val="left" w:pos="2430"/>
        </w:tabs>
        <w:rPr>
          <w:sz w:val="22"/>
          <w:szCs w:val="22"/>
        </w:rPr>
      </w:pPr>
      <w:r>
        <w:rPr>
          <w:sz w:val="22"/>
          <w:szCs w:val="22"/>
        </w:rPr>
        <w:t>Consider the following example for an individual APR DRG category.</w:t>
      </w:r>
    </w:p>
    <w:p w:rsidR="00DE0613" w:rsidRDefault="00DE0613" w:rsidP="00DE0613">
      <w:pPr>
        <w:tabs>
          <w:tab w:val="left" w:pos="2430"/>
        </w:tabs>
        <w:rPr>
          <w:sz w:val="22"/>
          <w:szCs w:val="22"/>
        </w:rPr>
      </w:pPr>
    </w:p>
    <w:p w:rsidR="00DE0613" w:rsidRDefault="00DE0613" w:rsidP="00DE0613">
      <w:pPr>
        <w:pStyle w:val="Heading2"/>
        <w:jc w:val="left"/>
        <w:rPr>
          <w:rFonts w:ascii="Times New Roman" w:hAnsi="Times New Roman" w:cs="Times New Roman"/>
          <w:b w:val="0"/>
          <w:u w:val="none"/>
        </w:rPr>
      </w:pPr>
      <w:r>
        <w:rPr>
          <w:rFonts w:ascii="Times New Roman" w:hAnsi="Times New Roman" w:cs="Times New Roman"/>
          <w:b w:val="0"/>
          <w:u w:val="none"/>
        </w:rPr>
        <w:t>Table 1 Expected Value Computation Example</w:t>
      </w:r>
    </w:p>
    <w:p w:rsidR="00DE0613" w:rsidRDefault="00DE0613" w:rsidP="00DE06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1440"/>
        <w:gridCol w:w="1426"/>
        <w:gridCol w:w="1350"/>
        <w:gridCol w:w="1350"/>
        <w:gridCol w:w="1260"/>
      </w:tblGrid>
      <w:tr w:rsidR="00DE0613" w:rsidTr="00DE0613">
        <w:tc>
          <w:tcPr>
            <w:tcW w:w="1289" w:type="dxa"/>
            <w:vAlign w:val="center"/>
          </w:tcPr>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1</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Severity of illness Level</w:t>
            </w:r>
          </w:p>
        </w:tc>
        <w:tc>
          <w:tcPr>
            <w:tcW w:w="1440" w:type="dxa"/>
            <w:vAlign w:val="center"/>
          </w:tcPr>
          <w:p w:rsidR="00DE0613" w:rsidRDefault="00DE0613" w:rsidP="00DE0613">
            <w:pPr>
              <w:pStyle w:val="Heading3"/>
              <w:jc w:val="center"/>
              <w:rPr>
                <w:sz w:val="20"/>
                <w:szCs w:val="20"/>
              </w:rPr>
            </w:pPr>
            <w:r>
              <w:rPr>
                <w:sz w:val="20"/>
                <w:szCs w:val="20"/>
              </w:rPr>
              <w:t>2</w:t>
            </w:r>
          </w:p>
          <w:p w:rsidR="00DE0613" w:rsidRDefault="00DE0613" w:rsidP="00DE0613">
            <w:pPr>
              <w:pStyle w:val="Heading3"/>
              <w:jc w:val="center"/>
              <w:rPr>
                <w:sz w:val="20"/>
                <w:szCs w:val="20"/>
              </w:rPr>
            </w:pPr>
            <w:r>
              <w:rPr>
                <w:sz w:val="20"/>
                <w:szCs w:val="20"/>
              </w:rPr>
              <w:t>Discharges at risk for PPCs</w:t>
            </w:r>
          </w:p>
        </w:tc>
        <w:tc>
          <w:tcPr>
            <w:tcW w:w="1426" w:type="dxa"/>
            <w:vAlign w:val="center"/>
          </w:tcPr>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3</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Discharges with</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PPCs</w:t>
            </w:r>
          </w:p>
        </w:tc>
        <w:tc>
          <w:tcPr>
            <w:tcW w:w="1350" w:type="dxa"/>
          </w:tcPr>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4</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PPCs per discharge</w:t>
            </w:r>
          </w:p>
        </w:tc>
        <w:tc>
          <w:tcPr>
            <w:tcW w:w="1350" w:type="dxa"/>
            <w:vAlign w:val="center"/>
          </w:tcPr>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5</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Normative PPCs per discharge</w:t>
            </w:r>
          </w:p>
        </w:tc>
        <w:tc>
          <w:tcPr>
            <w:tcW w:w="1260" w:type="dxa"/>
          </w:tcPr>
          <w:p w:rsidR="00DE0613" w:rsidRDefault="00DE0613" w:rsidP="00DE0613">
            <w:pPr>
              <w:tabs>
                <w:tab w:val="left" w:pos="2430"/>
              </w:tabs>
              <w:jc w:val="center"/>
              <w:rPr>
                <w:rFonts w:ascii="Helvetica" w:hAnsi="Helvetica" w:cs="Arial"/>
                <w:b/>
                <w:bCs/>
                <w:sz w:val="20"/>
                <w:szCs w:val="20"/>
              </w:rPr>
            </w:pPr>
            <w:r>
              <w:rPr>
                <w:rFonts w:ascii="Arial" w:hAnsi="Arial" w:cs="Arial"/>
                <w:b/>
                <w:bCs/>
                <w:sz w:val="20"/>
                <w:szCs w:val="20"/>
              </w:rPr>
              <w:t>6</w:t>
            </w:r>
          </w:p>
          <w:p w:rsidR="00DE0613" w:rsidRDefault="00DE0613" w:rsidP="00DE0613">
            <w:pPr>
              <w:tabs>
                <w:tab w:val="left" w:pos="2430"/>
              </w:tabs>
              <w:jc w:val="center"/>
              <w:rPr>
                <w:rFonts w:ascii="Arial" w:hAnsi="Arial" w:cs="Arial"/>
                <w:b/>
                <w:bCs/>
                <w:sz w:val="20"/>
                <w:szCs w:val="20"/>
              </w:rPr>
            </w:pPr>
            <w:r>
              <w:rPr>
                <w:rFonts w:ascii="Arial" w:hAnsi="Arial" w:cs="Arial"/>
                <w:b/>
                <w:bCs/>
                <w:sz w:val="20"/>
                <w:szCs w:val="20"/>
              </w:rPr>
              <w:t>Expected # of PPCs</w:t>
            </w:r>
          </w:p>
        </w:tc>
      </w:tr>
      <w:tr w:rsidR="00DE0613" w:rsidTr="00DE0613">
        <w:tc>
          <w:tcPr>
            <w:tcW w:w="1289"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w:t>
            </w:r>
          </w:p>
        </w:tc>
        <w:tc>
          <w:tcPr>
            <w:tcW w:w="144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200</w:t>
            </w:r>
          </w:p>
        </w:tc>
        <w:tc>
          <w:tcPr>
            <w:tcW w:w="1426"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350" w:type="dxa"/>
          </w:tcPr>
          <w:p w:rsidR="00DE0613" w:rsidRDefault="00DE0613" w:rsidP="00DE0613">
            <w:pPr>
              <w:tabs>
                <w:tab w:val="left" w:pos="2430"/>
              </w:tabs>
              <w:jc w:val="center"/>
              <w:rPr>
                <w:rFonts w:ascii="Arial" w:hAnsi="Arial" w:cs="Arial"/>
                <w:sz w:val="20"/>
                <w:szCs w:val="20"/>
              </w:rPr>
            </w:pPr>
            <w:r>
              <w:rPr>
                <w:rFonts w:ascii="Arial" w:hAnsi="Arial" w:cs="Arial"/>
                <w:sz w:val="20"/>
                <w:szCs w:val="20"/>
              </w:rPr>
              <w:t>.05</w:t>
            </w:r>
          </w:p>
        </w:tc>
        <w:tc>
          <w:tcPr>
            <w:tcW w:w="135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.07</w:t>
            </w:r>
          </w:p>
        </w:tc>
        <w:tc>
          <w:tcPr>
            <w:tcW w:w="126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14.0</w:t>
            </w:r>
          </w:p>
        </w:tc>
      </w:tr>
      <w:tr w:rsidR="00DE0613" w:rsidTr="00DE0613">
        <w:tc>
          <w:tcPr>
            <w:tcW w:w="1289"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2</w:t>
            </w:r>
          </w:p>
        </w:tc>
        <w:tc>
          <w:tcPr>
            <w:tcW w:w="144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150</w:t>
            </w:r>
          </w:p>
        </w:tc>
        <w:tc>
          <w:tcPr>
            <w:tcW w:w="1426"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15</w:t>
            </w:r>
          </w:p>
        </w:tc>
        <w:tc>
          <w:tcPr>
            <w:tcW w:w="1350" w:type="dxa"/>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35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26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15.0</w:t>
            </w:r>
          </w:p>
        </w:tc>
      </w:tr>
      <w:tr w:rsidR="00DE0613" w:rsidTr="00DE0613">
        <w:tc>
          <w:tcPr>
            <w:tcW w:w="1289"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3</w:t>
            </w:r>
          </w:p>
        </w:tc>
        <w:tc>
          <w:tcPr>
            <w:tcW w:w="144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100</w:t>
            </w:r>
          </w:p>
        </w:tc>
        <w:tc>
          <w:tcPr>
            <w:tcW w:w="1426"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350" w:type="dxa"/>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35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.15</w:t>
            </w:r>
          </w:p>
        </w:tc>
        <w:tc>
          <w:tcPr>
            <w:tcW w:w="126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15.0</w:t>
            </w:r>
          </w:p>
        </w:tc>
      </w:tr>
      <w:tr w:rsidR="00DE0613" w:rsidTr="00DE0613">
        <w:tc>
          <w:tcPr>
            <w:tcW w:w="1289"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4</w:t>
            </w:r>
          </w:p>
        </w:tc>
        <w:tc>
          <w:tcPr>
            <w:tcW w:w="144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50</w:t>
            </w:r>
          </w:p>
        </w:tc>
        <w:tc>
          <w:tcPr>
            <w:tcW w:w="1426"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10</w:t>
            </w:r>
          </w:p>
        </w:tc>
        <w:tc>
          <w:tcPr>
            <w:tcW w:w="1350" w:type="dxa"/>
          </w:tcPr>
          <w:p w:rsidR="00DE0613" w:rsidRDefault="00DE0613" w:rsidP="00DE0613">
            <w:pPr>
              <w:tabs>
                <w:tab w:val="left" w:pos="2430"/>
              </w:tabs>
              <w:jc w:val="center"/>
              <w:rPr>
                <w:rFonts w:ascii="Arial" w:hAnsi="Arial" w:cs="Arial"/>
                <w:sz w:val="20"/>
                <w:szCs w:val="20"/>
              </w:rPr>
            </w:pPr>
            <w:r>
              <w:rPr>
                <w:rFonts w:ascii="Arial" w:hAnsi="Arial" w:cs="Arial"/>
                <w:sz w:val="20"/>
                <w:szCs w:val="20"/>
              </w:rPr>
              <w:t>.20</w:t>
            </w:r>
          </w:p>
        </w:tc>
        <w:tc>
          <w:tcPr>
            <w:tcW w:w="135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.25</w:t>
            </w:r>
          </w:p>
        </w:tc>
        <w:tc>
          <w:tcPr>
            <w:tcW w:w="126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12.5</w:t>
            </w:r>
          </w:p>
        </w:tc>
      </w:tr>
      <w:tr w:rsidR="00DE0613" w:rsidTr="00DE0613">
        <w:tc>
          <w:tcPr>
            <w:tcW w:w="1289" w:type="dxa"/>
            <w:vAlign w:val="center"/>
          </w:tcPr>
          <w:p w:rsidR="00DE0613" w:rsidRDefault="00DE0613" w:rsidP="00DE0613">
            <w:pPr>
              <w:pStyle w:val="Heading1"/>
              <w:rPr>
                <w:szCs w:val="20"/>
              </w:rPr>
            </w:pPr>
            <w:r>
              <w:rPr>
                <w:szCs w:val="20"/>
              </w:rPr>
              <w:t>Total</w:t>
            </w:r>
          </w:p>
        </w:tc>
        <w:tc>
          <w:tcPr>
            <w:tcW w:w="144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500</w:t>
            </w:r>
          </w:p>
        </w:tc>
        <w:tc>
          <w:tcPr>
            <w:tcW w:w="1426"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45</w:t>
            </w:r>
          </w:p>
        </w:tc>
        <w:tc>
          <w:tcPr>
            <w:tcW w:w="1350" w:type="dxa"/>
          </w:tcPr>
          <w:p w:rsidR="00DE0613" w:rsidRDefault="00DE0613" w:rsidP="00DE0613">
            <w:pPr>
              <w:tabs>
                <w:tab w:val="left" w:pos="2430"/>
              </w:tabs>
              <w:jc w:val="center"/>
              <w:rPr>
                <w:rFonts w:ascii="Arial" w:hAnsi="Arial" w:cs="Arial"/>
                <w:sz w:val="20"/>
                <w:szCs w:val="20"/>
              </w:rPr>
            </w:pPr>
            <w:r>
              <w:rPr>
                <w:rFonts w:ascii="Arial" w:hAnsi="Arial" w:cs="Arial"/>
                <w:sz w:val="20"/>
                <w:szCs w:val="20"/>
              </w:rPr>
              <w:t>.09</w:t>
            </w:r>
          </w:p>
        </w:tc>
        <w:tc>
          <w:tcPr>
            <w:tcW w:w="1350" w:type="dxa"/>
            <w:vAlign w:val="center"/>
          </w:tcPr>
          <w:p w:rsidR="00DE0613" w:rsidRDefault="00DE0613" w:rsidP="00DE0613">
            <w:pPr>
              <w:tabs>
                <w:tab w:val="left" w:pos="2430"/>
              </w:tabs>
              <w:jc w:val="center"/>
              <w:rPr>
                <w:rFonts w:ascii="Arial" w:hAnsi="Arial" w:cs="Arial"/>
                <w:sz w:val="20"/>
                <w:szCs w:val="20"/>
              </w:rPr>
            </w:pPr>
          </w:p>
        </w:tc>
        <w:tc>
          <w:tcPr>
            <w:tcW w:w="1260" w:type="dxa"/>
            <w:vAlign w:val="center"/>
          </w:tcPr>
          <w:p w:rsidR="00DE0613" w:rsidRDefault="00DE0613" w:rsidP="00DE0613">
            <w:pPr>
              <w:tabs>
                <w:tab w:val="left" w:pos="2430"/>
              </w:tabs>
              <w:jc w:val="center"/>
              <w:rPr>
                <w:rFonts w:ascii="Arial" w:hAnsi="Arial" w:cs="Arial"/>
                <w:sz w:val="20"/>
                <w:szCs w:val="20"/>
              </w:rPr>
            </w:pPr>
            <w:r>
              <w:rPr>
                <w:rFonts w:ascii="Arial" w:hAnsi="Arial" w:cs="Arial"/>
                <w:sz w:val="20"/>
                <w:szCs w:val="20"/>
              </w:rPr>
              <w:t>56.5</w:t>
            </w:r>
          </w:p>
        </w:tc>
      </w:tr>
    </w:tbl>
    <w:p w:rsidR="00DE0613" w:rsidRDefault="00DE0613" w:rsidP="00DE0613">
      <w:pPr>
        <w:tabs>
          <w:tab w:val="left" w:pos="2430"/>
        </w:tabs>
        <w:rPr>
          <w:rFonts w:ascii="Arial" w:hAnsi="Arial" w:cs="Arial"/>
        </w:rPr>
      </w:pPr>
    </w:p>
    <w:p w:rsidR="00DE0613" w:rsidRDefault="00DE0613" w:rsidP="00DE0613">
      <w:pPr>
        <w:pStyle w:val="BodyText2"/>
      </w:pPr>
      <w:r>
        <w:t xml:space="preserve">For the APR DRG category, the number of discharges with PPCs is 45, which is the sum of discharges with PPCs (column 3). The overall rate of PPCs per discharge, 0.09, is calculated by dividing the total number of discharges with PPCs (sum of column 3) by the total number of discharges at risk for PPCs (sum of column 2), i.e., 0.09 = 44/500.  From the normative population, the proportion of discharges with PPCs for each severity of illness level for that APR DRG category is displayed in column 5. The expected number of PPCs for each severity of illness level shown in column 6 is calculated by multiplying the number of discharges at risk for PPCs (column 2) by the normative PPCs per discharge rate (column 5) The total number of PPCs expected for this APR DRG category is the expected number of PPCs for the severity of illness levels. </w:t>
      </w:r>
    </w:p>
    <w:p w:rsidR="00DE0613" w:rsidRDefault="00DE0613" w:rsidP="00DE0613">
      <w:pPr>
        <w:tabs>
          <w:tab w:val="left" w:pos="2430"/>
        </w:tabs>
        <w:rPr>
          <w:sz w:val="22"/>
          <w:szCs w:val="22"/>
        </w:rPr>
      </w:pPr>
    </w:p>
    <w:p w:rsidR="00DE0613" w:rsidRPr="007D717D" w:rsidRDefault="00DE0613" w:rsidP="00DE0613">
      <w:pPr>
        <w:tabs>
          <w:tab w:val="left" w:pos="2430"/>
        </w:tabs>
        <w:rPr>
          <w:sz w:val="22"/>
          <w:szCs w:val="22"/>
        </w:rPr>
      </w:pPr>
      <w:r>
        <w:rPr>
          <w:sz w:val="22"/>
          <w:szCs w:val="22"/>
        </w:rPr>
        <w:t xml:space="preserve">In this example, the expected number of PPCs for this APR DRG category is 56.5 compared to the actual number of discharges with PPCs of 45. Thus the hospital had 11.5 fewer actual discharges with PPCs than were expected for this APR DRG category. This difference can be </w:t>
      </w:r>
      <w:r w:rsidRPr="007D717D">
        <w:rPr>
          <w:sz w:val="22"/>
          <w:szCs w:val="22"/>
        </w:rPr>
        <w:t>expressed as a percentage difference as well.</w:t>
      </w:r>
    </w:p>
    <w:p w:rsidR="00DE0613" w:rsidRPr="007D717D" w:rsidRDefault="00DE0613" w:rsidP="00DE0613">
      <w:pPr>
        <w:tabs>
          <w:tab w:val="left" w:pos="2430"/>
        </w:tabs>
        <w:rPr>
          <w:sz w:val="22"/>
          <w:szCs w:val="22"/>
        </w:rPr>
      </w:pPr>
    </w:p>
    <w:p w:rsidR="00DE0613" w:rsidRPr="007D717D" w:rsidRDefault="00DE0613" w:rsidP="00DE0613">
      <w:pPr>
        <w:pStyle w:val="NormalLatinBookAntiqua"/>
        <w:rPr>
          <w:rFonts w:ascii="Times New Roman" w:hAnsi="Times New Roman"/>
        </w:rPr>
      </w:pPr>
      <w:r w:rsidRPr="007D717D">
        <w:rPr>
          <w:rFonts w:ascii="Times New Roman" w:hAnsi="Times New Roman"/>
        </w:rPr>
        <w:t>APR DRG by SOI categories are excluded from the computation of the actual and expected rates when there are only zero or one at risk admission statewide for the associated APR DRG by SOI category.</w:t>
      </w:r>
    </w:p>
    <w:p w:rsidR="00DE0613" w:rsidRDefault="00DE0613" w:rsidP="00DE0613">
      <w:pPr>
        <w:widowControl/>
        <w:tabs>
          <w:tab w:val="center" w:pos="4320"/>
          <w:tab w:val="right" w:pos="8640"/>
        </w:tabs>
        <w:autoSpaceDE/>
        <w:autoSpaceDN/>
        <w:adjustRightInd/>
        <w:rPr>
          <w:rFonts w:ascii="Arial" w:hAnsi="Arial" w:cs="Arial"/>
          <w:b/>
          <w:bCs/>
          <w:color w:val="000000"/>
          <w:sz w:val="22"/>
          <w:szCs w:val="22"/>
        </w:rPr>
      </w:pPr>
    </w:p>
    <w:p w:rsidR="00D048B8" w:rsidRDefault="00D048B8">
      <w:pPr>
        <w:widowControl/>
        <w:autoSpaceDE/>
        <w:autoSpaceDN/>
        <w:adjustRightInd/>
        <w:rPr>
          <w:rFonts w:ascii="Arial" w:hAnsi="Arial" w:cs="Arial"/>
          <w:b/>
          <w:bCs/>
          <w:color w:val="000000"/>
          <w:sz w:val="22"/>
          <w:szCs w:val="22"/>
        </w:rPr>
      </w:pPr>
      <w:r>
        <w:rPr>
          <w:rFonts w:ascii="Arial" w:hAnsi="Arial" w:cs="Arial"/>
          <w:b/>
          <w:bCs/>
          <w:color w:val="000000"/>
          <w:sz w:val="22"/>
          <w:szCs w:val="22"/>
        </w:rPr>
        <w:br w:type="page"/>
      </w:r>
    </w:p>
    <w:p w:rsidR="00DE0613" w:rsidRDefault="00DE0613" w:rsidP="00DE0613">
      <w:pPr>
        <w:widowControl/>
        <w:tabs>
          <w:tab w:val="center" w:pos="4320"/>
          <w:tab w:val="right" w:pos="8640"/>
        </w:tabs>
        <w:autoSpaceDE/>
        <w:autoSpaceDN/>
        <w:adjustRightInd/>
        <w:rPr>
          <w:rFonts w:ascii="Arial" w:hAnsi="Arial" w:cs="Arial"/>
          <w:b/>
          <w:bCs/>
          <w:color w:val="000000"/>
          <w:sz w:val="22"/>
          <w:szCs w:val="22"/>
        </w:rPr>
      </w:pPr>
      <w:r>
        <w:rPr>
          <w:rFonts w:ascii="Arial" w:hAnsi="Arial" w:cs="Arial"/>
          <w:b/>
          <w:bCs/>
          <w:color w:val="000000"/>
          <w:sz w:val="22"/>
          <w:szCs w:val="22"/>
        </w:rPr>
        <w:t>Appendix B:  MHAC SCORE Calculations</w:t>
      </w:r>
    </w:p>
    <w:p w:rsidR="00DE0613" w:rsidRDefault="00DE0613" w:rsidP="00DE0613">
      <w:pPr>
        <w:widowControl/>
        <w:tabs>
          <w:tab w:val="center" w:pos="4320"/>
          <w:tab w:val="right" w:pos="8640"/>
        </w:tabs>
        <w:autoSpaceDE/>
        <w:autoSpaceDN/>
        <w:adjustRightInd/>
        <w:rPr>
          <w:rFonts w:ascii="Arial" w:hAnsi="Arial" w:cs="Arial"/>
          <w:bCs/>
          <w:color w:val="000000"/>
          <w:sz w:val="22"/>
          <w:szCs w:val="22"/>
        </w:rPr>
      </w:pPr>
    </w:p>
    <w:p w:rsidR="00DE0613" w:rsidRPr="00A9657F" w:rsidRDefault="00DE0613" w:rsidP="00DE0613">
      <w:pPr>
        <w:pStyle w:val="NormalWeb"/>
        <w:numPr>
          <w:ilvl w:val="1"/>
          <w:numId w:val="2"/>
        </w:numPr>
        <w:spacing w:before="0" w:beforeAutospacing="0" w:after="0" w:afterAutospacing="0"/>
        <w:rPr>
          <w:rFonts w:ascii="Arial" w:hAnsi="Arial" w:cs="Arial"/>
          <w:b/>
          <w:sz w:val="22"/>
          <w:szCs w:val="22"/>
        </w:rPr>
      </w:pPr>
      <w:r w:rsidRPr="00A9657F">
        <w:rPr>
          <w:rFonts w:ascii="Arial" w:hAnsi="Arial" w:cs="Arial"/>
          <w:b/>
          <w:sz w:val="22"/>
          <w:szCs w:val="22"/>
        </w:rPr>
        <w:t>Attainment and Improvement Points</w:t>
      </w:r>
    </w:p>
    <w:p w:rsidR="00DE0613" w:rsidRDefault="00DE0613" w:rsidP="00DE0613">
      <w:pPr>
        <w:pStyle w:val="NormalWeb"/>
        <w:spacing w:before="0" w:beforeAutospacing="0" w:after="0" w:afterAutospacing="0"/>
        <w:ind w:left="720"/>
        <w:rPr>
          <w:rFonts w:ascii="Arial" w:hAnsi="Arial" w:cs="Arial"/>
          <w:sz w:val="22"/>
          <w:szCs w:val="22"/>
        </w:rPr>
      </w:pPr>
      <w:r w:rsidRPr="00C95780">
        <w:rPr>
          <w:rFonts w:ascii="Arial" w:hAnsi="Arial" w:cs="Arial"/>
          <w:sz w:val="22"/>
          <w:szCs w:val="22"/>
        </w:rPr>
        <w:t>For each hospital, PPC performance is evaluated based on the higher of “Attainment Points” in the performance period, or “Improvement Points” based on a comparison of that hospital’s PPC performance in the performance period relative to the base period</w:t>
      </w:r>
      <w:r>
        <w:rPr>
          <w:rFonts w:ascii="Arial" w:hAnsi="Arial" w:cs="Arial"/>
          <w:sz w:val="22"/>
          <w:szCs w:val="22"/>
        </w:rPr>
        <w:t xml:space="preserve">.  </w:t>
      </w:r>
    </w:p>
    <w:p w:rsidR="00DE0613" w:rsidRDefault="00DE0613" w:rsidP="00DE0613">
      <w:pPr>
        <w:pStyle w:val="NormalWeb"/>
        <w:spacing w:before="0" w:beforeAutospacing="0" w:after="0" w:afterAutospacing="0"/>
        <w:ind w:left="720"/>
        <w:rPr>
          <w:rFonts w:ascii="Arial" w:hAnsi="Arial" w:cs="Arial"/>
          <w:sz w:val="22"/>
          <w:szCs w:val="22"/>
          <w:u w:val="single"/>
        </w:rPr>
      </w:pPr>
    </w:p>
    <w:p w:rsidR="00DE0613" w:rsidRDefault="00DE0613" w:rsidP="00DE0613">
      <w:pPr>
        <w:pStyle w:val="NormalWeb"/>
        <w:spacing w:before="0" w:beforeAutospacing="0" w:after="0" w:afterAutospacing="0"/>
        <w:ind w:left="720"/>
        <w:rPr>
          <w:rFonts w:ascii="Arial" w:hAnsi="Arial" w:cs="Arial"/>
          <w:sz w:val="22"/>
          <w:szCs w:val="22"/>
          <w:u w:val="single"/>
        </w:rPr>
      </w:pPr>
      <w:r w:rsidRPr="00E35A3B">
        <w:rPr>
          <w:rFonts w:ascii="Arial" w:hAnsi="Arial" w:cs="Arial"/>
          <w:sz w:val="22"/>
          <w:szCs w:val="22"/>
          <w:u w:val="single"/>
        </w:rPr>
        <w:t>Attainment Points</w:t>
      </w:r>
      <w:r>
        <w:rPr>
          <w:rFonts w:ascii="Arial" w:hAnsi="Arial" w:cs="Arial"/>
          <w:sz w:val="22"/>
          <w:szCs w:val="22"/>
          <w:u w:val="single"/>
        </w:rPr>
        <w:t xml:space="preserve"> (possible points 0-10)</w:t>
      </w:r>
      <w:r w:rsidRPr="00E35A3B">
        <w:rPr>
          <w:rFonts w:ascii="Arial" w:hAnsi="Arial" w:cs="Arial"/>
          <w:sz w:val="22"/>
          <w:szCs w:val="22"/>
          <w:u w:val="single"/>
        </w:rPr>
        <w:t>:</w:t>
      </w:r>
    </w:p>
    <w:p w:rsidR="00DE0613" w:rsidRDefault="00DE0613" w:rsidP="00DE0613">
      <w:pPr>
        <w:pStyle w:val="NormalWeb"/>
        <w:spacing w:before="0" w:beforeAutospacing="0" w:after="0" w:afterAutospacing="0"/>
        <w:ind w:left="720"/>
        <w:rPr>
          <w:rFonts w:ascii="Arial" w:hAnsi="Arial" w:cs="Arial"/>
          <w:sz w:val="22"/>
          <w:szCs w:val="22"/>
          <w:u w:val="single"/>
        </w:rPr>
      </w:pPr>
      <w:r>
        <w:rPr>
          <w:rFonts w:ascii="Arial" w:hAnsi="Arial" w:cs="Arial"/>
          <w:sz w:val="22"/>
          <w:szCs w:val="22"/>
        </w:rPr>
        <w:t xml:space="preserve">If the PPC ratio for the performance period is greater than the threshold, the hospital scores zero points for that PPC for attainment.  </w:t>
      </w: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If the PPC ratio for the performance period is less than or equal to the benchmark, the hospital scores a full 10 points for that PPC for attainment.</w:t>
      </w: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If the PPC ratio is between the threshold and benchmark, the hospital scores partial points for attainment.  The formula</w:t>
      </w:r>
      <w:r w:rsidRPr="00F16299">
        <w:rPr>
          <w:rFonts w:ascii="Arial" w:hAnsi="Arial" w:cs="Arial"/>
          <w:sz w:val="22"/>
          <w:szCs w:val="22"/>
        </w:rPr>
        <w:t xml:space="preserve"> to calculate the Attainment </w:t>
      </w:r>
      <w:r>
        <w:rPr>
          <w:rFonts w:ascii="Arial" w:hAnsi="Arial" w:cs="Arial"/>
          <w:sz w:val="22"/>
          <w:szCs w:val="22"/>
        </w:rPr>
        <w:t>points is</w:t>
      </w:r>
      <w:r w:rsidRPr="00F16299">
        <w:rPr>
          <w:rFonts w:ascii="Arial" w:hAnsi="Arial" w:cs="Arial"/>
          <w:sz w:val="22"/>
          <w:szCs w:val="22"/>
        </w:rPr>
        <w:t xml:space="preserve"> as follows: </w:t>
      </w:r>
    </w:p>
    <w:p w:rsidR="00DE0613" w:rsidRDefault="00DE0613" w:rsidP="00DE0613">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Attainment Points = </w:t>
      </w:r>
      <w:r w:rsidRPr="00F16299">
        <w:rPr>
          <w:rFonts w:ascii="Arial" w:hAnsi="Arial" w:cs="Arial"/>
          <w:sz w:val="22"/>
          <w:szCs w:val="22"/>
        </w:rPr>
        <w:t xml:space="preserve">[9 * ((Hospital’s performance period score - Attainment threshold)/ (benchmark –Attainment threshold))] + .5 </w:t>
      </w:r>
    </w:p>
    <w:p w:rsidR="00DE0613" w:rsidRDefault="00DE0613" w:rsidP="00DE0613">
      <w:pPr>
        <w:pStyle w:val="NormalWeb"/>
        <w:spacing w:before="0" w:beforeAutospacing="0" w:after="0" w:afterAutospacing="0"/>
        <w:ind w:left="720"/>
        <w:rPr>
          <w:rFonts w:ascii="Arial" w:hAnsi="Arial" w:cs="Arial"/>
          <w:sz w:val="22"/>
          <w:szCs w:val="22"/>
          <w:u w:val="single"/>
        </w:rPr>
      </w:pPr>
    </w:p>
    <w:p w:rsidR="00DE0613" w:rsidRDefault="00DE0613" w:rsidP="00DE0613">
      <w:pPr>
        <w:pStyle w:val="NormalWeb"/>
        <w:spacing w:before="0" w:beforeAutospacing="0" w:after="0" w:afterAutospacing="0"/>
        <w:ind w:left="720"/>
        <w:rPr>
          <w:rFonts w:ascii="Arial" w:hAnsi="Arial" w:cs="Arial"/>
          <w:sz w:val="22"/>
          <w:szCs w:val="22"/>
          <w:u w:val="single"/>
        </w:rPr>
      </w:pPr>
      <w:r w:rsidRPr="00E35A3B">
        <w:rPr>
          <w:rFonts w:ascii="Arial" w:hAnsi="Arial" w:cs="Arial"/>
          <w:sz w:val="22"/>
          <w:szCs w:val="22"/>
          <w:u w:val="single"/>
        </w:rPr>
        <w:t xml:space="preserve">Improvement </w:t>
      </w:r>
      <w:r w:rsidRPr="0077057A">
        <w:rPr>
          <w:rFonts w:ascii="Arial" w:hAnsi="Arial" w:cs="Arial"/>
          <w:sz w:val="22"/>
          <w:szCs w:val="22"/>
          <w:u w:val="single"/>
        </w:rPr>
        <w:t>Points</w:t>
      </w:r>
      <w:r>
        <w:rPr>
          <w:rFonts w:ascii="Arial" w:hAnsi="Arial" w:cs="Arial"/>
          <w:sz w:val="22"/>
          <w:szCs w:val="22"/>
          <w:u w:val="single"/>
        </w:rPr>
        <w:t xml:space="preserve"> (possible points 0-9)</w:t>
      </w:r>
      <w:r w:rsidRPr="00E35A3B">
        <w:rPr>
          <w:rFonts w:ascii="Arial" w:hAnsi="Arial" w:cs="Arial"/>
          <w:sz w:val="22"/>
          <w:szCs w:val="22"/>
          <w:u w:val="single"/>
        </w:rPr>
        <w:t>:</w:t>
      </w: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If the PPC ratio for the performance period is greater than the base period, the hospital scores zero points for that PPC for improvement.</w:t>
      </w:r>
    </w:p>
    <w:p w:rsidR="00DE0613" w:rsidRDefault="00DE0613" w:rsidP="00DE0613">
      <w:pPr>
        <w:pStyle w:val="NormalWeb"/>
        <w:spacing w:before="0" w:beforeAutospacing="0" w:after="0" w:afterAutospacing="0"/>
        <w:ind w:left="720"/>
        <w:rPr>
          <w:rFonts w:ascii="Arial" w:hAnsi="Arial" w:cs="Arial"/>
          <w:sz w:val="22"/>
          <w:szCs w:val="22"/>
        </w:rPr>
      </w:pP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If the PPC ratio for the performance period is less than or equal the benchmark, the hospital scores 9 points for that PPC for improvement.  However in this case the attainment score of 10 will be higher than the improvement score and thus the attainment score will always be used to calculate the final score.</w:t>
      </w:r>
    </w:p>
    <w:p w:rsidR="00DE0613" w:rsidRDefault="00DE0613" w:rsidP="00DE0613">
      <w:pPr>
        <w:pStyle w:val="NormalWeb"/>
        <w:spacing w:before="0" w:beforeAutospacing="0" w:after="0" w:afterAutospacing="0"/>
        <w:ind w:left="720"/>
        <w:rPr>
          <w:rFonts w:ascii="Arial" w:hAnsi="Arial" w:cs="Arial"/>
          <w:sz w:val="22"/>
          <w:szCs w:val="22"/>
        </w:rPr>
      </w:pPr>
    </w:p>
    <w:p w:rsidR="00DE0613"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If the PPC ratio is between the threshold and benchmark, the hospital scores partial points for improvement.  The formula</w:t>
      </w:r>
      <w:r w:rsidRPr="00F16299">
        <w:rPr>
          <w:rFonts w:ascii="Arial" w:hAnsi="Arial" w:cs="Arial"/>
          <w:sz w:val="22"/>
          <w:szCs w:val="22"/>
        </w:rPr>
        <w:t xml:space="preserve"> to calculate the </w:t>
      </w:r>
      <w:r>
        <w:rPr>
          <w:rFonts w:ascii="Arial" w:hAnsi="Arial" w:cs="Arial"/>
          <w:sz w:val="22"/>
          <w:szCs w:val="22"/>
        </w:rPr>
        <w:t>Improvement</w:t>
      </w:r>
      <w:r w:rsidRPr="00F16299">
        <w:rPr>
          <w:rFonts w:ascii="Arial" w:hAnsi="Arial" w:cs="Arial"/>
          <w:sz w:val="22"/>
          <w:szCs w:val="22"/>
        </w:rPr>
        <w:t xml:space="preserve"> </w:t>
      </w:r>
      <w:r>
        <w:rPr>
          <w:rFonts w:ascii="Arial" w:hAnsi="Arial" w:cs="Arial"/>
          <w:sz w:val="22"/>
          <w:szCs w:val="22"/>
        </w:rPr>
        <w:t>points is</w:t>
      </w:r>
      <w:r w:rsidRPr="00F16299">
        <w:rPr>
          <w:rFonts w:ascii="Arial" w:hAnsi="Arial" w:cs="Arial"/>
          <w:sz w:val="22"/>
          <w:szCs w:val="22"/>
        </w:rPr>
        <w:t xml:space="preserve"> as follows:</w:t>
      </w:r>
    </w:p>
    <w:p w:rsidR="00DE0613" w:rsidRDefault="00DE0613" w:rsidP="00DE0613">
      <w:pPr>
        <w:pStyle w:val="NormalWeb"/>
        <w:numPr>
          <w:ilvl w:val="0"/>
          <w:numId w:val="25"/>
        </w:numPr>
        <w:spacing w:before="0" w:beforeAutospacing="0" w:after="0" w:afterAutospacing="0"/>
        <w:rPr>
          <w:rFonts w:ascii="Arial" w:hAnsi="Arial" w:cs="Arial"/>
          <w:sz w:val="22"/>
          <w:szCs w:val="22"/>
        </w:rPr>
      </w:pPr>
      <w:r w:rsidRPr="00F16299">
        <w:rPr>
          <w:rFonts w:ascii="Arial" w:hAnsi="Arial" w:cs="Arial"/>
          <w:sz w:val="22"/>
          <w:szCs w:val="22"/>
        </w:rPr>
        <w:t>Im</w:t>
      </w:r>
      <w:r>
        <w:rPr>
          <w:rFonts w:ascii="Arial" w:hAnsi="Arial" w:cs="Arial"/>
          <w:sz w:val="22"/>
          <w:szCs w:val="22"/>
        </w:rPr>
        <w:t xml:space="preserve">provement Points = </w:t>
      </w:r>
      <w:r w:rsidRPr="00F16299">
        <w:rPr>
          <w:rFonts w:ascii="Arial" w:hAnsi="Arial" w:cs="Arial"/>
          <w:sz w:val="22"/>
          <w:szCs w:val="22"/>
        </w:rPr>
        <w:t>[10 * ((Hospital performance period score -Hospital baseline period score)/(Benchmark - Hospit</w:t>
      </w:r>
      <w:r>
        <w:rPr>
          <w:rFonts w:ascii="Arial" w:hAnsi="Arial" w:cs="Arial"/>
          <w:sz w:val="22"/>
          <w:szCs w:val="22"/>
        </w:rPr>
        <w:t>al baseline period score))] -.5</w:t>
      </w:r>
      <w:r w:rsidRPr="00F16299">
        <w:rPr>
          <w:rFonts w:ascii="Arial" w:hAnsi="Arial" w:cs="Arial"/>
          <w:sz w:val="22"/>
          <w:szCs w:val="22"/>
        </w:rPr>
        <w:t xml:space="preserve"> </w:t>
      </w:r>
    </w:p>
    <w:p w:rsidR="00DE0613" w:rsidRDefault="00DE0613" w:rsidP="00DE0613">
      <w:pPr>
        <w:pStyle w:val="NormalWeb"/>
        <w:spacing w:before="0" w:beforeAutospacing="0" w:after="0" w:afterAutospacing="0"/>
        <w:ind w:left="1440"/>
        <w:rPr>
          <w:rFonts w:ascii="Arial" w:hAnsi="Arial" w:cs="Arial"/>
          <w:sz w:val="22"/>
          <w:szCs w:val="22"/>
        </w:rPr>
      </w:pPr>
    </w:p>
    <w:p w:rsidR="00DE0613" w:rsidRDefault="00DE0613" w:rsidP="00DE0613">
      <w:pPr>
        <w:pStyle w:val="NormalWeb"/>
        <w:spacing w:before="0" w:beforeAutospacing="0" w:after="0" w:afterAutospacing="0"/>
        <w:ind w:left="720"/>
        <w:rPr>
          <w:rFonts w:ascii="Arial" w:hAnsi="Arial" w:cs="Arial"/>
          <w:sz w:val="22"/>
          <w:szCs w:val="22"/>
        </w:rPr>
      </w:pPr>
    </w:p>
    <w:p w:rsidR="00DE0613" w:rsidRPr="00066C0D" w:rsidRDefault="00DE0613" w:rsidP="00DE0613">
      <w:pPr>
        <w:pStyle w:val="NormalWeb"/>
        <w:numPr>
          <w:ilvl w:val="1"/>
          <w:numId w:val="2"/>
        </w:numPr>
        <w:spacing w:before="0" w:beforeAutospacing="0" w:after="0" w:afterAutospacing="0"/>
        <w:rPr>
          <w:rFonts w:ascii="Arial" w:hAnsi="Arial" w:cs="Arial"/>
          <w:sz w:val="22"/>
          <w:szCs w:val="22"/>
        </w:rPr>
      </w:pPr>
      <w:r>
        <w:rPr>
          <w:rFonts w:ascii="Arial" w:hAnsi="Arial" w:cs="Arial"/>
          <w:b/>
          <w:sz w:val="22"/>
          <w:szCs w:val="22"/>
        </w:rPr>
        <w:t>Rounding</w:t>
      </w:r>
    </w:p>
    <w:p w:rsidR="00DE0613" w:rsidRPr="00066C0D" w:rsidRDefault="00DE0613" w:rsidP="00DE0613">
      <w:pPr>
        <w:pStyle w:val="NormalWeb"/>
        <w:spacing w:before="0" w:beforeAutospacing="0" w:after="0" w:afterAutospacing="0"/>
        <w:ind w:left="720"/>
        <w:rPr>
          <w:rFonts w:ascii="Arial" w:hAnsi="Arial" w:cs="Arial"/>
          <w:sz w:val="22"/>
          <w:szCs w:val="22"/>
        </w:rPr>
      </w:pPr>
      <w:r>
        <w:rPr>
          <w:rFonts w:ascii="Arial" w:hAnsi="Arial" w:cs="Arial"/>
          <w:sz w:val="22"/>
          <w:szCs w:val="22"/>
        </w:rPr>
        <w:t>For the purposes of calculating scores, the benchmarks and O/E ratios are rounded to 4 decimal places.  The attainment and improvement points are rounded to the nearest whole number.  The tier percent’s and final score for each hospital is rounded to 2 decimal places.</w:t>
      </w:r>
    </w:p>
    <w:p w:rsidR="00DE0613" w:rsidRDefault="00DE0613" w:rsidP="00DE0613">
      <w:pPr>
        <w:widowControl/>
        <w:tabs>
          <w:tab w:val="center" w:pos="4320"/>
          <w:tab w:val="right" w:pos="8640"/>
        </w:tabs>
        <w:autoSpaceDE/>
        <w:autoSpaceDN/>
        <w:adjustRightInd/>
        <w:rPr>
          <w:rFonts w:ascii="Arial" w:hAnsi="Arial" w:cs="Arial"/>
          <w:bCs/>
          <w:color w:val="000000"/>
          <w:sz w:val="22"/>
          <w:szCs w:val="22"/>
        </w:rPr>
      </w:pPr>
    </w:p>
    <w:p w:rsidR="00DE0613" w:rsidRDefault="00DE0613" w:rsidP="00DE0613">
      <w:pPr>
        <w:widowControl/>
        <w:tabs>
          <w:tab w:val="center" w:pos="4320"/>
          <w:tab w:val="right" w:pos="8640"/>
        </w:tabs>
        <w:autoSpaceDE/>
        <w:autoSpaceDN/>
        <w:adjustRightInd/>
        <w:rPr>
          <w:rFonts w:ascii="Arial" w:hAnsi="Arial" w:cs="Arial"/>
          <w:bCs/>
          <w:color w:val="000000"/>
          <w:sz w:val="22"/>
          <w:szCs w:val="22"/>
        </w:rPr>
      </w:pPr>
    </w:p>
    <w:p w:rsidR="00DE0613" w:rsidRDefault="00DE0613">
      <w:pPr>
        <w:widowControl/>
        <w:autoSpaceDE/>
        <w:autoSpaceDN/>
        <w:adjustRightInd/>
        <w:rPr>
          <w:b/>
        </w:rPr>
      </w:pPr>
      <w:r>
        <w:rPr>
          <w:b/>
        </w:rPr>
        <w:br w:type="page"/>
      </w:r>
    </w:p>
    <w:p w:rsidR="00A66D9C" w:rsidRPr="005163F8" w:rsidRDefault="00F16299" w:rsidP="00A66D9C">
      <w:pPr>
        <w:rPr>
          <w:b/>
        </w:rPr>
        <w:sectPr w:rsidR="00A66D9C" w:rsidRPr="005163F8" w:rsidSect="00A66D9C">
          <w:type w:val="continuous"/>
          <w:pgSz w:w="12240" w:h="15840"/>
          <w:pgMar w:top="1440" w:right="1440" w:bottom="1440" w:left="1440" w:header="720" w:footer="720" w:gutter="0"/>
          <w:cols w:space="720"/>
          <w:docGrid w:linePitch="360"/>
        </w:sectPr>
      </w:pPr>
      <w:r>
        <w:rPr>
          <w:b/>
        </w:rPr>
        <w:t>Appendix</w:t>
      </w:r>
      <w:r w:rsidR="007B0A34" w:rsidRPr="005163F8">
        <w:rPr>
          <w:b/>
        </w:rPr>
        <w:t xml:space="preserve"> </w:t>
      </w:r>
      <w:r w:rsidR="00DE0613">
        <w:rPr>
          <w:b/>
        </w:rPr>
        <w:t>C</w:t>
      </w:r>
      <w:r w:rsidR="007B0A34" w:rsidRPr="005163F8">
        <w:rPr>
          <w:b/>
        </w:rPr>
        <w:t>:  MHAC Thresholds and Benchmarks for CY2014 Performance Year</w:t>
      </w:r>
    </w:p>
    <w:tbl>
      <w:tblPr>
        <w:tblW w:w="4135" w:type="dxa"/>
        <w:tblLook w:val="04A0" w:firstRow="1" w:lastRow="0" w:firstColumn="1" w:lastColumn="0" w:noHBand="0" w:noVBand="1"/>
      </w:tblPr>
      <w:tblGrid>
        <w:gridCol w:w="1525"/>
        <w:gridCol w:w="1170"/>
        <w:gridCol w:w="1440"/>
      </w:tblGrid>
      <w:tr w:rsidR="00A66D9C" w:rsidRPr="00230B66" w:rsidTr="007501E6">
        <w:trPr>
          <w:trHeight w:val="255"/>
          <w:tblHeader/>
        </w:trPr>
        <w:tc>
          <w:tcPr>
            <w:tcW w:w="1525" w:type="dxa"/>
            <w:tcBorders>
              <w:top w:val="single" w:sz="4" w:space="0" w:color="auto"/>
              <w:left w:val="single" w:sz="4" w:space="0" w:color="auto"/>
              <w:bottom w:val="single" w:sz="4" w:space="0" w:color="auto"/>
              <w:right w:val="single" w:sz="4" w:space="0" w:color="auto"/>
            </w:tcBorders>
            <w:shd w:val="clear" w:color="000000" w:fill="B0B0B0"/>
            <w:vAlign w:val="bottom"/>
          </w:tcPr>
          <w:p w:rsidR="00A66D9C" w:rsidRPr="00230B66" w:rsidRDefault="00A66D9C" w:rsidP="00391033">
            <w:pPr>
              <w:jc w:val="center"/>
              <w:rPr>
                <w:rFonts w:ascii="Calibri" w:hAnsi="Calibri"/>
                <w:b/>
                <w:bCs/>
                <w:sz w:val="22"/>
                <w:szCs w:val="22"/>
              </w:rPr>
            </w:pPr>
            <w:r w:rsidRPr="00230B66">
              <w:rPr>
                <w:rFonts w:ascii="Calibri" w:hAnsi="Calibri"/>
                <w:b/>
                <w:bCs/>
                <w:sz w:val="22"/>
                <w:szCs w:val="22"/>
              </w:rPr>
              <w:t>PPC Number</w:t>
            </w:r>
          </w:p>
        </w:tc>
        <w:tc>
          <w:tcPr>
            <w:tcW w:w="1170" w:type="dxa"/>
            <w:tcBorders>
              <w:top w:val="single" w:sz="4" w:space="0" w:color="auto"/>
              <w:left w:val="nil"/>
              <w:bottom w:val="single" w:sz="4" w:space="0" w:color="auto"/>
              <w:right w:val="single" w:sz="4" w:space="0" w:color="auto"/>
            </w:tcBorders>
            <w:shd w:val="clear" w:color="000000" w:fill="B0B0B0"/>
            <w:vAlign w:val="bottom"/>
          </w:tcPr>
          <w:p w:rsidR="00A66D9C" w:rsidRPr="00230B66" w:rsidRDefault="00A66D9C" w:rsidP="00391033">
            <w:pPr>
              <w:jc w:val="center"/>
              <w:rPr>
                <w:rFonts w:ascii="Calibri" w:hAnsi="Calibri"/>
                <w:b/>
                <w:bCs/>
                <w:sz w:val="22"/>
                <w:szCs w:val="22"/>
              </w:rPr>
            </w:pPr>
            <w:r w:rsidRPr="00230B66">
              <w:rPr>
                <w:rFonts w:ascii="Calibri" w:hAnsi="Calibri"/>
                <w:b/>
                <w:bCs/>
                <w:sz w:val="22"/>
                <w:szCs w:val="22"/>
              </w:rPr>
              <w:t>Threshold</w:t>
            </w:r>
          </w:p>
        </w:tc>
        <w:tc>
          <w:tcPr>
            <w:tcW w:w="1440" w:type="dxa"/>
            <w:tcBorders>
              <w:top w:val="single" w:sz="4" w:space="0" w:color="auto"/>
              <w:left w:val="nil"/>
              <w:bottom w:val="single" w:sz="4" w:space="0" w:color="auto"/>
              <w:right w:val="single" w:sz="4" w:space="0" w:color="auto"/>
            </w:tcBorders>
            <w:shd w:val="clear" w:color="000000" w:fill="B0B0B0"/>
            <w:vAlign w:val="bottom"/>
          </w:tcPr>
          <w:p w:rsidR="00A66D9C" w:rsidRPr="00230B66" w:rsidRDefault="00A66D9C" w:rsidP="00391033">
            <w:pPr>
              <w:jc w:val="center"/>
              <w:rPr>
                <w:rFonts w:ascii="Calibri" w:hAnsi="Calibri"/>
                <w:b/>
                <w:bCs/>
                <w:sz w:val="22"/>
                <w:szCs w:val="22"/>
              </w:rPr>
            </w:pPr>
            <w:r w:rsidRPr="00230B66">
              <w:rPr>
                <w:rFonts w:ascii="Calibri" w:hAnsi="Calibri"/>
                <w:b/>
                <w:bCs/>
                <w:sz w:val="22"/>
                <w:szCs w:val="22"/>
              </w:rPr>
              <w:t>Benchmark</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0.6026</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0.4282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0.5781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0.5058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0.5012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0.4914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0.437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0.3243</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0.6096</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0.1851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0.5754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0.4767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0.1083</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0.5604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0.0806</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0.3029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0.5149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0.1649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0.3946</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0.2904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0.2622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0.3138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0.6087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0.261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0.4199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0.1159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29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0.1191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0.3951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0.0525</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0.4864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0.1914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0.4509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0.3283</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39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0.4841</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0.6432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0.1827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0.4336</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0.507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0.304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0.3942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49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0.3954</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0.4765</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0.1682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0.6059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0.2608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0.1619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0.4557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0.5059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57</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0.4812</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58</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0.5418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59</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0.4669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60</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0.2779</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61</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0.4157</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62</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0.2188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63</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64</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65</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0.5428</w:t>
            </w:r>
          </w:p>
        </w:tc>
      </w:tr>
      <w:tr w:rsidR="00A66D9C" w:rsidRPr="00230B66" w:rsidTr="00391033">
        <w:trPr>
          <w:trHeight w:val="255"/>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66</w:t>
            </w:r>
          </w:p>
        </w:tc>
        <w:tc>
          <w:tcPr>
            <w:tcW w:w="117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A66D9C" w:rsidRPr="00230B66" w:rsidRDefault="00A66D9C" w:rsidP="00391033">
            <w:pPr>
              <w:jc w:val="center"/>
              <w:rPr>
                <w:rFonts w:ascii="Calibri" w:hAnsi="Calibri"/>
                <w:bCs/>
                <w:sz w:val="22"/>
                <w:szCs w:val="22"/>
              </w:rPr>
            </w:pPr>
            <w:r w:rsidRPr="00230B66">
              <w:rPr>
                <w:rFonts w:ascii="Calibri" w:hAnsi="Calibri"/>
                <w:bCs/>
                <w:sz w:val="22"/>
                <w:szCs w:val="22"/>
              </w:rPr>
              <w:t>0.0762</w:t>
            </w:r>
          </w:p>
        </w:tc>
      </w:tr>
    </w:tbl>
    <w:p w:rsidR="00A9657F" w:rsidRDefault="00A66D9C" w:rsidP="00D048B8">
      <w:r>
        <w:t>*Serious Reportable Events are PPC 30, 31, 32, 45, and 46.  These have a threshold and benchmark of 0.</w:t>
      </w:r>
    </w:p>
    <w:p w:rsidR="00A66D9C" w:rsidRDefault="00A66D9C" w:rsidP="00A66D9C">
      <w:pPr>
        <w:sectPr w:rsidR="00A66D9C" w:rsidSect="00391033">
          <w:type w:val="continuous"/>
          <w:pgSz w:w="12240" w:h="15840"/>
          <w:pgMar w:top="1440" w:right="1440" w:bottom="1440" w:left="1440" w:header="720" w:footer="720" w:gutter="0"/>
          <w:cols w:num="2" w:space="720"/>
          <w:docGrid w:linePitch="360"/>
        </w:sectPr>
      </w:pPr>
    </w:p>
    <w:p w:rsidR="00066C0D" w:rsidRPr="00066C0D" w:rsidRDefault="00066C0D" w:rsidP="00066C0D">
      <w:pPr>
        <w:pStyle w:val="ListParagraph"/>
        <w:numPr>
          <w:ilvl w:val="1"/>
          <w:numId w:val="2"/>
        </w:numPr>
        <w:tabs>
          <w:tab w:val="center" w:pos="4320"/>
          <w:tab w:val="right" w:pos="8640"/>
        </w:tabs>
        <w:rPr>
          <w:rFonts w:ascii="Arial" w:hAnsi="Arial" w:cs="Arial"/>
          <w:bCs/>
          <w:color w:val="000000"/>
        </w:rPr>
        <w:sectPr w:rsidR="00066C0D" w:rsidRPr="00066C0D" w:rsidSect="003E1DE2">
          <w:headerReference w:type="default" r:id="rId17"/>
          <w:type w:val="continuous"/>
          <w:pgSz w:w="12240" w:h="15840" w:code="1"/>
          <w:pgMar w:top="1584" w:right="1440" w:bottom="720" w:left="1440" w:header="720" w:footer="720" w:gutter="0"/>
          <w:cols w:space="720"/>
          <w:formProt w:val="0"/>
          <w:noEndnote/>
          <w:titlePg/>
          <w:docGrid w:linePitch="326"/>
        </w:sectPr>
      </w:pPr>
    </w:p>
    <w:p w:rsidR="00ED4965" w:rsidRDefault="00ED4965" w:rsidP="00ED4965">
      <w:pPr>
        <w:spacing w:after="120"/>
        <w:rPr>
          <w:rFonts w:ascii="Arial" w:hAnsi="Arial" w:cs="Arial"/>
          <w:b/>
          <w:sz w:val="22"/>
          <w:szCs w:val="22"/>
        </w:rPr>
      </w:pPr>
      <w:r w:rsidRPr="00ED4965">
        <w:rPr>
          <w:rFonts w:ascii="Arial" w:hAnsi="Arial" w:cs="Arial"/>
          <w:b/>
          <w:sz w:val="22"/>
          <w:szCs w:val="22"/>
        </w:rPr>
        <w:t>Appendix D:  Scaling for Penalties and Rewards based upon Final MHAC Scores</w:t>
      </w:r>
    </w:p>
    <w:p w:rsidR="00ED4965" w:rsidRPr="00ED4965" w:rsidRDefault="00ED4965" w:rsidP="00ED4965">
      <w:pPr>
        <w:spacing w:after="120"/>
        <w:rPr>
          <w:rFonts w:ascii="Arial" w:hAnsi="Arial" w:cs="Arial"/>
          <w:b/>
          <w:color w:val="FF0000"/>
          <w:sz w:val="22"/>
          <w:szCs w:val="22"/>
        </w:rPr>
      </w:pPr>
      <w:r w:rsidRPr="00ED4965">
        <w:rPr>
          <w:rFonts w:ascii="Arial" w:hAnsi="Arial" w:cs="Arial"/>
          <w:b/>
          <w:color w:val="FF0000"/>
          <w:sz w:val="22"/>
          <w:szCs w:val="22"/>
        </w:rPr>
        <w:t>Performance Year CY2014 State Quality Target = 8%</w:t>
      </w:r>
    </w:p>
    <w:tbl>
      <w:tblPr>
        <w:tblW w:w="6400" w:type="dxa"/>
        <w:tblInd w:w="108" w:type="dxa"/>
        <w:tblLook w:val="04A0" w:firstRow="1" w:lastRow="0" w:firstColumn="1" w:lastColumn="0" w:noHBand="0" w:noVBand="1"/>
      </w:tblPr>
      <w:tblGrid>
        <w:gridCol w:w="1540"/>
        <w:gridCol w:w="1260"/>
        <w:gridCol w:w="1820"/>
        <w:gridCol w:w="1780"/>
      </w:tblGrid>
      <w:tr w:rsidR="00ED4965" w:rsidRPr="00ED4965" w:rsidTr="00ED4965">
        <w:trPr>
          <w:trHeight w:val="690"/>
          <w:tblHeader/>
        </w:trPr>
        <w:tc>
          <w:tcPr>
            <w:tcW w:w="28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Final MHAC Score</w:t>
            </w:r>
          </w:p>
        </w:tc>
        <w:tc>
          <w:tcPr>
            <w:tcW w:w="1820" w:type="dxa"/>
            <w:tcBorders>
              <w:top w:val="single" w:sz="4" w:space="0" w:color="auto"/>
              <w:left w:val="nil"/>
              <w:bottom w:val="nil"/>
              <w:right w:val="single" w:sz="4" w:space="0" w:color="auto"/>
            </w:tcBorders>
            <w:shd w:val="clear" w:color="000000" w:fill="D9D9D9"/>
            <w:vAlign w:val="center"/>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Below State Quality Target</w:t>
            </w:r>
          </w:p>
        </w:tc>
        <w:tc>
          <w:tcPr>
            <w:tcW w:w="1780" w:type="dxa"/>
            <w:tcBorders>
              <w:top w:val="single" w:sz="4" w:space="0" w:color="auto"/>
              <w:left w:val="nil"/>
              <w:bottom w:val="nil"/>
              <w:right w:val="single" w:sz="4" w:space="0" w:color="auto"/>
            </w:tcBorders>
            <w:shd w:val="clear" w:color="000000" w:fill="D9D9D9"/>
            <w:vAlign w:val="center"/>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Exceed State Quality Target</w:t>
            </w:r>
          </w:p>
        </w:tc>
      </w:tr>
      <w:tr w:rsidR="00ED4965" w:rsidRPr="00ED4965" w:rsidTr="00ED4965">
        <w:trPr>
          <w:trHeight w:val="600"/>
        </w:trPr>
        <w:tc>
          <w:tcPr>
            <w:tcW w:w="1540" w:type="dxa"/>
            <w:tcBorders>
              <w:top w:val="nil"/>
              <w:left w:val="single" w:sz="4" w:space="0" w:color="auto"/>
              <w:bottom w:val="single" w:sz="4" w:space="0" w:color="auto"/>
              <w:right w:val="nil"/>
            </w:tcBorders>
            <w:shd w:val="clear" w:color="auto" w:fill="auto"/>
            <w:vAlign w:val="bottom"/>
            <w:hideMark/>
          </w:tcPr>
          <w:p w:rsidR="00ED4965" w:rsidRPr="00ED4965" w:rsidRDefault="00ED4965" w:rsidP="00ED4965">
            <w:pPr>
              <w:widowControl/>
              <w:autoSpaceDE/>
              <w:autoSpaceDN/>
              <w:adjustRightInd/>
              <w:rPr>
                <w:rFonts w:ascii="Calibri" w:hAnsi="Calibri"/>
                <w:b/>
                <w:bCs/>
                <w:color w:val="000000"/>
                <w:sz w:val="22"/>
                <w:szCs w:val="22"/>
              </w:rPr>
            </w:pPr>
            <w:r w:rsidRPr="00ED4965">
              <w:rPr>
                <w:rFonts w:ascii="Calibri" w:hAnsi="Calibri"/>
                <w:b/>
                <w:bCs/>
                <w:color w:val="000000"/>
                <w:sz w:val="22"/>
                <w:szCs w:val="22"/>
              </w:rPr>
              <w:t>Scores less than or equal to</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0.17</w:t>
            </w:r>
          </w:p>
        </w:tc>
        <w:tc>
          <w:tcPr>
            <w:tcW w:w="1820" w:type="dxa"/>
            <w:tcBorders>
              <w:top w:val="single" w:sz="4" w:space="0" w:color="auto"/>
              <w:left w:val="nil"/>
              <w:bottom w:val="single" w:sz="4" w:space="0" w:color="auto"/>
              <w:right w:val="single" w:sz="4" w:space="0" w:color="auto"/>
            </w:tcBorders>
            <w:shd w:val="clear" w:color="000000" w:fill="FFFFFF"/>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-4.00%</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-1.00%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-3.88%</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-0.97%</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-3.76%</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-0.93%</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-3.65%</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-3.53%</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-0.86%</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-3.41%</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-0.83%</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-3.29%</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-0.79%</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-3.18%</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-0.76%</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-3.06%</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-0.72%</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-2.94%</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-0.69%</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-2.82%</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-0.66%</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-2.71%</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-0.62%</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-2.59%</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-0.59%</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-2.47%</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-2.35%</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-0.52%</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-2.24%</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-0.48%</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-2.12%</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-2.00%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-0.41%</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-1.88%</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-0.38%</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-1.76%</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-0.34%</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-1.65%</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-0.31%</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-1.53%</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-0.28%</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-1.41%</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-0.24%</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-1.29%</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-0.21%</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-1.18%</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-0.17%</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-1.06%</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-0.14%</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-0.94%</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-0.82%</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-0.07%</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-0.71%</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-0.03%</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-0.59%</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-0.47%</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-0.35%</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-0.24%</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-0.12%</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0.15%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0.25%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0.35%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0.45%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0.71</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0.55%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0.72</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0.73</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0.65%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0.74</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0.75</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0.76</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0.80%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0.77</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0.85%</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0.90%</w:t>
            </w:r>
          </w:p>
        </w:tc>
      </w:tr>
      <w:tr w:rsidR="00ED4965" w:rsidRPr="00ED4965" w:rsidTr="00ED4965">
        <w:trPr>
          <w:trHeight w:val="270"/>
        </w:trPr>
        <w:tc>
          <w:tcPr>
            <w:tcW w:w="1540" w:type="dxa"/>
            <w:tcBorders>
              <w:top w:val="nil"/>
              <w:left w:val="single" w:sz="4" w:space="0" w:color="auto"/>
              <w:bottom w:val="single" w:sz="4" w:space="0" w:color="auto"/>
              <w:right w:val="nil"/>
            </w:tcBorders>
            <w:shd w:val="clear" w:color="auto" w:fill="auto"/>
            <w:noWrap/>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0.79</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color w:val="000000"/>
                <w:sz w:val="22"/>
                <w:szCs w:val="22"/>
              </w:rPr>
            </w:pPr>
            <w:r w:rsidRPr="00ED4965">
              <w:rPr>
                <w:rFonts w:ascii="Calibri" w:hAnsi="Calibri"/>
                <w:color w:val="000000"/>
                <w:sz w:val="22"/>
                <w:szCs w:val="22"/>
              </w:rPr>
              <w:t>0.95%</w:t>
            </w:r>
          </w:p>
        </w:tc>
      </w:tr>
      <w:tr w:rsidR="00ED4965" w:rsidRPr="00ED4965" w:rsidTr="00ED4965">
        <w:trPr>
          <w:trHeight w:val="555"/>
        </w:trPr>
        <w:tc>
          <w:tcPr>
            <w:tcW w:w="1540" w:type="dxa"/>
            <w:tcBorders>
              <w:top w:val="nil"/>
              <w:left w:val="single" w:sz="4" w:space="0" w:color="auto"/>
              <w:bottom w:val="single" w:sz="4" w:space="0" w:color="auto"/>
              <w:right w:val="nil"/>
            </w:tcBorders>
            <w:shd w:val="clear" w:color="auto" w:fill="auto"/>
            <w:vAlign w:val="bottom"/>
            <w:hideMark/>
          </w:tcPr>
          <w:p w:rsidR="00ED4965" w:rsidRPr="00ED4965" w:rsidRDefault="00ED4965" w:rsidP="00ED4965">
            <w:pPr>
              <w:widowControl/>
              <w:autoSpaceDE/>
              <w:autoSpaceDN/>
              <w:adjustRightInd/>
              <w:rPr>
                <w:rFonts w:ascii="Calibri" w:hAnsi="Calibri"/>
                <w:b/>
                <w:bCs/>
                <w:color w:val="000000"/>
                <w:sz w:val="22"/>
                <w:szCs w:val="22"/>
              </w:rPr>
            </w:pPr>
            <w:r w:rsidRPr="00ED4965">
              <w:rPr>
                <w:rFonts w:ascii="Calibri" w:hAnsi="Calibri"/>
                <w:b/>
                <w:bCs/>
                <w:color w:val="000000"/>
                <w:sz w:val="22"/>
                <w:szCs w:val="22"/>
              </w:rPr>
              <w:t>Scores greater than or equal to</w:t>
            </w:r>
          </w:p>
        </w:tc>
        <w:tc>
          <w:tcPr>
            <w:tcW w:w="126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0.8</w:t>
            </w:r>
          </w:p>
        </w:tc>
        <w:tc>
          <w:tcPr>
            <w:tcW w:w="182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1.00%</w:t>
            </w:r>
          </w:p>
        </w:tc>
      </w:tr>
      <w:tr w:rsidR="00ED4965" w:rsidRPr="00ED4965" w:rsidTr="00ED4965">
        <w:trPr>
          <w:trHeight w:val="300"/>
        </w:trPr>
        <w:tc>
          <w:tcPr>
            <w:tcW w:w="1540" w:type="dxa"/>
            <w:tcBorders>
              <w:top w:val="nil"/>
              <w:left w:val="nil"/>
              <w:bottom w:val="nil"/>
              <w:right w:val="nil"/>
            </w:tcBorders>
            <w:shd w:val="clear" w:color="auto" w:fill="auto"/>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p>
        </w:tc>
        <w:tc>
          <w:tcPr>
            <w:tcW w:w="1260" w:type="dxa"/>
            <w:tcBorders>
              <w:top w:val="nil"/>
              <w:left w:val="nil"/>
              <w:bottom w:val="nil"/>
              <w:right w:val="nil"/>
            </w:tcBorders>
            <w:shd w:val="clear" w:color="auto" w:fill="auto"/>
            <w:noWrap/>
            <w:vAlign w:val="bottom"/>
            <w:hideMark/>
          </w:tcPr>
          <w:p w:rsidR="00ED4965" w:rsidRPr="00ED4965" w:rsidRDefault="00ED4965" w:rsidP="00ED4965">
            <w:pPr>
              <w:widowControl/>
              <w:autoSpaceDE/>
              <w:autoSpaceDN/>
              <w:adjustRightInd/>
              <w:rPr>
                <w:sz w:val="20"/>
                <w:szCs w:val="20"/>
              </w:rPr>
            </w:pPr>
          </w:p>
        </w:tc>
        <w:tc>
          <w:tcPr>
            <w:tcW w:w="1820" w:type="dxa"/>
            <w:tcBorders>
              <w:top w:val="nil"/>
              <w:left w:val="nil"/>
              <w:bottom w:val="nil"/>
              <w:right w:val="nil"/>
            </w:tcBorders>
            <w:shd w:val="clear" w:color="auto" w:fill="auto"/>
            <w:noWrap/>
            <w:vAlign w:val="bottom"/>
            <w:hideMark/>
          </w:tcPr>
          <w:p w:rsidR="00ED4965" w:rsidRPr="00ED4965" w:rsidRDefault="00ED4965" w:rsidP="00ED4965">
            <w:pPr>
              <w:widowControl/>
              <w:autoSpaceDE/>
              <w:autoSpaceDN/>
              <w:adjustRightInd/>
              <w:jc w:val="center"/>
              <w:rPr>
                <w:sz w:val="20"/>
                <w:szCs w:val="20"/>
              </w:rPr>
            </w:pPr>
          </w:p>
        </w:tc>
        <w:tc>
          <w:tcPr>
            <w:tcW w:w="1780" w:type="dxa"/>
            <w:tcBorders>
              <w:top w:val="nil"/>
              <w:left w:val="nil"/>
              <w:bottom w:val="nil"/>
              <w:right w:val="nil"/>
            </w:tcBorders>
            <w:shd w:val="clear" w:color="auto" w:fill="auto"/>
            <w:noWrap/>
            <w:vAlign w:val="bottom"/>
            <w:hideMark/>
          </w:tcPr>
          <w:p w:rsidR="00ED4965" w:rsidRPr="00ED4965" w:rsidRDefault="00ED4965" w:rsidP="00ED4965">
            <w:pPr>
              <w:widowControl/>
              <w:autoSpaceDE/>
              <w:autoSpaceDN/>
              <w:adjustRightInd/>
              <w:jc w:val="center"/>
              <w:rPr>
                <w:sz w:val="20"/>
                <w:szCs w:val="20"/>
              </w:rPr>
            </w:pPr>
          </w:p>
        </w:tc>
      </w:tr>
      <w:tr w:rsidR="00ED4965" w:rsidRPr="00ED4965" w:rsidTr="00ED4965">
        <w:trPr>
          <w:trHeight w:val="270"/>
        </w:trPr>
        <w:tc>
          <w:tcPr>
            <w:tcW w:w="280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Penalty threshold:</w:t>
            </w:r>
          </w:p>
        </w:tc>
        <w:tc>
          <w:tcPr>
            <w:tcW w:w="1820" w:type="dxa"/>
            <w:tcBorders>
              <w:top w:val="single" w:sz="4" w:space="0" w:color="auto"/>
              <w:left w:val="nil"/>
              <w:bottom w:val="single" w:sz="4" w:space="0" w:color="auto"/>
              <w:right w:val="single" w:sz="4" w:space="0" w:color="auto"/>
            </w:tcBorders>
            <w:shd w:val="clear" w:color="000000" w:fill="D9D9D9"/>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0.51</w:t>
            </w:r>
          </w:p>
        </w:tc>
        <w:tc>
          <w:tcPr>
            <w:tcW w:w="1780" w:type="dxa"/>
            <w:tcBorders>
              <w:top w:val="single" w:sz="4" w:space="0" w:color="auto"/>
              <w:left w:val="nil"/>
              <w:bottom w:val="single" w:sz="4" w:space="0" w:color="auto"/>
              <w:right w:val="single" w:sz="4" w:space="0" w:color="auto"/>
            </w:tcBorders>
            <w:shd w:val="clear" w:color="000000" w:fill="D9D9D9"/>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0.46</w:t>
            </w:r>
          </w:p>
        </w:tc>
      </w:tr>
      <w:tr w:rsidR="00ED4965" w:rsidRPr="00ED4965" w:rsidTr="00ED4965">
        <w:trPr>
          <w:trHeight w:val="270"/>
        </w:trPr>
        <w:tc>
          <w:tcPr>
            <w:tcW w:w="280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Reward Threshold</w:t>
            </w:r>
          </w:p>
        </w:tc>
        <w:tc>
          <w:tcPr>
            <w:tcW w:w="1820" w:type="dxa"/>
            <w:tcBorders>
              <w:top w:val="nil"/>
              <w:left w:val="nil"/>
              <w:bottom w:val="single" w:sz="4" w:space="0" w:color="auto"/>
              <w:right w:val="single" w:sz="4" w:space="0" w:color="auto"/>
            </w:tcBorders>
            <w:shd w:val="clear" w:color="000000" w:fill="D9D9D9"/>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No rewards</w:t>
            </w:r>
          </w:p>
        </w:tc>
        <w:tc>
          <w:tcPr>
            <w:tcW w:w="1780" w:type="dxa"/>
            <w:tcBorders>
              <w:top w:val="nil"/>
              <w:left w:val="nil"/>
              <w:bottom w:val="single" w:sz="4" w:space="0" w:color="auto"/>
              <w:right w:val="single" w:sz="4" w:space="0" w:color="auto"/>
            </w:tcBorders>
            <w:shd w:val="clear" w:color="000000" w:fill="D9D9D9"/>
            <w:vAlign w:val="bottom"/>
            <w:hideMark/>
          </w:tcPr>
          <w:p w:rsidR="00ED4965" w:rsidRPr="00ED4965" w:rsidRDefault="00ED4965" w:rsidP="00ED4965">
            <w:pPr>
              <w:widowControl/>
              <w:autoSpaceDE/>
              <w:autoSpaceDN/>
              <w:adjustRightInd/>
              <w:jc w:val="center"/>
              <w:rPr>
                <w:rFonts w:ascii="Calibri" w:hAnsi="Calibri"/>
                <w:b/>
                <w:bCs/>
                <w:color w:val="000000"/>
                <w:sz w:val="22"/>
                <w:szCs w:val="22"/>
              </w:rPr>
            </w:pPr>
            <w:r w:rsidRPr="00ED4965">
              <w:rPr>
                <w:rFonts w:ascii="Calibri" w:hAnsi="Calibri"/>
                <w:b/>
                <w:bCs/>
                <w:color w:val="000000"/>
                <w:sz w:val="22"/>
                <w:szCs w:val="22"/>
              </w:rPr>
              <w:t>0.60</w:t>
            </w:r>
          </w:p>
        </w:tc>
      </w:tr>
      <w:tr w:rsidR="00ED4965" w:rsidRPr="00ED4965" w:rsidTr="00ED4965">
        <w:trPr>
          <w:trHeight w:val="270"/>
        </w:trPr>
        <w:tc>
          <w:tcPr>
            <w:tcW w:w="6400" w:type="dxa"/>
            <w:gridSpan w:val="4"/>
            <w:vMerge w:val="restart"/>
            <w:tcBorders>
              <w:top w:val="single" w:sz="4" w:space="0" w:color="auto"/>
              <w:left w:val="nil"/>
              <w:bottom w:val="nil"/>
              <w:right w:val="nil"/>
            </w:tcBorders>
            <w:shd w:val="clear" w:color="auto" w:fill="auto"/>
            <w:vAlign w:val="bottom"/>
            <w:hideMark/>
          </w:tcPr>
          <w:p w:rsidR="00ED4965" w:rsidRPr="00ED4965" w:rsidRDefault="00ED4965" w:rsidP="00ED4965">
            <w:pPr>
              <w:widowControl/>
              <w:autoSpaceDE/>
              <w:autoSpaceDN/>
              <w:adjustRightInd/>
              <w:rPr>
                <w:rFonts w:ascii="Calibri" w:hAnsi="Calibri"/>
                <w:color w:val="000000"/>
                <w:sz w:val="22"/>
                <w:szCs w:val="22"/>
              </w:rPr>
            </w:pPr>
            <w:r w:rsidRPr="00ED4965">
              <w:rPr>
                <w:rFonts w:ascii="Calibri" w:hAnsi="Calibri"/>
                <w:color w:val="000000"/>
                <w:sz w:val="22"/>
                <w:szCs w:val="22"/>
              </w:rPr>
              <w:t>*Minimum and maximum scaling scores based on CY 2013 Final Data Attainment Scores</w:t>
            </w:r>
          </w:p>
        </w:tc>
      </w:tr>
      <w:tr w:rsidR="00ED4965" w:rsidRPr="00ED4965" w:rsidTr="00ED4965">
        <w:trPr>
          <w:trHeight w:val="300"/>
        </w:trPr>
        <w:tc>
          <w:tcPr>
            <w:tcW w:w="6400" w:type="dxa"/>
            <w:gridSpan w:val="4"/>
            <w:vMerge/>
            <w:tcBorders>
              <w:top w:val="single" w:sz="4" w:space="0" w:color="auto"/>
              <w:left w:val="nil"/>
              <w:bottom w:val="nil"/>
              <w:right w:val="nil"/>
            </w:tcBorders>
            <w:vAlign w:val="center"/>
            <w:hideMark/>
          </w:tcPr>
          <w:p w:rsidR="00ED4965" w:rsidRPr="00ED4965" w:rsidRDefault="00ED4965" w:rsidP="00ED4965">
            <w:pPr>
              <w:widowControl/>
              <w:autoSpaceDE/>
              <w:autoSpaceDN/>
              <w:adjustRightInd/>
              <w:rPr>
                <w:rFonts w:ascii="Calibri" w:hAnsi="Calibri"/>
                <w:color w:val="000000"/>
                <w:sz w:val="22"/>
                <w:szCs w:val="22"/>
              </w:rPr>
            </w:pPr>
          </w:p>
        </w:tc>
      </w:tr>
    </w:tbl>
    <w:p w:rsidR="00ED4965" w:rsidRPr="005163F8" w:rsidRDefault="00ED4965" w:rsidP="005163F8">
      <w:pPr>
        <w:spacing w:after="120"/>
        <w:ind w:left="720"/>
        <w:rPr>
          <w:rFonts w:ascii="Arial" w:hAnsi="Arial" w:cs="Arial"/>
          <w:sz w:val="22"/>
          <w:szCs w:val="22"/>
        </w:rPr>
      </w:pPr>
    </w:p>
    <w:sectPr w:rsidR="00ED4965" w:rsidRPr="005163F8" w:rsidSect="00136F22">
      <w:pgSz w:w="12240" w:h="15840" w:code="1"/>
      <w:pgMar w:top="1584" w:right="1440" w:bottom="720" w:left="1440" w:header="720" w:footer="720" w:gutter="0"/>
      <w:cols w:space="720"/>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97D" w:rsidRDefault="00B4697D">
      <w:r>
        <w:separator/>
      </w:r>
    </w:p>
  </w:endnote>
  <w:endnote w:type="continuationSeparator" w:id="0">
    <w:p w:rsidR="00B4697D" w:rsidRDefault="00B4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32227"/>
      <w:docPartObj>
        <w:docPartGallery w:val="Page Numbers (Bottom of Page)"/>
        <w:docPartUnique/>
      </w:docPartObj>
    </w:sdtPr>
    <w:sdtEndPr/>
    <w:sdtContent>
      <w:p w:rsidR="0029573B" w:rsidRDefault="0029573B">
        <w:pPr>
          <w:pStyle w:val="Footer"/>
          <w:jc w:val="center"/>
        </w:pPr>
        <w:r>
          <w:fldChar w:fldCharType="begin"/>
        </w:r>
        <w:r>
          <w:instrText xml:space="preserve"> PAGE   \* MERGEFORMAT </w:instrText>
        </w:r>
        <w:r>
          <w:fldChar w:fldCharType="separate"/>
        </w:r>
        <w:r w:rsidR="002160C6">
          <w:rPr>
            <w:noProof/>
          </w:rPr>
          <w:t>7</w:t>
        </w:r>
        <w:r>
          <w:rPr>
            <w:noProof/>
          </w:rPr>
          <w:fldChar w:fldCharType="end"/>
        </w:r>
      </w:p>
    </w:sdtContent>
  </w:sdt>
  <w:p w:rsidR="0029573B" w:rsidRDefault="0029573B" w:rsidP="00B823A9">
    <w:pPr>
      <w:pStyle w:val="Footer"/>
      <w:tabs>
        <w:tab w:val="clear" w:pos="4320"/>
        <w:tab w:val="clear" w:pos="8640"/>
        <w:tab w:val="left" w:pos="62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53544"/>
      <w:docPartObj>
        <w:docPartGallery w:val="Page Numbers (Bottom of Page)"/>
        <w:docPartUnique/>
      </w:docPartObj>
    </w:sdtPr>
    <w:sdtEndPr>
      <w:rPr>
        <w:noProof/>
      </w:rPr>
    </w:sdtEndPr>
    <w:sdtContent>
      <w:p w:rsidR="0029573B" w:rsidRDefault="0029573B">
        <w:pPr>
          <w:pStyle w:val="Footer"/>
          <w:jc w:val="center"/>
        </w:pPr>
        <w:r>
          <w:fldChar w:fldCharType="begin"/>
        </w:r>
        <w:r>
          <w:instrText xml:space="preserve"> PAGE   \* MERGEFORMAT </w:instrText>
        </w:r>
        <w:r>
          <w:fldChar w:fldCharType="separate"/>
        </w:r>
        <w:r w:rsidR="002160C6">
          <w:rPr>
            <w:noProof/>
          </w:rPr>
          <w:t>10</w:t>
        </w:r>
        <w:r>
          <w:rPr>
            <w:noProof/>
          </w:rPr>
          <w:fldChar w:fldCharType="end"/>
        </w:r>
      </w:p>
    </w:sdtContent>
  </w:sdt>
  <w:p w:rsidR="0029573B" w:rsidRPr="001E6C28" w:rsidRDefault="0029573B" w:rsidP="00124C87">
    <w:pPr>
      <w:pStyle w:val="Footer"/>
      <w:jc w:val="cen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97D" w:rsidRDefault="00B4697D">
      <w:r>
        <w:separator/>
      </w:r>
    </w:p>
  </w:footnote>
  <w:footnote w:type="continuationSeparator" w:id="0">
    <w:p w:rsidR="00B4697D" w:rsidRDefault="00B46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73B" w:rsidRDefault="00295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5D77"/>
    <w:multiLevelType w:val="hybridMultilevel"/>
    <w:tmpl w:val="FA86774A"/>
    <w:lvl w:ilvl="0" w:tplc="04090019">
      <w:start w:val="1"/>
      <w:numFmt w:val="lowerLetter"/>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A4355"/>
    <w:multiLevelType w:val="hybridMultilevel"/>
    <w:tmpl w:val="9CDC2520"/>
    <w:lvl w:ilvl="0" w:tplc="A274AF52">
      <w:start w:val="1"/>
      <w:numFmt w:val="bullet"/>
      <w:lvlText w:val="•"/>
      <w:lvlJc w:val="left"/>
      <w:pPr>
        <w:tabs>
          <w:tab w:val="num" w:pos="720"/>
        </w:tabs>
        <w:ind w:left="720" w:hanging="360"/>
      </w:pPr>
      <w:rPr>
        <w:rFonts w:ascii="Times New Roman" w:hAnsi="Times New Roman" w:hint="default"/>
      </w:rPr>
    </w:lvl>
    <w:lvl w:ilvl="1" w:tplc="6040FD38" w:tentative="1">
      <w:start w:val="1"/>
      <w:numFmt w:val="bullet"/>
      <w:lvlText w:val="•"/>
      <w:lvlJc w:val="left"/>
      <w:pPr>
        <w:tabs>
          <w:tab w:val="num" w:pos="1440"/>
        </w:tabs>
        <w:ind w:left="1440" w:hanging="360"/>
      </w:pPr>
      <w:rPr>
        <w:rFonts w:ascii="Times New Roman" w:hAnsi="Times New Roman" w:hint="default"/>
      </w:rPr>
    </w:lvl>
    <w:lvl w:ilvl="2" w:tplc="00EA7C0E" w:tentative="1">
      <w:start w:val="1"/>
      <w:numFmt w:val="bullet"/>
      <w:lvlText w:val="•"/>
      <w:lvlJc w:val="left"/>
      <w:pPr>
        <w:tabs>
          <w:tab w:val="num" w:pos="2160"/>
        </w:tabs>
        <w:ind w:left="2160" w:hanging="360"/>
      </w:pPr>
      <w:rPr>
        <w:rFonts w:ascii="Times New Roman" w:hAnsi="Times New Roman" w:hint="default"/>
      </w:rPr>
    </w:lvl>
    <w:lvl w:ilvl="3" w:tplc="BFD6E68E" w:tentative="1">
      <w:start w:val="1"/>
      <w:numFmt w:val="bullet"/>
      <w:lvlText w:val="•"/>
      <w:lvlJc w:val="left"/>
      <w:pPr>
        <w:tabs>
          <w:tab w:val="num" w:pos="2880"/>
        </w:tabs>
        <w:ind w:left="2880" w:hanging="360"/>
      </w:pPr>
      <w:rPr>
        <w:rFonts w:ascii="Times New Roman" w:hAnsi="Times New Roman" w:hint="default"/>
      </w:rPr>
    </w:lvl>
    <w:lvl w:ilvl="4" w:tplc="7A48C2DA" w:tentative="1">
      <w:start w:val="1"/>
      <w:numFmt w:val="bullet"/>
      <w:lvlText w:val="•"/>
      <w:lvlJc w:val="left"/>
      <w:pPr>
        <w:tabs>
          <w:tab w:val="num" w:pos="3600"/>
        </w:tabs>
        <w:ind w:left="3600" w:hanging="360"/>
      </w:pPr>
      <w:rPr>
        <w:rFonts w:ascii="Times New Roman" w:hAnsi="Times New Roman" w:hint="default"/>
      </w:rPr>
    </w:lvl>
    <w:lvl w:ilvl="5" w:tplc="B2CA8D0E" w:tentative="1">
      <w:start w:val="1"/>
      <w:numFmt w:val="bullet"/>
      <w:lvlText w:val="•"/>
      <w:lvlJc w:val="left"/>
      <w:pPr>
        <w:tabs>
          <w:tab w:val="num" w:pos="4320"/>
        </w:tabs>
        <w:ind w:left="4320" w:hanging="360"/>
      </w:pPr>
      <w:rPr>
        <w:rFonts w:ascii="Times New Roman" w:hAnsi="Times New Roman" w:hint="default"/>
      </w:rPr>
    </w:lvl>
    <w:lvl w:ilvl="6" w:tplc="E708C3F4" w:tentative="1">
      <w:start w:val="1"/>
      <w:numFmt w:val="bullet"/>
      <w:lvlText w:val="•"/>
      <w:lvlJc w:val="left"/>
      <w:pPr>
        <w:tabs>
          <w:tab w:val="num" w:pos="5040"/>
        </w:tabs>
        <w:ind w:left="5040" w:hanging="360"/>
      </w:pPr>
      <w:rPr>
        <w:rFonts w:ascii="Times New Roman" w:hAnsi="Times New Roman" w:hint="default"/>
      </w:rPr>
    </w:lvl>
    <w:lvl w:ilvl="7" w:tplc="1B48E29A" w:tentative="1">
      <w:start w:val="1"/>
      <w:numFmt w:val="bullet"/>
      <w:lvlText w:val="•"/>
      <w:lvlJc w:val="left"/>
      <w:pPr>
        <w:tabs>
          <w:tab w:val="num" w:pos="5760"/>
        </w:tabs>
        <w:ind w:left="5760" w:hanging="360"/>
      </w:pPr>
      <w:rPr>
        <w:rFonts w:ascii="Times New Roman" w:hAnsi="Times New Roman" w:hint="default"/>
      </w:rPr>
    </w:lvl>
    <w:lvl w:ilvl="8" w:tplc="A9C6889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3101A4"/>
    <w:multiLevelType w:val="hybridMultilevel"/>
    <w:tmpl w:val="5C443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BF7C1C"/>
    <w:multiLevelType w:val="hybridMultilevel"/>
    <w:tmpl w:val="016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50172"/>
    <w:multiLevelType w:val="hybridMultilevel"/>
    <w:tmpl w:val="4BEE36DE"/>
    <w:lvl w:ilvl="0" w:tplc="04F8E29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037172"/>
    <w:multiLevelType w:val="multilevel"/>
    <w:tmpl w:val="309AF36E"/>
    <w:lvl w:ilvl="0">
      <w:start w:val="1"/>
      <w:numFmt w:val="decimal"/>
      <w:lvlText w:val="%1."/>
      <w:lvlJc w:val="left"/>
      <w:pPr>
        <w:tabs>
          <w:tab w:val="num" w:pos="720"/>
        </w:tabs>
        <w:ind w:left="720" w:hanging="360"/>
      </w:pPr>
      <w:rPr>
        <w:rFonts w:ascii="Book Antiqua" w:eastAsia="Times New Roman" w:hAnsi="Book Antiqua"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80D09"/>
    <w:multiLevelType w:val="hybridMultilevel"/>
    <w:tmpl w:val="7DE2CAEE"/>
    <w:lvl w:ilvl="0" w:tplc="9126EE78">
      <w:start w:val="1"/>
      <w:numFmt w:val="bullet"/>
      <w:lvlText w:val="•"/>
      <w:lvlJc w:val="left"/>
      <w:pPr>
        <w:tabs>
          <w:tab w:val="num" w:pos="720"/>
        </w:tabs>
        <w:ind w:left="720" w:hanging="360"/>
      </w:pPr>
      <w:rPr>
        <w:rFonts w:ascii="Times New Roman" w:hAnsi="Times New Roman" w:hint="default"/>
      </w:rPr>
    </w:lvl>
    <w:lvl w:ilvl="1" w:tplc="290C2BF2" w:tentative="1">
      <w:start w:val="1"/>
      <w:numFmt w:val="bullet"/>
      <w:lvlText w:val="•"/>
      <w:lvlJc w:val="left"/>
      <w:pPr>
        <w:tabs>
          <w:tab w:val="num" w:pos="1440"/>
        </w:tabs>
        <w:ind w:left="1440" w:hanging="360"/>
      </w:pPr>
      <w:rPr>
        <w:rFonts w:ascii="Times New Roman" w:hAnsi="Times New Roman" w:hint="default"/>
      </w:rPr>
    </w:lvl>
    <w:lvl w:ilvl="2" w:tplc="372611B4" w:tentative="1">
      <w:start w:val="1"/>
      <w:numFmt w:val="bullet"/>
      <w:lvlText w:val="•"/>
      <w:lvlJc w:val="left"/>
      <w:pPr>
        <w:tabs>
          <w:tab w:val="num" w:pos="2160"/>
        </w:tabs>
        <w:ind w:left="2160" w:hanging="360"/>
      </w:pPr>
      <w:rPr>
        <w:rFonts w:ascii="Times New Roman" w:hAnsi="Times New Roman" w:hint="default"/>
      </w:rPr>
    </w:lvl>
    <w:lvl w:ilvl="3" w:tplc="97A64380" w:tentative="1">
      <w:start w:val="1"/>
      <w:numFmt w:val="bullet"/>
      <w:lvlText w:val="•"/>
      <w:lvlJc w:val="left"/>
      <w:pPr>
        <w:tabs>
          <w:tab w:val="num" w:pos="2880"/>
        </w:tabs>
        <w:ind w:left="2880" w:hanging="360"/>
      </w:pPr>
      <w:rPr>
        <w:rFonts w:ascii="Times New Roman" w:hAnsi="Times New Roman" w:hint="default"/>
      </w:rPr>
    </w:lvl>
    <w:lvl w:ilvl="4" w:tplc="EDD0C56C" w:tentative="1">
      <w:start w:val="1"/>
      <w:numFmt w:val="bullet"/>
      <w:lvlText w:val="•"/>
      <w:lvlJc w:val="left"/>
      <w:pPr>
        <w:tabs>
          <w:tab w:val="num" w:pos="3600"/>
        </w:tabs>
        <w:ind w:left="3600" w:hanging="360"/>
      </w:pPr>
      <w:rPr>
        <w:rFonts w:ascii="Times New Roman" w:hAnsi="Times New Roman" w:hint="default"/>
      </w:rPr>
    </w:lvl>
    <w:lvl w:ilvl="5" w:tplc="3654C0DE" w:tentative="1">
      <w:start w:val="1"/>
      <w:numFmt w:val="bullet"/>
      <w:lvlText w:val="•"/>
      <w:lvlJc w:val="left"/>
      <w:pPr>
        <w:tabs>
          <w:tab w:val="num" w:pos="4320"/>
        </w:tabs>
        <w:ind w:left="4320" w:hanging="360"/>
      </w:pPr>
      <w:rPr>
        <w:rFonts w:ascii="Times New Roman" w:hAnsi="Times New Roman" w:hint="default"/>
      </w:rPr>
    </w:lvl>
    <w:lvl w:ilvl="6" w:tplc="B14406EC" w:tentative="1">
      <w:start w:val="1"/>
      <w:numFmt w:val="bullet"/>
      <w:lvlText w:val="•"/>
      <w:lvlJc w:val="left"/>
      <w:pPr>
        <w:tabs>
          <w:tab w:val="num" w:pos="5040"/>
        </w:tabs>
        <w:ind w:left="5040" w:hanging="360"/>
      </w:pPr>
      <w:rPr>
        <w:rFonts w:ascii="Times New Roman" w:hAnsi="Times New Roman" w:hint="default"/>
      </w:rPr>
    </w:lvl>
    <w:lvl w:ilvl="7" w:tplc="F33E3BA2" w:tentative="1">
      <w:start w:val="1"/>
      <w:numFmt w:val="bullet"/>
      <w:lvlText w:val="•"/>
      <w:lvlJc w:val="left"/>
      <w:pPr>
        <w:tabs>
          <w:tab w:val="num" w:pos="5760"/>
        </w:tabs>
        <w:ind w:left="5760" w:hanging="360"/>
      </w:pPr>
      <w:rPr>
        <w:rFonts w:ascii="Times New Roman" w:hAnsi="Times New Roman" w:hint="default"/>
      </w:rPr>
    </w:lvl>
    <w:lvl w:ilvl="8" w:tplc="2A00A15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5E3342"/>
    <w:multiLevelType w:val="hybridMultilevel"/>
    <w:tmpl w:val="3822C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775E0"/>
    <w:multiLevelType w:val="multilevel"/>
    <w:tmpl w:val="309AF36E"/>
    <w:lvl w:ilvl="0">
      <w:start w:val="1"/>
      <w:numFmt w:val="decimal"/>
      <w:lvlText w:val="%1."/>
      <w:lvlJc w:val="left"/>
      <w:pPr>
        <w:tabs>
          <w:tab w:val="num" w:pos="720"/>
        </w:tabs>
        <w:ind w:left="720" w:hanging="360"/>
      </w:pPr>
      <w:rPr>
        <w:rFonts w:ascii="Book Antiqua" w:eastAsia="Times New Roman" w:hAnsi="Book Antiqua"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173D40"/>
    <w:multiLevelType w:val="hybridMultilevel"/>
    <w:tmpl w:val="222A1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4B0A2D"/>
    <w:multiLevelType w:val="hybridMultilevel"/>
    <w:tmpl w:val="1EF89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F3481"/>
    <w:multiLevelType w:val="multilevel"/>
    <w:tmpl w:val="09A44092"/>
    <w:lvl w:ilvl="0">
      <w:start w:val="1"/>
      <w:numFmt w:val="decimal"/>
      <w:lvlText w:val="%1."/>
      <w:lvlJc w:val="left"/>
      <w:pPr>
        <w:tabs>
          <w:tab w:val="num" w:pos="8"/>
        </w:tabs>
        <w:ind w:left="8" w:hanging="360"/>
      </w:pPr>
    </w:lvl>
    <w:lvl w:ilvl="1" w:tentative="1">
      <w:start w:val="1"/>
      <w:numFmt w:val="decimal"/>
      <w:lvlText w:val="%2."/>
      <w:lvlJc w:val="left"/>
      <w:pPr>
        <w:tabs>
          <w:tab w:val="num" w:pos="728"/>
        </w:tabs>
        <w:ind w:left="728" w:hanging="360"/>
      </w:pPr>
    </w:lvl>
    <w:lvl w:ilvl="2" w:tentative="1">
      <w:start w:val="1"/>
      <w:numFmt w:val="decimal"/>
      <w:lvlText w:val="%3."/>
      <w:lvlJc w:val="left"/>
      <w:pPr>
        <w:tabs>
          <w:tab w:val="num" w:pos="1448"/>
        </w:tabs>
        <w:ind w:left="1448" w:hanging="360"/>
      </w:pPr>
    </w:lvl>
    <w:lvl w:ilvl="3" w:tentative="1">
      <w:start w:val="1"/>
      <w:numFmt w:val="decimal"/>
      <w:lvlText w:val="%4."/>
      <w:lvlJc w:val="left"/>
      <w:pPr>
        <w:tabs>
          <w:tab w:val="num" w:pos="2168"/>
        </w:tabs>
        <w:ind w:left="2168" w:hanging="360"/>
      </w:pPr>
    </w:lvl>
    <w:lvl w:ilvl="4" w:tentative="1">
      <w:start w:val="1"/>
      <w:numFmt w:val="decimal"/>
      <w:lvlText w:val="%5."/>
      <w:lvlJc w:val="left"/>
      <w:pPr>
        <w:tabs>
          <w:tab w:val="num" w:pos="2888"/>
        </w:tabs>
        <w:ind w:left="2888" w:hanging="360"/>
      </w:pPr>
    </w:lvl>
    <w:lvl w:ilvl="5" w:tentative="1">
      <w:start w:val="1"/>
      <w:numFmt w:val="decimal"/>
      <w:lvlText w:val="%6."/>
      <w:lvlJc w:val="left"/>
      <w:pPr>
        <w:tabs>
          <w:tab w:val="num" w:pos="3608"/>
        </w:tabs>
        <w:ind w:left="3608" w:hanging="360"/>
      </w:pPr>
    </w:lvl>
    <w:lvl w:ilvl="6" w:tentative="1">
      <w:start w:val="1"/>
      <w:numFmt w:val="decimal"/>
      <w:lvlText w:val="%7."/>
      <w:lvlJc w:val="left"/>
      <w:pPr>
        <w:tabs>
          <w:tab w:val="num" w:pos="4328"/>
        </w:tabs>
        <w:ind w:left="4328" w:hanging="360"/>
      </w:pPr>
    </w:lvl>
    <w:lvl w:ilvl="7" w:tentative="1">
      <w:start w:val="1"/>
      <w:numFmt w:val="decimal"/>
      <w:lvlText w:val="%8."/>
      <w:lvlJc w:val="left"/>
      <w:pPr>
        <w:tabs>
          <w:tab w:val="num" w:pos="5048"/>
        </w:tabs>
        <w:ind w:left="5048" w:hanging="360"/>
      </w:pPr>
    </w:lvl>
    <w:lvl w:ilvl="8" w:tentative="1">
      <w:start w:val="1"/>
      <w:numFmt w:val="decimal"/>
      <w:lvlText w:val="%9."/>
      <w:lvlJc w:val="left"/>
      <w:pPr>
        <w:tabs>
          <w:tab w:val="num" w:pos="5768"/>
        </w:tabs>
        <w:ind w:left="5768" w:hanging="360"/>
      </w:pPr>
    </w:lvl>
  </w:abstractNum>
  <w:abstractNum w:abstractNumId="12">
    <w:nsid w:val="2C6C694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6209C1"/>
    <w:multiLevelType w:val="hybridMultilevel"/>
    <w:tmpl w:val="A6DE0F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00124B"/>
    <w:multiLevelType w:val="multilevel"/>
    <w:tmpl w:val="31E0C788"/>
    <w:lvl w:ilvl="0">
      <w:start w:val="1"/>
      <w:numFmt w:val="decimal"/>
      <w:lvlText w:val="%1)"/>
      <w:lvlJc w:val="left"/>
      <w:pPr>
        <w:ind w:left="360" w:hanging="360"/>
      </w:pPr>
    </w:lvl>
    <w:lvl w:ilvl="1">
      <w:start w:val="1"/>
      <w:numFmt w:val="lowerLetter"/>
      <w:lvlText w:val="%2)"/>
      <w:lvlJc w:val="left"/>
      <w:pPr>
        <w:ind w:left="108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6BC0376"/>
    <w:multiLevelType w:val="hybridMultilevel"/>
    <w:tmpl w:val="CBB8F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B74465"/>
    <w:multiLevelType w:val="multilevel"/>
    <w:tmpl w:val="45AEAF24"/>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76E0AA6"/>
    <w:multiLevelType w:val="multilevel"/>
    <w:tmpl w:val="6D8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8D3AF6"/>
    <w:multiLevelType w:val="hybridMultilevel"/>
    <w:tmpl w:val="39026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C43C72"/>
    <w:multiLevelType w:val="hybridMultilevel"/>
    <w:tmpl w:val="2572F9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D02C6C"/>
    <w:multiLevelType w:val="hybridMultilevel"/>
    <w:tmpl w:val="2102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A426F"/>
    <w:multiLevelType w:val="hybridMultilevel"/>
    <w:tmpl w:val="CAD62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DC682E"/>
    <w:multiLevelType w:val="multilevel"/>
    <w:tmpl w:val="0D8E7C1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8AF5374"/>
    <w:multiLevelType w:val="hybridMultilevel"/>
    <w:tmpl w:val="1DEEB82C"/>
    <w:lvl w:ilvl="0" w:tplc="0D2250B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AB7A32"/>
    <w:multiLevelType w:val="hybridMultilevel"/>
    <w:tmpl w:val="60AE5958"/>
    <w:lvl w:ilvl="0" w:tplc="F95CF1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7669BB"/>
    <w:multiLevelType w:val="hybridMultilevel"/>
    <w:tmpl w:val="9798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6B1745"/>
    <w:multiLevelType w:val="hybridMultilevel"/>
    <w:tmpl w:val="79DC8672"/>
    <w:lvl w:ilvl="0" w:tplc="35EAA3EE">
      <w:start w:val="1"/>
      <w:numFmt w:val="lowerLetter"/>
      <w:lvlText w:val="%1."/>
      <w:lvlJc w:val="left"/>
      <w:pPr>
        <w:ind w:left="1080" w:hanging="360"/>
      </w:pPr>
      <w:rPr>
        <w:rFonts w:ascii="Book Antiqua" w:eastAsiaTheme="minorHAnsi"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721A31"/>
    <w:multiLevelType w:val="hybridMultilevel"/>
    <w:tmpl w:val="03620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291937"/>
    <w:multiLevelType w:val="multilevel"/>
    <w:tmpl w:val="370C5A2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94B7AC4"/>
    <w:multiLevelType w:val="hybridMultilevel"/>
    <w:tmpl w:val="038C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8"/>
  </w:num>
  <w:num w:numId="4">
    <w:abstractNumId w:val="22"/>
  </w:num>
  <w:num w:numId="5">
    <w:abstractNumId w:val="25"/>
  </w:num>
  <w:num w:numId="6">
    <w:abstractNumId w:val="24"/>
  </w:num>
  <w:num w:numId="7">
    <w:abstractNumId w:val="10"/>
  </w:num>
  <w:num w:numId="8">
    <w:abstractNumId w:val="26"/>
  </w:num>
  <w:num w:numId="9">
    <w:abstractNumId w:val="6"/>
  </w:num>
  <w:num w:numId="10">
    <w:abstractNumId w:val="1"/>
  </w:num>
  <w:num w:numId="11">
    <w:abstractNumId w:val="2"/>
  </w:num>
  <w:num w:numId="12">
    <w:abstractNumId w:val="29"/>
  </w:num>
  <w:num w:numId="13">
    <w:abstractNumId w:val="0"/>
  </w:num>
  <w:num w:numId="14">
    <w:abstractNumId w:val="17"/>
  </w:num>
  <w:num w:numId="15">
    <w:abstractNumId w:val="20"/>
  </w:num>
  <w:num w:numId="16">
    <w:abstractNumId w:val="3"/>
  </w:num>
  <w:num w:numId="17">
    <w:abstractNumId w:val="9"/>
  </w:num>
  <w:num w:numId="18">
    <w:abstractNumId w:val="27"/>
  </w:num>
  <w:num w:numId="19">
    <w:abstractNumId w:val="8"/>
  </w:num>
  <w:num w:numId="20">
    <w:abstractNumId w:val="19"/>
  </w:num>
  <w:num w:numId="21">
    <w:abstractNumId w:val="7"/>
  </w:num>
  <w:num w:numId="22">
    <w:abstractNumId w:val="4"/>
  </w:num>
  <w:num w:numId="23">
    <w:abstractNumId w:val="11"/>
  </w:num>
  <w:num w:numId="24">
    <w:abstractNumId w:val="15"/>
  </w:num>
  <w:num w:numId="25">
    <w:abstractNumId w:val="18"/>
  </w:num>
  <w:num w:numId="26">
    <w:abstractNumId w:val="16"/>
  </w:num>
  <w:num w:numId="27">
    <w:abstractNumId w:val="5"/>
  </w:num>
  <w:num w:numId="28">
    <w:abstractNumId w:val="23"/>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86"/>
    <w:rsid w:val="00000FD7"/>
    <w:rsid w:val="0000478F"/>
    <w:rsid w:val="00010C29"/>
    <w:rsid w:val="00012E7F"/>
    <w:rsid w:val="00017009"/>
    <w:rsid w:val="000255E7"/>
    <w:rsid w:val="00032238"/>
    <w:rsid w:val="00044F6B"/>
    <w:rsid w:val="00066C0D"/>
    <w:rsid w:val="00070411"/>
    <w:rsid w:val="000902BF"/>
    <w:rsid w:val="000A774C"/>
    <w:rsid w:val="000B56A6"/>
    <w:rsid w:val="000F694A"/>
    <w:rsid w:val="0010025A"/>
    <w:rsid w:val="001059E8"/>
    <w:rsid w:val="00105E0D"/>
    <w:rsid w:val="00111E84"/>
    <w:rsid w:val="00112F93"/>
    <w:rsid w:val="001216B6"/>
    <w:rsid w:val="00121B0A"/>
    <w:rsid w:val="00124C87"/>
    <w:rsid w:val="00127604"/>
    <w:rsid w:val="001309CA"/>
    <w:rsid w:val="00135034"/>
    <w:rsid w:val="00136F22"/>
    <w:rsid w:val="00140637"/>
    <w:rsid w:val="001469C4"/>
    <w:rsid w:val="001513AF"/>
    <w:rsid w:val="001845BC"/>
    <w:rsid w:val="00185140"/>
    <w:rsid w:val="001A5794"/>
    <w:rsid w:val="001B4CB1"/>
    <w:rsid w:val="001C26EC"/>
    <w:rsid w:val="001C3642"/>
    <w:rsid w:val="001D098B"/>
    <w:rsid w:val="001E09E9"/>
    <w:rsid w:val="001E11A7"/>
    <w:rsid w:val="001E4D41"/>
    <w:rsid w:val="001E4F71"/>
    <w:rsid w:val="001E6C28"/>
    <w:rsid w:val="001F2853"/>
    <w:rsid w:val="001F68A3"/>
    <w:rsid w:val="001F69FD"/>
    <w:rsid w:val="00205308"/>
    <w:rsid w:val="00206565"/>
    <w:rsid w:val="00214841"/>
    <w:rsid w:val="002160C6"/>
    <w:rsid w:val="00223889"/>
    <w:rsid w:val="00223E16"/>
    <w:rsid w:val="00224B06"/>
    <w:rsid w:val="0023135F"/>
    <w:rsid w:val="002327C7"/>
    <w:rsid w:val="00232E55"/>
    <w:rsid w:val="00233193"/>
    <w:rsid w:val="002342D7"/>
    <w:rsid w:val="00240D68"/>
    <w:rsid w:val="00240EC2"/>
    <w:rsid w:val="002444E4"/>
    <w:rsid w:val="00247993"/>
    <w:rsid w:val="0025006C"/>
    <w:rsid w:val="002663E9"/>
    <w:rsid w:val="002673F1"/>
    <w:rsid w:val="00273073"/>
    <w:rsid w:val="002814F3"/>
    <w:rsid w:val="00284E13"/>
    <w:rsid w:val="00292B29"/>
    <w:rsid w:val="0029573B"/>
    <w:rsid w:val="0029709D"/>
    <w:rsid w:val="002A5EB9"/>
    <w:rsid w:val="002C05BD"/>
    <w:rsid w:val="002D5F28"/>
    <w:rsid w:val="002E2E3C"/>
    <w:rsid w:val="002F28AA"/>
    <w:rsid w:val="002F3EF1"/>
    <w:rsid w:val="0030043B"/>
    <w:rsid w:val="003026C2"/>
    <w:rsid w:val="00307E1B"/>
    <w:rsid w:val="0031049D"/>
    <w:rsid w:val="00313752"/>
    <w:rsid w:val="00314397"/>
    <w:rsid w:val="00324CAC"/>
    <w:rsid w:val="00325CAB"/>
    <w:rsid w:val="00327FC0"/>
    <w:rsid w:val="00346A30"/>
    <w:rsid w:val="003506BB"/>
    <w:rsid w:val="00373A79"/>
    <w:rsid w:val="003742E7"/>
    <w:rsid w:val="00374362"/>
    <w:rsid w:val="003826B8"/>
    <w:rsid w:val="00391033"/>
    <w:rsid w:val="00393BC4"/>
    <w:rsid w:val="00394312"/>
    <w:rsid w:val="003A4B6D"/>
    <w:rsid w:val="003B35EC"/>
    <w:rsid w:val="003B5246"/>
    <w:rsid w:val="003B61D6"/>
    <w:rsid w:val="003C6E04"/>
    <w:rsid w:val="003D6636"/>
    <w:rsid w:val="003E1CE1"/>
    <w:rsid w:val="003E1DE2"/>
    <w:rsid w:val="003F14DB"/>
    <w:rsid w:val="0041168E"/>
    <w:rsid w:val="004174DD"/>
    <w:rsid w:val="004270DE"/>
    <w:rsid w:val="0043476E"/>
    <w:rsid w:val="00435CB0"/>
    <w:rsid w:val="004360B4"/>
    <w:rsid w:val="00440C57"/>
    <w:rsid w:val="00441750"/>
    <w:rsid w:val="00457BE7"/>
    <w:rsid w:val="00467059"/>
    <w:rsid w:val="00470F01"/>
    <w:rsid w:val="00472B95"/>
    <w:rsid w:val="004828AE"/>
    <w:rsid w:val="00492366"/>
    <w:rsid w:val="004A4408"/>
    <w:rsid w:val="004B17AE"/>
    <w:rsid w:val="004B6245"/>
    <w:rsid w:val="004C1EDD"/>
    <w:rsid w:val="004C2500"/>
    <w:rsid w:val="004C6599"/>
    <w:rsid w:val="004D1C3D"/>
    <w:rsid w:val="004D2A3F"/>
    <w:rsid w:val="004E2F2E"/>
    <w:rsid w:val="004E677D"/>
    <w:rsid w:val="004E7D0C"/>
    <w:rsid w:val="004F57F3"/>
    <w:rsid w:val="00503F50"/>
    <w:rsid w:val="005134D7"/>
    <w:rsid w:val="005163F8"/>
    <w:rsid w:val="0051764F"/>
    <w:rsid w:val="005273D7"/>
    <w:rsid w:val="00533D7D"/>
    <w:rsid w:val="00534203"/>
    <w:rsid w:val="00535EA2"/>
    <w:rsid w:val="005421E2"/>
    <w:rsid w:val="0054631B"/>
    <w:rsid w:val="00547224"/>
    <w:rsid w:val="00547F24"/>
    <w:rsid w:val="00553D1D"/>
    <w:rsid w:val="00556796"/>
    <w:rsid w:val="0055722F"/>
    <w:rsid w:val="00565ECB"/>
    <w:rsid w:val="00572C6E"/>
    <w:rsid w:val="00585C85"/>
    <w:rsid w:val="00587C75"/>
    <w:rsid w:val="005A0FED"/>
    <w:rsid w:val="005A45A8"/>
    <w:rsid w:val="005B3689"/>
    <w:rsid w:val="005C15F9"/>
    <w:rsid w:val="005C4DEF"/>
    <w:rsid w:val="005C6C0B"/>
    <w:rsid w:val="005D546A"/>
    <w:rsid w:val="005E498E"/>
    <w:rsid w:val="005E4EF6"/>
    <w:rsid w:val="005F1DEE"/>
    <w:rsid w:val="005F24CB"/>
    <w:rsid w:val="00605A2F"/>
    <w:rsid w:val="00615783"/>
    <w:rsid w:val="00616E9F"/>
    <w:rsid w:val="0061780D"/>
    <w:rsid w:val="00624437"/>
    <w:rsid w:val="00626720"/>
    <w:rsid w:val="0064199F"/>
    <w:rsid w:val="00651F01"/>
    <w:rsid w:val="00657210"/>
    <w:rsid w:val="00660DD8"/>
    <w:rsid w:val="00663D86"/>
    <w:rsid w:val="00664F77"/>
    <w:rsid w:val="00665ABD"/>
    <w:rsid w:val="00665E88"/>
    <w:rsid w:val="00674198"/>
    <w:rsid w:val="006803CC"/>
    <w:rsid w:val="006A2175"/>
    <w:rsid w:val="006A3E7D"/>
    <w:rsid w:val="006B4AC0"/>
    <w:rsid w:val="006B52AB"/>
    <w:rsid w:val="006C1FCD"/>
    <w:rsid w:val="006C288E"/>
    <w:rsid w:val="006C3D53"/>
    <w:rsid w:val="006C7324"/>
    <w:rsid w:val="006E6E39"/>
    <w:rsid w:val="00707CA5"/>
    <w:rsid w:val="00720553"/>
    <w:rsid w:val="00722A47"/>
    <w:rsid w:val="00734139"/>
    <w:rsid w:val="007344E0"/>
    <w:rsid w:val="00736D89"/>
    <w:rsid w:val="00747A4D"/>
    <w:rsid w:val="007501E6"/>
    <w:rsid w:val="00766798"/>
    <w:rsid w:val="0076776C"/>
    <w:rsid w:val="00784C1A"/>
    <w:rsid w:val="00796419"/>
    <w:rsid w:val="007A17E3"/>
    <w:rsid w:val="007A5FE2"/>
    <w:rsid w:val="007B0A34"/>
    <w:rsid w:val="007B792B"/>
    <w:rsid w:val="007C685B"/>
    <w:rsid w:val="007E35A3"/>
    <w:rsid w:val="007F0DFD"/>
    <w:rsid w:val="007F3F87"/>
    <w:rsid w:val="007F43A9"/>
    <w:rsid w:val="007F718D"/>
    <w:rsid w:val="00802429"/>
    <w:rsid w:val="008132A9"/>
    <w:rsid w:val="0081744D"/>
    <w:rsid w:val="00823D81"/>
    <w:rsid w:val="008269F3"/>
    <w:rsid w:val="00827948"/>
    <w:rsid w:val="008302B3"/>
    <w:rsid w:val="00846165"/>
    <w:rsid w:val="00847BA4"/>
    <w:rsid w:val="00856651"/>
    <w:rsid w:val="00857499"/>
    <w:rsid w:val="00865C10"/>
    <w:rsid w:val="008712EC"/>
    <w:rsid w:val="00876B21"/>
    <w:rsid w:val="00882236"/>
    <w:rsid w:val="0088542C"/>
    <w:rsid w:val="0089623B"/>
    <w:rsid w:val="008A1D3F"/>
    <w:rsid w:val="008A4ACC"/>
    <w:rsid w:val="008A6E40"/>
    <w:rsid w:val="008B05D0"/>
    <w:rsid w:val="008B4238"/>
    <w:rsid w:val="008C38F6"/>
    <w:rsid w:val="008C3CE0"/>
    <w:rsid w:val="008C6E0D"/>
    <w:rsid w:val="008D4099"/>
    <w:rsid w:val="008D59BE"/>
    <w:rsid w:val="008E1283"/>
    <w:rsid w:val="008E50BA"/>
    <w:rsid w:val="008F49C9"/>
    <w:rsid w:val="00900978"/>
    <w:rsid w:val="00907636"/>
    <w:rsid w:val="0091046F"/>
    <w:rsid w:val="00921534"/>
    <w:rsid w:val="00930237"/>
    <w:rsid w:val="0094176F"/>
    <w:rsid w:val="00951C76"/>
    <w:rsid w:val="00953832"/>
    <w:rsid w:val="0095749E"/>
    <w:rsid w:val="009614C7"/>
    <w:rsid w:val="00962A54"/>
    <w:rsid w:val="009675C7"/>
    <w:rsid w:val="00975E4E"/>
    <w:rsid w:val="00984384"/>
    <w:rsid w:val="00990EBB"/>
    <w:rsid w:val="009920BA"/>
    <w:rsid w:val="00995D84"/>
    <w:rsid w:val="00996300"/>
    <w:rsid w:val="009B27D5"/>
    <w:rsid w:val="009C05EA"/>
    <w:rsid w:val="009C20CB"/>
    <w:rsid w:val="009C31C2"/>
    <w:rsid w:val="009C3787"/>
    <w:rsid w:val="009C5EBC"/>
    <w:rsid w:val="009D0501"/>
    <w:rsid w:val="009E63D5"/>
    <w:rsid w:val="009E7E34"/>
    <w:rsid w:val="009F05F4"/>
    <w:rsid w:val="009F2798"/>
    <w:rsid w:val="009F57BF"/>
    <w:rsid w:val="00A0531C"/>
    <w:rsid w:val="00A068D0"/>
    <w:rsid w:val="00A07B5F"/>
    <w:rsid w:val="00A12637"/>
    <w:rsid w:val="00A1263A"/>
    <w:rsid w:val="00A219D1"/>
    <w:rsid w:val="00A30FA7"/>
    <w:rsid w:val="00A500B6"/>
    <w:rsid w:val="00A52B02"/>
    <w:rsid w:val="00A54F22"/>
    <w:rsid w:val="00A608FD"/>
    <w:rsid w:val="00A653DA"/>
    <w:rsid w:val="00A66D9C"/>
    <w:rsid w:val="00A717B0"/>
    <w:rsid w:val="00A72614"/>
    <w:rsid w:val="00A778EA"/>
    <w:rsid w:val="00A801EB"/>
    <w:rsid w:val="00A87281"/>
    <w:rsid w:val="00A9657F"/>
    <w:rsid w:val="00AA238C"/>
    <w:rsid w:val="00AA6645"/>
    <w:rsid w:val="00AA6790"/>
    <w:rsid w:val="00AB1815"/>
    <w:rsid w:val="00AC38F2"/>
    <w:rsid w:val="00AC6DD6"/>
    <w:rsid w:val="00AD3F6B"/>
    <w:rsid w:val="00AD43FF"/>
    <w:rsid w:val="00AD7B86"/>
    <w:rsid w:val="00AE64A6"/>
    <w:rsid w:val="00AF00FA"/>
    <w:rsid w:val="00B0200E"/>
    <w:rsid w:val="00B02FFE"/>
    <w:rsid w:val="00B0789F"/>
    <w:rsid w:val="00B12469"/>
    <w:rsid w:val="00B13E8A"/>
    <w:rsid w:val="00B26662"/>
    <w:rsid w:val="00B41941"/>
    <w:rsid w:val="00B43465"/>
    <w:rsid w:val="00B4697D"/>
    <w:rsid w:val="00B530A8"/>
    <w:rsid w:val="00B73D2F"/>
    <w:rsid w:val="00B823A9"/>
    <w:rsid w:val="00B82F9C"/>
    <w:rsid w:val="00B83D90"/>
    <w:rsid w:val="00B90648"/>
    <w:rsid w:val="00B92BC4"/>
    <w:rsid w:val="00BA3FBE"/>
    <w:rsid w:val="00BA431E"/>
    <w:rsid w:val="00BB097A"/>
    <w:rsid w:val="00BB2EE8"/>
    <w:rsid w:val="00BB6065"/>
    <w:rsid w:val="00BC1565"/>
    <w:rsid w:val="00BC175B"/>
    <w:rsid w:val="00BE6BA9"/>
    <w:rsid w:val="00BF4FBF"/>
    <w:rsid w:val="00BF73D8"/>
    <w:rsid w:val="00BF78E9"/>
    <w:rsid w:val="00C067BE"/>
    <w:rsid w:val="00C06C3B"/>
    <w:rsid w:val="00C07568"/>
    <w:rsid w:val="00C124B6"/>
    <w:rsid w:val="00C15C7A"/>
    <w:rsid w:val="00C516C5"/>
    <w:rsid w:val="00C566C2"/>
    <w:rsid w:val="00C629EC"/>
    <w:rsid w:val="00C66584"/>
    <w:rsid w:val="00C71916"/>
    <w:rsid w:val="00C72089"/>
    <w:rsid w:val="00C73904"/>
    <w:rsid w:val="00C82C3A"/>
    <w:rsid w:val="00C842F8"/>
    <w:rsid w:val="00C936DB"/>
    <w:rsid w:val="00C95780"/>
    <w:rsid w:val="00C9600A"/>
    <w:rsid w:val="00C97986"/>
    <w:rsid w:val="00C97BF7"/>
    <w:rsid w:val="00CA7996"/>
    <w:rsid w:val="00CB383C"/>
    <w:rsid w:val="00CD1613"/>
    <w:rsid w:val="00CD6F78"/>
    <w:rsid w:val="00CE16B4"/>
    <w:rsid w:val="00CE37AC"/>
    <w:rsid w:val="00CE7204"/>
    <w:rsid w:val="00CF5A90"/>
    <w:rsid w:val="00D048B8"/>
    <w:rsid w:val="00D07767"/>
    <w:rsid w:val="00D21F83"/>
    <w:rsid w:val="00D26B10"/>
    <w:rsid w:val="00D26D08"/>
    <w:rsid w:val="00D404E7"/>
    <w:rsid w:val="00D43B70"/>
    <w:rsid w:val="00D47CDA"/>
    <w:rsid w:val="00D77355"/>
    <w:rsid w:val="00D81766"/>
    <w:rsid w:val="00D83BB3"/>
    <w:rsid w:val="00D90115"/>
    <w:rsid w:val="00DB00CC"/>
    <w:rsid w:val="00DC1D3E"/>
    <w:rsid w:val="00DC42FC"/>
    <w:rsid w:val="00DC6326"/>
    <w:rsid w:val="00DC7D6C"/>
    <w:rsid w:val="00DD3048"/>
    <w:rsid w:val="00DD68EC"/>
    <w:rsid w:val="00DE0613"/>
    <w:rsid w:val="00DF2262"/>
    <w:rsid w:val="00E01B52"/>
    <w:rsid w:val="00E0319C"/>
    <w:rsid w:val="00E063E6"/>
    <w:rsid w:val="00E230B0"/>
    <w:rsid w:val="00E2577E"/>
    <w:rsid w:val="00E32AB7"/>
    <w:rsid w:val="00E35A07"/>
    <w:rsid w:val="00E35A3B"/>
    <w:rsid w:val="00E369BE"/>
    <w:rsid w:val="00E45309"/>
    <w:rsid w:val="00E457C3"/>
    <w:rsid w:val="00E475CE"/>
    <w:rsid w:val="00E61DEC"/>
    <w:rsid w:val="00E669CB"/>
    <w:rsid w:val="00E70A30"/>
    <w:rsid w:val="00E82C18"/>
    <w:rsid w:val="00E925B0"/>
    <w:rsid w:val="00ED32E4"/>
    <w:rsid w:val="00ED4965"/>
    <w:rsid w:val="00EE3CDB"/>
    <w:rsid w:val="00EE4E0E"/>
    <w:rsid w:val="00EF15B2"/>
    <w:rsid w:val="00EF4764"/>
    <w:rsid w:val="00EF6624"/>
    <w:rsid w:val="00EF7D95"/>
    <w:rsid w:val="00F026D6"/>
    <w:rsid w:val="00F05583"/>
    <w:rsid w:val="00F10213"/>
    <w:rsid w:val="00F16299"/>
    <w:rsid w:val="00F16BB8"/>
    <w:rsid w:val="00F315DE"/>
    <w:rsid w:val="00F370B3"/>
    <w:rsid w:val="00F90690"/>
    <w:rsid w:val="00F95278"/>
    <w:rsid w:val="00FA5228"/>
    <w:rsid w:val="00FB3900"/>
    <w:rsid w:val="00FC0599"/>
    <w:rsid w:val="00FC3C40"/>
    <w:rsid w:val="00FE1C20"/>
    <w:rsid w:val="00FE4667"/>
    <w:rsid w:val="00FE5C30"/>
    <w:rsid w:val="00FF223A"/>
    <w:rsid w:val="00FF43D8"/>
    <w:rsid w:val="00FF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5:docId w15:val="{3F2D4707-2958-4BA4-9BF1-9A6F7176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A9"/>
    <w:pPr>
      <w:widowControl w:val="0"/>
      <w:autoSpaceDE w:val="0"/>
      <w:autoSpaceDN w:val="0"/>
      <w:adjustRightInd w:val="0"/>
    </w:pPr>
    <w:rPr>
      <w:sz w:val="24"/>
      <w:szCs w:val="24"/>
    </w:rPr>
  </w:style>
  <w:style w:type="paragraph" w:styleId="Heading1">
    <w:name w:val="heading 1"/>
    <w:basedOn w:val="Normal"/>
    <w:next w:val="Normal"/>
    <w:link w:val="Heading1Char"/>
    <w:qFormat/>
    <w:rsid w:val="00DE0613"/>
    <w:pPr>
      <w:keepNext/>
      <w:tabs>
        <w:tab w:val="left" w:pos="2430"/>
      </w:tabs>
      <w:jc w:val="center"/>
      <w:outlineLvl w:val="0"/>
    </w:pPr>
    <w:rPr>
      <w:rFonts w:ascii="Arial" w:hAnsi="Arial" w:cs="Arial"/>
      <w:b/>
      <w:bCs/>
      <w:sz w:val="20"/>
    </w:rPr>
  </w:style>
  <w:style w:type="paragraph" w:styleId="Heading2">
    <w:name w:val="heading 2"/>
    <w:basedOn w:val="Normal"/>
    <w:next w:val="Normal"/>
    <w:link w:val="Heading2Char"/>
    <w:qFormat/>
    <w:rsid w:val="00DE0613"/>
    <w:pPr>
      <w:keepNext/>
      <w:tabs>
        <w:tab w:val="left" w:pos="2430"/>
      </w:tabs>
      <w:jc w:val="center"/>
      <w:outlineLvl w:val="1"/>
    </w:pPr>
    <w:rPr>
      <w:rFonts w:ascii="Arial" w:hAnsi="Arial" w:cs="Arial"/>
      <w:b/>
      <w:bCs/>
      <w:sz w:val="22"/>
      <w:u w:val="single"/>
    </w:rPr>
  </w:style>
  <w:style w:type="paragraph" w:styleId="Heading3">
    <w:name w:val="heading 3"/>
    <w:basedOn w:val="Normal"/>
    <w:next w:val="Normal"/>
    <w:link w:val="Heading3Char"/>
    <w:qFormat/>
    <w:rsid w:val="00DE0613"/>
    <w:pPr>
      <w:keepNext/>
      <w:tabs>
        <w:tab w:val="left" w:pos="2430"/>
      </w:tabs>
      <w:jc w:val="both"/>
      <w:outlineLvl w:val="2"/>
    </w:pPr>
    <w:rPr>
      <w:rFonts w:ascii="Arial" w:hAnsi="Arial" w:cs="Arial"/>
      <w:b/>
      <w:bCs/>
      <w:sz w:val="22"/>
    </w:rPr>
  </w:style>
  <w:style w:type="paragraph" w:styleId="Heading4">
    <w:name w:val="heading 4"/>
    <w:basedOn w:val="Normal"/>
    <w:next w:val="Normal"/>
    <w:link w:val="Heading4Char"/>
    <w:qFormat/>
    <w:rsid w:val="00DE0613"/>
    <w:pPr>
      <w:keepNext/>
      <w:widowControl/>
      <w:outlineLvl w:val="3"/>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6BA9"/>
  </w:style>
  <w:style w:type="paragraph" w:customStyle="1" w:styleId="WP9Heading">
    <w:name w:val="WP9_Heading"/>
    <w:basedOn w:val="Normal"/>
    <w:rsid w:val="00BE6BA9"/>
    <w:pPr>
      <w:jc w:val="center"/>
    </w:pPr>
    <w:rPr>
      <w:rFonts w:ascii="Arial" w:hAnsi="Arial" w:cs="Arial"/>
      <w:b/>
      <w:bCs/>
      <w:color w:val="000080"/>
      <w:sz w:val="18"/>
      <w:szCs w:val="18"/>
    </w:rPr>
  </w:style>
  <w:style w:type="paragraph" w:styleId="Header">
    <w:name w:val="header"/>
    <w:basedOn w:val="Normal"/>
    <w:rsid w:val="00C71916"/>
    <w:pPr>
      <w:tabs>
        <w:tab w:val="center" w:pos="4320"/>
        <w:tab w:val="right" w:pos="8640"/>
      </w:tabs>
    </w:pPr>
  </w:style>
  <w:style w:type="paragraph" w:styleId="Footer">
    <w:name w:val="footer"/>
    <w:basedOn w:val="Normal"/>
    <w:link w:val="FooterChar"/>
    <w:uiPriority w:val="99"/>
    <w:rsid w:val="00C71916"/>
    <w:pPr>
      <w:tabs>
        <w:tab w:val="center" w:pos="4320"/>
        <w:tab w:val="right" w:pos="8640"/>
      </w:tabs>
    </w:pPr>
  </w:style>
  <w:style w:type="character" w:customStyle="1" w:styleId="FooterChar">
    <w:name w:val="Footer Char"/>
    <w:basedOn w:val="DefaultParagraphFont"/>
    <w:link w:val="Footer"/>
    <w:uiPriority w:val="99"/>
    <w:rsid w:val="00B13E8A"/>
    <w:rPr>
      <w:sz w:val="24"/>
      <w:szCs w:val="24"/>
    </w:rPr>
  </w:style>
  <w:style w:type="paragraph" w:styleId="BalloonText">
    <w:name w:val="Balloon Text"/>
    <w:basedOn w:val="Normal"/>
    <w:link w:val="BalloonTextChar"/>
    <w:rsid w:val="00BF73D8"/>
    <w:rPr>
      <w:rFonts w:ascii="Tahoma" w:hAnsi="Tahoma" w:cs="Tahoma"/>
      <w:sz w:val="16"/>
      <w:szCs w:val="16"/>
    </w:rPr>
  </w:style>
  <w:style w:type="character" w:customStyle="1" w:styleId="BalloonTextChar">
    <w:name w:val="Balloon Text Char"/>
    <w:basedOn w:val="DefaultParagraphFont"/>
    <w:link w:val="BalloonText"/>
    <w:rsid w:val="00BF73D8"/>
    <w:rPr>
      <w:rFonts w:ascii="Tahoma" w:hAnsi="Tahoma" w:cs="Tahoma"/>
      <w:sz w:val="16"/>
      <w:szCs w:val="16"/>
    </w:rPr>
  </w:style>
  <w:style w:type="character" w:styleId="PlaceholderText">
    <w:name w:val="Placeholder Text"/>
    <w:basedOn w:val="DefaultParagraphFont"/>
    <w:uiPriority w:val="99"/>
    <w:semiHidden/>
    <w:rsid w:val="00C97BF7"/>
    <w:rPr>
      <w:color w:val="808080"/>
    </w:rPr>
  </w:style>
  <w:style w:type="character" w:styleId="Hyperlink">
    <w:name w:val="Hyperlink"/>
    <w:basedOn w:val="DefaultParagraphFont"/>
    <w:uiPriority w:val="99"/>
    <w:rsid w:val="00C97986"/>
    <w:rPr>
      <w:color w:val="0000FF" w:themeColor="hyperlink"/>
      <w:u w:val="single"/>
    </w:rPr>
  </w:style>
  <w:style w:type="paragraph" w:styleId="ListParagraph">
    <w:name w:val="List Paragraph"/>
    <w:basedOn w:val="Normal"/>
    <w:uiPriority w:val="34"/>
    <w:qFormat/>
    <w:rsid w:val="00663D86"/>
    <w:pPr>
      <w:widowControl/>
      <w:autoSpaceDE/>
      <w:autoSpaceDN/>
      <w:adjustRightInd/>
      <w:ind w:left="720"/>
    </w:pPr>
    <w:rPr>
      <w:rFonts w:ascii="Calibri" w:eastAsiaTheme="minorHAnsi" w:hAnsi="Calibri"/>
      <w:sz w:val="22"/>
      <w:szCs w:val="22"/>
    </w:rPr>
  </w:style>
  <w:style w:type="character" w:customStyle="1" w:styleId="apple-converted-space">
    <w:name w:val="apple-converted-space"/>
    <w:basedOn w:val="DefaultParagraphFont"/>
    <w:rsid w:val="008269F3"/>
  </w:style>
  <w:style w:type="paragraph" w:styleId="NormalWeb">
    <w:name w:val="Normal (Web)"/>
    <w:basedOn w:val="Normal"/>
    <w:uiPriority w:val="99"/>
    <w:unhideWhenUsed/>
    <w:rsid w:val="00707CA5"/>
    <w:pPr>
      <w:widowControl/>
      <w:autoSpaceDE/>
      <w:autoSpaceDN/>
      <w:adjustRightInd/>
      <w:spacing w:before="100" w:beforeAutospacing="1" w:after="100" w:afterAutospacing="1"/>
    </w:pPr>
    <w:rPr>
      <w:rFonts w:ascii="Times" w:hAnsi="Times"/>
      <w:sz w:val="20"/>
      <w:szCs w:val="20"/>
    </w:rPr>
  </w:style>
  <w:style w:type="table" w:styleId="TableGrid">
    <w:name w:val="Table Grid"/>
    <w:basedOn w:val="TableNormal"/>
    <w:rsid w:val="00707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457BE7"/>
    <w:rPr>
      <w:sz w:val="16"/>
      <w:szCs w:val="16"/>
    </w:rPr>
  </w:style>
  <w:style w:type="paragraph" w:styleId="CommentText">
    <w:name w:val="annotation text"/>
    <w:basedOn w:val="Normal"/>
    <w:link w:val="CommentTextChar"/>
    <w:semiHidden/>
    <w:unhideWhenUsed/>
    <w:rsid w:val="00457BE7"/>
    <w:rPr>
      <w:sz w:val="20"/>
      <w:szCs w:val="20"/>
    </w:rPr>
  </w:style>
  <w:style w:type="character" w:customStyle="1" w:styleId="CommentTextChar">
    <w:name w:val="Comment Text Char"/>
    <w:basedOn w:val="DefaultParagraphFont"/>
    <w:link w:val="CommentText"/>
    <w:semiHidden/>
    <w:rsid w:val="00457BE7"/>
  </w:style>
  <w:style w:type="paragraph" w:styleId="CommentSubject">
    <w:name w:val="annotation subject"/>
    <w:basedOn w:val="CommentText"/>
    <w:next w:val="CommentText"/>
    <w:link w:val="CommentSubjectChar"/>
    <w:semiHidden/>
    <w:unhideWhenUsed/>
    <w:rsid w:val="00457BE7"/>
    <w:rPr>
      <w:b/>
      <w:bCs/>
    </w:rPr>
  </w:style>
  <w:style w:type="character" w:customStyle="1" w:styleId="CommentSubjectChar">
    <w:name w:val="Comment Subject Char"/>
    <w:basedOn w:val="CommentTextChar"/>
    <w:link w:val="CommentSubject"/>
    <w:semiHidden/>
    <w:rsid w:val="00457BE7"/>
    <w:rPr>
      <w:b/>
      <w:bCs/>
    </w:rPr>
  </w:style>
  <w:style w:type="paragraph" w:styleId="Revision">
    <w:name w:val="Revision"/>
    <w:hidden/>
    <w:uiPriority w:val="99"/>
    <w:semiHidden/>
    <w:rsid w:val="00314397"/>
    <w:rPr>
      <w:sz w:val="24"/>
      <w:szCs w:val="24"/>
    </w:rPr>
  </w:style>
  <w:style w:type="character" w:customStyle="1" w:styleId="Heading1Char">
    <w:name w:val="Heading 1 Char"/>
    <w:basedOn w:val="DefaultParagraphFont"/>
    <w:link w:val="Heading1"/>
    <w:rsid w:val="00DE0613"/>
    <w:rPr>
      <w:rFonts w:ascii="Arial" w:hAnsi="Arial" w:cs="Arial"/>
      <w:b/>
      <w:bCs/>
      <w:szCs w:val="24"/>
    </w:rPr>
  </w:style>
  <w:style w:type="character" w:customStyle="1" w:styleId="Heading2Char">
    <w:name w:val="Heading 2 Char"/>
    <w:basedOn w:val="DefaultParagraphFont"/>
    <w:link w:val="Heading2"/>
    <w:rsid w:val="00DE0613"/>
    <w:rPr>
      <w:rFonts w:ascii="Arial" w:hAnsi="Arial" w:cs="Arial"/>
      <w:b/>
      <w:bCs/>
      <w:sz w:val="22"/>
      <w:szCs w:val="24"/>
      <w:u w:val="single"/>
    </w:rPr>
  </w:style>
  <w:style w:type="character" w:customStyle="1" w:styleId="Heading3Char">
    <w:name w:val="Heading 3 Char"/>
    <w:basedOn w:val="DefaultParagraphFont"/>
    <w:link w:val="Heading3"/>
    <w:rsid w:val="00DE0613"/>
    <w:rPr>
      <w:rFonts w:ascii="Arial" w:hAnsi="Arial" w:cs="Arial"/>
      <w:b/>
      <w:bCs/>
      <w:sz w:val="22"/>
      <w:szCs w:val="24"/>
    </w:rPr>
  </w:style>
  <w:style w:type="character" w:customStyle="1" w:styleId="Heading4Char">
    <w:name w:val="Heading 4 Char"/>
    <w:basedOn w:val="DefaultParagraphFont"/>
    <w:link w:val="Heading4"/>
    <w:rsid w:val="00DE0613"/>
    <w:rPr>
      <w:rFonts w:ascii="Arial" w:hAnsi="Arial" w:cs="Arial"/>
      <w:b/>
      <w:bCs/>
      <w:sz w:val="24"/>
    </w:rPr>
  </w:style>
  <w:style w:type="paragraph" w:styleId="BodyText">
    <w:name w:val="Body Text"/>
    <w:basedOn w:val="Normal"/>
    <w:link w:val="BodyTextChar"/>
    <w:rsid w:val="00DE0613"/>
    <w:pPr>
      <w:tabs>
        <w:tab w:val="left" w:pos="2430"/>
      </w:tabs>
    </w:pPr>
    <w:rPr>
      <w:rFonts w:ascii="Arial" w:hAnsi="Arial" w:cs="Arial"/>
      <w:sz w:val="20"/>
    </w:rPr>
  </w:style>
  <w:style w:type="character" w:customStyle="1" w:styleId="BodyTextChar">
    <w:name w:val="Body Text Char"/>
    <w:basedOn w:val="DefaultParagraphFont"/>
    <w:link w:val="BodyText"/>
    <w:rsid w:val="00DE0613"/>
    <w:rPr>
      <w:rFonts w:ascii="Arial" w:hAnsi="Arial" w:cs="Arial"/>
      <w:szCs w:val="24"/>
    </w:rPr>
  </w:style>
  <w:style w:type="paragraph" w:styleId="BodyText2">
    <w:name w:val="Body Text 2"/>
    <w:basedOn w:val="Normal"/>
    <w:link w:val="BodyText2Char"/>
    <w:rsid w:val="00DE0613"/>
    <w:pPr>
      <w:tabs>
        <w:tab w:val="left" w:pos="2430"/>
      </w:tabs>
    </w:pPr>
    <w:rPr>
      <w:sz w:val="22"/>
      <w:szCs w:val="22"/>
    </w:rPr>
  </w:style>
  <w:style w:type="character" w:customStyle="1" w:styleId="BodyText2Char">
    <w:name w:val="Body Text 2 Char"/>
    <w:basedOn w:val="DefaultParagraphFont"/>
    <w:link w:val="BodyText2"/>
    <w:rsid w:val="00DE0613"/>
    <w:rPr>
      <w:sz w:val="22"/>
      <w:szCs w:val="22"/>
    </w:rPr>
  </w:style>
  <w:style w:type="paragraph" w:customStyle="1" w:styleId="NormalLatinBookAntiqua">
    <w:name w:val="Normal + (Latin) Book Antiqua"/>
    <w:basedOn w:val="Normal"/>
    <w:rsid w:val="00DE0613"/>
    <w:pPr>
      <w:tabs>
        <w:tab w:val="left" w:pos="2430"/>
      </w:tabs>
    </w:pPr>
    <w:rPr>
      <w:rFonts w:ascii="Calibri" w:eastAsia="Calibri" w:hAnsi="Calibri"/>
      <w:sz w:val="22"/>
      <w:szCs w:val="22"/>
    </w:rPr>
  </w:style>
  <w:style w:type="character" w:styleId="FollowedHyperlink">
    <w:name w:val="FollowedHyperlink"/>
    <w:basedOn w:val="DefaultParagraphFont"/>
    <w:rsid w:val="00AB18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614">
      <w:bodyDiv w:val="1"/>
      <w:marLeft w:val="0"/>
      <w:marRight w:val="0"/>
      <w:marTop w:val="0"/>
      <w:marBottom w:val="0"/>
      <w:divBdr>
        <w:top w:val="none" w:sz="0" w:space="0" w:color="auto"/>
        <w:left w:val="none" w:sz="0" w:space="0" w:color="auto"/>
        <w:bottom w:val="none" w:sz="0" w:space="0" w:color="auto"/>
        <w:right w:val="none" w:sz="0" w:space="0" w:color="auto"/>
      </w:divBdr>
      <w:divsChild>
        <w:div w:id="1264845917">
          <w:marLeft w:val="0"/>
          <w:marRight w:val="0"/>
          <w:marTop w:val="0"/>
          <w:marBottom w:val="0"/>
          <w:divBdr>
            <w:top w:val="none" w:sz="0" w:space="0" w:color="auto"/>
            <w:left w:val="none" w:sz="0" w:space="0" w:color="auto"/>
            <w:bottom w:val="none" w:sz="0" w:space="0" w:color="auto"/>
            <w:right w:val="none" w:sz="0" w:space="0" w:color="auto"/>
          </w:divBdr>
          <w:divsChild>
            <w:div w:id="133764439">
              <w:marLeft w:val="0"/>
              <w:marRight w:val="0"/>
              <w:marTop w:val="0"/>
              <w:marBottom w:val="0"/>
              <w:divBdr>
                <w:top w:val="none" w:sz="0" w:space="0" w:color="auto"/>
                <w:left w:val="none" w:sz="0" w:space="0" w:color="auto"/>
                <w:bottom w:val="none" w:sz="0" w:space="0" w:color="auto"/>
                <w:right w:val="none" w:sz="0" w:space="0" w:color="auto"/>
              </w:divBdr>
              <w:divsChild>
                <w:div w:id="19730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99911">
      <w:bodyDiv w:val="1"/>
      <w:marLeft w:val="0"/>
      <w:marRight w:val="0"/>
      <w:marTop w:val="0"/>
      <w:marBottom w:val="0"/>
      <w:divBdr>
        <w:top w:val="none" w:sz="0" w:space="0" w:color="auto"/>
        <w:left w:val="none" w:sz="0" w:space="0" w:color="auto"/>
        <w:bottom w:val="none" w:sz="0" w:space="0" w:color="auto"/>
        <w:right w:val="none" w:sz="0" w:space="0" w:color="auto"/>
      </w:divBdr>
    </w:div>
    <w:div w:id="589437317">
      <w:bodyDiv w:val="1"/>
      <w:marLeft w:val="0"/>
      <w:marRight w:val="0"/>
      <w:marTop w:val="0"/>
      <w:marBottom w:val="0"/>
      <w:divBdr>
        <w:top w:val="none" w:sz="0" w:space="0" w:color="auto"/>
        <w:left w:val="none" w:sz="0" w:space="0" w:color="auto"/>
        <w:bottom w:val="none" w:sz="0" w:space="0" w:color="auto"/>
        <w:right w:val="none" w:sz="0" w:space="0" w:color="auto"/>
      </w:divBdr>
    </w:div>
    <w:div w:id="623653889">
      <w:bodyDiv w:val="1"/>
      <w:marLeft w:val="0"/>
      <w:marRight w:val="0"/>
      <w:marTop w:val="0"/>
      <w:marBottom w:val="0"/>
      <w:divBdr>
        <w:top w:val="none" w:sz="0" w:space="0" w:color="auto"/>
        <w:left w:val="none" w:sz="0" w:space="0" w:color="auto"/>
        <w:bottom w:val="none" w:sz="0" w:space="0" w:color="auto"/>
        <w:right w:val="none" w:sz="0" w:space="0" w:color="auto"/>
      </w:divBdr>
    </w:div>
    <w:div w:id="654455401">
      <w:bodyDiv w:val="1"/>
      <w:marLeft w:val="0"/>
      <w:marRight w:val="0"/>
      <w:marTop w:val="0"/>
      <w:marBottom w:val="0"/>
      <w:divBdr>
        <w:top w:val="none" w:sz="0" w:space="0" w:color="auto"/>
        <w:left w:val="none" w:sz="0" w:space="0" w:color="auto"/>
        <w:bottom w:val="none" w:sz="0" w:space="0" w:color="auto"/>
        <w:right w:val="none" w:sz="0" w:space="0" w:color="auto"/>
      </w:divBdr>
    </w:div>
    <w:div w:id="940186761">
      <w:bodyDiv w:val="1"/>
      <w:marLeft w:val="0"/>
      <w:marRight w:val="0"/>
      <w:marTop w:val="0"/>
      <w:marBottom w:val="0"/>
      <w:divBdr>
        <w:top w:val="none" w:sz="0" w:space="0" w:color="auto"/>
        <w:left w:val="none" w:sz="0" w:space="0" w:color="auto"/>
        <w:bottom w:val="none" w:sz="0" w:space="0" w:color="auto"/>
        <w:right w:val="none" w:sz="0" w:space="0" w:color="auto"/>
      </w:divBdr>
    </w:div>
    <w:div w:id="1015032084">
      <w:bodyDiv w:val="1"/>
      <w:marLeft w:val="0"/>
      <w:marRight w:val="0"/>
      <w:marTop w:val="0"/>
      <w:marBottom w:val="0"/>
      <w:divBdr>
        <w:top w:val="none" w:sz="0" w:space="0" w:color="auto"/>
        <w:left w:val="none" w:sz="0" w:space="0" w:color="auto"/>
        <w:bottom w:val="none" w:sz="0" w:space="0" w:color="auto"/>
        <w:right w:val="none" w:sz="0" w:space="0" w:color="auto"/>
      </w:divBdr>
    </w:div>
    <w:div w:id="1022626488">
      <w:bodyDiv w:val="1"/>
      <w:marLeft w:val="0"/>
      <w:marRight w:val="0"/>
      <w:marTop w:val="0"/>
      <w:marBottom w:val="0"/>
      <w:divBdr>
        <w:top w:val="none" w:sz="0" w:space="0" w:color="auto"/>
        <w:left w:val="none" w:sz="0" w:space="0" w:color="auto"/>
        <w:bottom w:val="none" w:sz="0" w:space="0" w:color="auto"/>
        <w:right w:val="none" w:sz="0" w:space="0" w:color="auto"/>
      </w:divBdr>
    </w:div>
    <w:div w:id="1285505429">
      <w:bodyDiv w:val="1"/>
      <w:marLeft w:val="0"/>
      <w:marRight w:val="0"/>
      <w:marTop w:val="0"/>
      <w:marBottom w:val="0"/>
      <w:divBdr>
        <w:top w:val="none" w:sz="0" w:space="0" w:color="auto"/>
        <w:left w:val="none" w:sz="0" w:space="0" w:color="auto"/>
        <w:bottom w:val="none" w:sz="0" w:space="0" w:color="auto"/>
        <w:right w:val="none" w:sz="0" w:space="0" w:color="auto"/>
      </w:divBdr>
      <w:divsChild>
        <w:div w:id="1984188730">
          <w:marLeft w:val="0"/>
          <w:marRight w:val="0"/>
          <w:marTop w:val="0"/>
          <w:marBottom w:val="0"/>
          <w:divBdr>
            <w:top w:val="none" w:sz="0" w:space="0" w:color="auto"/>
            <w:left w:val="none" w:sz="0" w:space="0" w:color="auto"/>
            <w:bottom w:val="none" w:sz="0" w:space="0" w:color="auto"/>
            <w:right w:val="none" w:sz="0" w:space="0" w:color="auto"/>
          </w:divBdr>
          <w:divsChild>
            <w:div w:id="1269780422">
              <w:marLeft w:val="0"/>
              <w:marRight w:val="0"/>
              <w:marTop w:val="0"/>
              <w:marBottom w:val="0"/>
              <w:divBdr>
                <w:top w:val="none" w:sz="0" w:space="0" w:color="auto"/>
                <w:left w:val="none" w:sz="0" w:space="0" w:color="auto"/>
                <w:bottom w:val="none" w:sz="0" w:space="0" w:color="auto"/>
                <w:right w:val="none" w:sz="0" w:space="0" w:color="auto"/>
              </w:divBdr>
              <w:divsChild>
                <w:div w:id="4963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277">
      <w:bodyDiv w:val="1"/>
      <w:marLeft w:val="0"/>
      <w:marRight w:val="0"/>
      <w:marTop w:val="0"/>
      <w:marBottom w:val="0"/>
      <w:divBdr>
        <w:top w:val="none" w:sz="0" w:space="0" w:color="auto"/>
        <w:left w:val="none" w:sz="0" w:space="0" w:color="auto"/>
        <w:bottom w:val="none" w:sz="0" w:space="0" w:color="auto"/>
        <w:right w:val="none" w:sz="0" w:space="0" w:color="auto"/>
      </w:divBdr>
    </w:div>
    <w:div w:id="1432317506">
      <w:bodyDiv w:val="1"/>
      <w:marLeft w:val="0"/>
      <w:marRight w:val="0"/>
      <w:marTop w:val="0"/>
      <w:marBottom w:val="0"/>
      <w:divBdr>
        <w:top w:val="none" w:sz="0" w:space="0" w:color="auto"/>
        <w:left w:val="none" w:sz="0" w:space="0" w:color="auto"/>
        <w:bottom w:val="none" w:sz="0" w:space="0" w:color="auto"/>
        <w:right w:val="none" w:sz="0" w:space="0" w:color="auto"/>
      </w:divBdr>
      <w:divsChild>
        <w:div w:id="1928616395">
          <w:marLeft w:val="0"/>
          <w:marRight w:val="0"/>
          <w:marTop w:val="0"/>
          <w:marBottom w:val="0"/>
          <w:divBdr>
            <w:top w:val="none" w:sz="0" w:space="0" w:color="auto"/>
            <w:left w:val="none" w:sz="0" w:space="0" w:color="auto"/>
            <w:bottom w:val="none" w:sz="0" w:space="0" w:color="auto"/>
            <w:right w:val="none" w:sz="0" w:space="0" w:color="auto"/>
          </w:divBdr>
          <w:divsChild>
            <w:div w:id="920718994">
              <w:marLeft w:val="0"/>
              <w:marRight w:val="0"/>
              <w:marTop w:val="0"/>
              <w:marBottom w:val="0"/>
              <w:divBdr>
                <w:top w:val="none" w:sz="0" w:space="0" w:color="auto"/>
                <w:left w:val="none" w:sz="0" w:space="0" w:color="auto"/>
                <w:bottom w:val="none" w:sz="0" w:space="0" w:color="auto"/>
                <w:right w:val="none" w:sz="0" w:space="0" w:color="auto"/>
              </w:divBdr>
              <w:divsChild>
                <w:div w:id="11117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746">
      <w:bodyDiv w:val="1"/>
      <w:marLeft w:val="0"/>
      <w:marRight w:val="0"/>
      <w:marTop w:val="0"/>
      <w:marBottom w:val="0"/>
      <w:divBdr>
        <w:top w:val="none" w:sz="0" w:space="0" w:color="auto"/>
        <w:left w:val="none" w:sz="0" w:space="0" w:color="auto"/>
        <w:bottom w:val="none" w:sz="0" w:space="0" w:color="auto"/>
        <w:right w:val="none" w:sz="0" w:space="0" w:color="auto"/>
      </w:divBdr>
      <w:divsChild>
        <w:div w:id="194537501">
          <w:marLeft w:val="0"/>
          <w:marRight w:val="0"/>
          <w:marTop w:val="0"/>
          <w:marBottom w:val="0"/>
          <w:divBdr>
            <w:top w:val="none" w:sz="0" w:space="0" w:color="auto"/>
            <w:left w:val="none" w:sz="0" w:space="0" w:color="auto"/>
            <w:bottom w:val="none" w:sz="0" w:space="0" w:color="auto"/>
            <w:right w:val="none" w:sz="0" w:space="0" w:color="auto"/>
          </w:divBdr>
          <w:divsChild>
            <w:div w:id="154685219">
              <w:marLeft w:val="0"/>
              <w:marRight w:val="0"/>
              <w:marTop w:val="0"/>
              <w:marBottom w:val="0"/>
              <w:divBdr>
                <w:top w:val="none" w:sz="0" w:space="0" w:color="auto"/>
                <w:left w:val="none" w:sz="0" w:space="0" w:color="auto"/>
                <w:bottom w:val="none" w:sz="0" w:space="0" w:color="auto"/>
                <w:right w:val="none" w:sz="0" w:space="0" w:color="auto"/>
              </w:divBdr>
              <w:divsChild>
                <w:div w:id="6446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8113">
      <w:bodyDiv w:val="1"/>
      <w:marLeft w:val="0"/>
      <w:marRight w:val="0"/>
      <w:marTop w:val="0"/>
      <w:marBottom w:val="0"/>
      <w:divBdr>
        <w:top w:val="none" w:sz="0" w:space="0" w:color="auto"/>
        <w:left w:val="none" w:sz="0" w:space="0" w:color="auto"/>
        <w:bottom w:val="none" w:sz="0" w:space="0" w:color="auto"/>
        <w:right w:val="none" w:sz="0" w:space="0" w:color="auto"/>
      </w:divBdr>
      <w:divsChild>
        <w:div w:id="1723629166">
          <w:marLeft w:val="0"/>
          <w:marRight w:val="0"/>
          <w:marTop w:val="0"/>
          <w:marBottom w:val="0"/>
          <w:divBdr>
            <w:top w:val="none" w:sz="0" w:space="0" w:color="auto"/>
            <w:left w:val="none" w:sz="0" w:space="0" w:color="auto"/>
            <w:bottom w:val="none" w:sz="0" w:space="0" w:color="auto"/>
            <w:right w:val="none" w:sz="0" w:space="0" w:color="auto"/>
          </w:divBdr>
          <w:divsChild>
            <w:div w:id="1405183022">
              <w:marLeft w:val="0"/>
              <w:marRight w:val="0"/>
              <w:marTop w:val="0"/>
              <w:marBottom w:val="0"/>
              <w:divBdr>
                <w:top w:val="none" w:sz="0" w:space="0" w:color="auto"/>
                <w:left w:val="none" w:sz="0" w:space="0" w:color="auto"/>
                <w:bottom w:val="none" w:sz="0" w:space="0" w:color="auto"/>
                <w:right w:val="none" w:sz="0" w:space="0" w:color="auto"/>
              </w:divBdr>
              <w:divsChild>
                <w:div w:id="137188286">
                  <w:marLeft w:val="0"/>
                  <w:marRight w:val="0"/>
                  <w:marTop w:val="0"/>
                  <w:marBottom w:val="0"/>
                  <w:divBdr>
                    <w:top w:val="none" w:sz="0" w:space="0" w:color="auto"/>
                    <w:left w:val="none" w:sz="0" w:space="0" w:color="auto"/>
                    <w:bottom w:val="none" w:sz="0" w:space="0" w:color="auto"/>
                    <w:right w:val="none" w:sz="0" w:space="0" w:color="auto"/>
                  </w:divBdr>
                  <w:divsChild>
                    <w:div w:id="315569536">
                      <w:marLeft w:val="0"/>
                      <w:marRight w:val="0"/>
                      <w:marTop w:val="0"/>
                      <w:marBottom w:val="0"/>
                      <w:divBdr>
                        <w:top w:val="none" w:sz="0" w:space="0" w:color="auto"/>
                        <w:left w:val="none" w:sz="0" w:space="0" w:color="auto"/>
                        <w:bottom w:val="none" w:sz="0" w:space="0" w:color="auto"/>
                        <w:right w:val="none" w:sz="0" w:space="0" w:color="auto"/>
                      </w:divBdr>
                      <w:divsChild>
                        <w:div w:id="8747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309">
                  <w:marLeft w:val="0"/>
                  <w:marRight w:val="0"/>
                  <w:marTop w:val="0"/>
                  <w:marBottom w:val="0"/>
                  <w:divBdr>
                    <w:top w:val="none" w:sz="0" w:space="0" w:color="auto"/>
                    <w:left w:val="none" w:sz="0" w:space="0" w:color="auto"/>
                    <w:bottom w:val="none" w:sz="0" w:space="0" w:color="auto"/>
                    <w:right w:val="none" w:sz="0" w:space="0" w:color="auto"/>
                  </w:divBdr>
                  <w:divsChild>
                    <w:div w:id="1861895230">
                      <w:marLeft w:val="0"/>
                      <w:marRight w:val="0"/>
                      <w:marTop w:val="0"/>
                      <w:marBottom w:val="0"/>
                      <w:divBdr>
                        <w:top w:val="none" w:sz="0" w:space="0" w:color="auto"/>
                        <w:left w:val="none" w:sz="0" w:space="0" w:color="auto"/>
                        <w:bottom w:val="none" w:sz="0" w:space="0" w:color="auto"/>
                        <w:right w:val="none" w:sz="0" w:space="0" w:color="auto"/>
                      </w:divBdr>
                      <w:divsChild>
                        <w:div w:id="9571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6032">
                  <w:marLeft w:val="0"/>
                  <w:marRight w:val="0"/>
                  <w:marTop w:val="0"/>
                  <w:marBottom w:val="0"/>
                  <w:divBdr>
                    <w:top w:val="none" w:sz="0" w:space="0" w:color="auto"/>
                    <w:left w:val="none" w:sz="0" w:space="0" w:color="auto"/>
                    <w:bottom w:val="none" w:sz="0" w:space="0" w:color="auto"/>
                    <w:right w:val="none" w:sz="0" w:space="0" w:color="auto"/>
                  </w:divBdr>
                  <w:divsChild>
                    <w:div w:id="982730261">
                      <w:marLeft w:val="0"/>
                      <w:marRight w:val="0"/>
                      <w:marTop w:val="0"/>
                      <w:marBottom w:val="0"/>
                      <w:divBdr>
                        <w:top w:val="none" w:sz="0" w:space="0" w:color="auto"/>
                        <w:left w:val="none" w:sz="0" w:space="0" w:color="auto"/>
                        <w:bottom w:val="none" w:sz="0" w:space="0" w:color="auto"/>
                        <w:right w:val="none" w:sz="0" w:space="0" w:color="auto"/>
                      </w:divBdr>
                      <w:divsChild>
                        <w:div w:id="794954964">
                          <w:marLeft w:val="0"/>
                          <w:marRight w:val="0"/>
                          <w:marTop w:val="0"/>
                          <w:marBottom w:val="0"/>
                          <w:divBdr>
                            <w:top w:val="none" w:sz="0" w:space="0" w:color="auto"/>
                            <w:left w:val="none" w:sz="0" w:space="0" w:color="auto"/>
                            <w:bottom w:val="none" w:sz="0" w:space="0" w:color="auto"/>
                            <w:right w:val="none" w:sz="0" w:space="0" w:color="auto"/>
                          </w:divBdr>
                        </w:div>
                      </w:divsChild>
                    </w:div>
                    <w:div w:id="1986156334">
                      <w:marLeft w:val="0"/>
                      <w:marRight w:val="0"/>
                      <w:marTop w:val="0"/>
                      <w:marBottom w:val="0"/>
                      <w:divBdr>
                        <w:top w:val="none" w:sz="0" w:space="0" w:color="auto"/>
                        <w:left w:val="none" w:sz="0" w:space="0" w:color="auto"/>
                        <w:bottom w:val="none" w:sz="0" w:space="0" w:color="auto"/>
                        <w:right w:val="none" w:sz="0" w:space="0" w:color="auto"/>
                      </w:divBdr>
                      <w:divsChild>
                        <w:div w:id="12312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9993">
                  <w:marLeft w:val="0"/>
                  <w:marRight w:val="0"/>
                  <w:marTop w:val="0"/>
                  <w:marBottom w:val="0"/>
                  <w:divBdr>
                    <w:top w:val="none" w:sz="0" w:space="0" w:color="auto"/>
                    <w:left w:val="none" w:sz="0" w:space="0" w:color="auto"/>
                    <w:bottom w:val="none" w:sz="0" w:space="0" w:color="auto"/>
                    <w:right w:val="none" w:sz="0" w:space="0" w:color="auto"/>
                  </w:divBdr>
                  <w:divsChild>
                    <w:div w:id="1283882828">
                      <w:marLeft w:val="0"/>
                      <w:marRight w:val="0"/>
                      <w:marTop w:val="0"/>
                      <w:marBottom w:val="0"/>
                      <w:divBdr>
                        <w:top w:val="none" w:sz="0" w:space="0" w:color="auto"/>
                        <w:left w:val="none" w:sz="0" w:space="0" w:color="auto"/>
                        <w:bottom w:val="none" w:sz="0" w:space="0" w:color="auto"/>
                        <w:right w:val="none" w:sz="0" w:space="0" w:color="auto"/>
                      </w:divBdr>
                      <w:divsChild>
                        <w:div w:id="679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9459">
                  <w:marLeft w:val="0"/>
                  <w:marRight w:val="0"/>
                  <w:marTop w:val="0"/>
                  <w:marBottom w:val="0"/>
                  <w:divBdr>
                    <w:top w:val="none" w:sz="0" w:space="0" w:color="auto"/>
                    <w:left w:val="none" w:sz="0" w:space="0" w:color="auto"/>
                    <w:bottom w:val="none" w:sz="0" w:space="0" w:color="auto"/>
                    <w:right w:val="none" w:sz="0" w:space="0" w:color="auto"/>
                  </w:divBdr>
                  <w:divsChild>
                    <w:div w:id="682241279">
                      <w:marLeft w:val="0"/>
                      <w:marRight w:val="0"/>
                      <w:marTop w:val="0"/>
                      <w:marBottom w:val="0"/>
                      <w:divBdr>
                        <w:top w:val="none" w:sz="0" w:space="0" w:color="auto"/>
                        <w:left w:val="none" w:sz="0" w:space="0" w:color="auto"/>
                        <w:bottom w:val="none" w:sz="0" w:space="0" w:color="auto"/>
                        <w:right w:val="none" w:sz="0" w:space="0" w:color="auto"/>
                      </w:divBdr>
                      <w:divsChild>
                        <w:div w:id="21391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9136">
                  <w:marLeft w:val="0"/>
                  <w:marRight w:val="0"/>
                  <w:marTop w:val="0"/>
                  <w:marBottom w:val="0"/>
                  <w:divBdr>
                    <w:top w:val="none" w:sz="0" w:space="0" w:color="auto"/>
                    <w:left w:val="none" w:sz="0" w:space="0" w:color="auto"/>
                    <w:bottom w:val="none" w:sz="0" w:space="0" w:color="auto"/>
                    <w:right w:val="none" w:sz="0" w:space="0" w:color="auto"/>
                  </w:divBdr>
                  <w:divsChild>
                    <w:div w:id="674693492">
                      <w:marLeft w:val="0"/>
                      <w:marRight w:val="0"/>
                      <w:marTop w:val="0"/>
                      <w:marBottom w:val="0"/>
                      <w:divBdr>
                        <w:top w:val="none" w:sz="0" w:space="0" w:color="auto"/>
                        <w:left w:val="none" w:sz="0" w:space="0" w:color="auto"/>
                        <w:bottom w:val="none" w:sz="0" w:space="0" w:color="auto"/>
                        <w:right w:val="none" w:sz="0" w:space="0" w:color="auto"/>
                      </w:divBdr>
                      <w:divsChild>
                        <w:div w:id="2097552997">
                          <w:marLeft w:val="0"/>
                          <w:marRight w:val="0"/>
                          <w:marTop w:val="0"/>
                          <w:marBottom w:val="0"/>
                          <w:divBdr>
                            <w:top w:val="none" w:sz="0" w:space="0" w:color="auto"/>
                            <w:left w:val="none" w:sz="0" w:space="0" w:color="auto"/>
                            <w:bottom w:val="none" w:sz="0" w:space="0" w:color="auto"/>
                            <w:right w:val="none" w:sz="0" w:space="0" w:color="auto"/>
                          </w:divBdr>
                        </w:div>
                      </w:divsChild>
                    </w:div>
                    <w:div w:id="916135838">
                      <w:marLeft w:val="0"/>
                      <w:marRight w:val="0"/>
                      <w:marTop w:val="0"/>
                      <w:marBottom w:val="0"/>
                      <w:divBdr>
                        <w:top w:val="none" w:sz="0" w:space="0" w:color="auto"/>
                        <w:left w:val="none" w:sz="0" w:space="0" w:color="auto"/>
                        <w:bottom w:val="none" w:sz="0" w:space="0" w:color="auto"/>
                        <w:right w:val="none" w:sz="0" w:space="0" w:color="auto"/>
                      </w:divBdr>
                      <w:divsChild>
                        <w:div w:id="21429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055">
                  <w:marLeft w:val="0"/>
                  <w:marRight w:val="0"/>
                  <w:marTop w:val="0"/>
                  <w:marBottom w:val="0"/>
                  <w:divBdr>
                    <w:top w:val="none" w:sz="0" w:space="0" w:color="auto"/>
                    <w:left w:val="none" w:sz="0" w:space="0" w:color="auto"/>
                    <w:bottom w:val="none" w:sz="0" w:space="0" w:color="auto"/>
                    <w:right w:val="none" w:sz="0" w:space="0" w:color="auto"/>
                  </w:divBdr>
                  <w:divsChild>
                    <w:div w:id="942691202">
                      <w:marLeft w:val="0"/>
                      <w:marRight w:val="0"/>
                      <w:marTop w:val="0"/>
                      <w:marBottom w:val="0"/>
                      <w:divBdr>
                        <w:top w:val="none" w:sz="0" w:space="0" w:color="auto"/>
                        <w:left w:val="none" w:sz="0" w:space="0" w:color="auto"/>
                        <w:bottom w:val="none" w:sz="0" w:space="0" w:color="auto"/>
                        <w:right w:val="none" w:sz="0" w:space="0" w:color="auto"/>
                      </w:divBdr>
                      <w:divsChild>
                        <w:div w:id="18976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3602">
                  <w:marLeft w:val="0"/>
                  <w:marRight w:val="0"/>
                  <w:marTop w:val="0"/>
                  <w:marBottom w:val="0"/>
                  <w:divBdr>
                    <w:top w:val="none" w:sz="0" w:space="0" w:color="auto"/>
                    <w:left w:val="none" w:sz="0" w:space="0" w:color="auto"/>
                    <w:bottom w:val="none" w:sz="0" w:space="0" w:color="auto"/>
                    <w:right w:val="none" w:sz="0" w:space="0" w:color="auto"/>
                  </w:divBdr>
                  <w:divsChild>
                    <w:div w:id="817457094">
                      <w:marLeft w:val="0"/>
                      <w:marRight w:val="0"/>
                      <w:marTop w:val="0"/>
                      <w:marBottom w:val="0"/>
                      <w:divBdr>
                        <w:top w:val="none" w:sz="0" w:space="0" w:color="auto"/>
                        <w:left w:val="none" w:sz="0" w:space="0" w:color="auto"/>
                        <w:bottom w:val="none" w:sz="0" w:space="0" w:color="auto"/>
                        <w:right w:val="none" w:sz="0" w:space="0" w:color="auto"/>
                      </w:divBdr>
                      <w:divsChild>
                        <w:div w:id="3044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8565">
                  <w:marLeft w:val="0"/>
                  <w:marRight w:val="0"/>
                  <w:marTop w:val="0"/>
                  <w:marBottom w:val="0"/>
                  <w:divBdr>
                    <w:top w:val="none" w:sz="0" w:space="0" w:color="auto"/>
                    <w:left w:val="none" w:sz="0" w:space="0" w:color="auto"/>
                    <w:bottom w:val="none" w:sz="0" w:space="0" w:color="auto"/>
                    <w:right w:val="none" w:sz="0" w:space="0" w:color="auto"/>
                  </w:divBdr>
                  <w:divsChild>
                    <w:div w:id="2071614775">
                      <w:marLeft w:val="0"/>
                      <w:marRight w:val="0"/>
                      <w:marTop w:val="0"/>
                      <w:marBottom w:val="0"/>
                      <w:divBdr>
                        <w:top w:val="none" w:sz="0" w:space="0" w:color="auto"/>
                        <w:left w:val="none" w:sz="0" w:space="0" w:color="auto"/>
                        <w:bottom w:val="none" w:sz="0" w:space="0" w:color="auto"/>
                        <w:right w:val="none" w:sz="0" w:space="0" w:color="auto"/>
                      </w:divBdr>
                      <w:divsChild>
                        <w:div w:id="882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60923">
                  <w:marLeft w:val="0"/>
                  <w:marRight w:val="0"/>
                  <w:marTop w:val="0"/>
                  <w:marBottom w:val="0"/>
                  <w:divBdr>
                    <w:top w:val="none" w:sz="0" w:space="0" w:color="auto"/>
                    <w:left w:val="none" w:sz="0" w:space="0" w:color="auto"/>
                    <w:bottom w:val="none" w:sz="0" w:space="0" w:color="auto"/>
                    <w:right w:val="none" w:sz="0" w:space="0" w:color="auto"/>
                  </w:divBdr>
                  <w:divsChild>
                    <w:div w:id="492182548">
                      <w:marLeft w:val="0"/>
                      <w:marRight w:val="0"/>
                      <w:marTop w:val="0"/>
                      <w:marBottom w:val="0"/>
                      <w:divBdr>
                        <w:top w:val="none" w:sz="0" w:space="0" w:color="auto"/>
                        <w:left w:val="none" w:sz="0" w:space="0" w:color="auto"/>
                        <w:bottom w:val="none" w:sz="0" w:space="0" w:color="auto"/>
                        <w:right w:val="none" w:sz="0" w:space="0" w:color="auto"/>
                      </w:divBdr>
                      <w:divsChild>
                        <w:div w:id="13218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2520">
                  <w:marLeft w:val="0"/>
                  <w:marRight w:val="0"/>
                  <w:marTop w:val="0"/>
                  <w:marBottom w:val="0"/>
                  <w:divBdr>
                    <w:top w:val="none" w:sz="0" w:space="0" w:color="auto"/>
                    <w:left w:val="none" w:sz="0" w:space="0" w:color="auto"/>
                    <w:bottom w:val="none" w:sz="0" w:space="0" w:color="auto"/>
                    <w:right w:val="none" w:sz="0" w:space="0" w:color="auto"/>
                  </w:divBdr>
                  <w:divsChild>
                    <w:div w:id="1446579049">
                      <w:marLeft w:val="0"/>
                      <w:marRight w:val="0"/>
                      <w:marTop w:val="0"/>
                      <w:marBottom w:val="0"/>
                      <w:divBdr>
                        <w:top w:val="none" w:sz="0" w:space="0" w:color="auto"/>
                        <w:left w:val="none" w:sz="0" w:space="0" w:color="auto"/>
                        <w:bottom w:val="none" w:sz="0" w:space="0" w:color="auto"/>
                        <w:right w:val="none" w:sz="0" w:space="0" w:color="auto"/>
                      </w:divBdr>
                      <w:divsChild>
                        <w:div w:id="9082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008">
                  <w:marLeft w:val="0"/>
                  <w:marRight w:val="0"/>
                  <w:marTop w:val="0"/>
                  <w:marBottom w:val="0"/>
                  <w:divBdr>
                    <w:top w:val="none" w:sz="0" w:space="0" w:color="auto"/>
                    <w:left w:val="none" w:sz="0" w:space="0" w:color="auto"/>
                    <w:bottom w:val="none" w:sz="0" w:space="0" w:color="auto"/>
                    <w:right w:val="none" w:sz="0" w:space="0" w:color="auto"/>
                  </w:divBdr>
                  <w:divsChild>
                    <w:div w:id="197548407">
                      <w:marLeft w:val="0"/>
                      <w:marRight w:val="0"/>
                      <w:marTop w:val="0"/>
                      <w:marBottom w:val="0"/>
                      <w:divBdr>
                        <w:top w:val="none" w:sz="0" w:space="0" w:color="auto"/>
                        <w:left w:val="none" w:sz="0" w:space="0" w:color="auto"/>
                        <w:bottom w:val="none" w:sz="0" w:space="0" w:color="auto"/>
                        <w:right w:val="none" w:sz="0" w:space="0" w:color="auto"/>
                      </w:divBdr>
                      <w:divsChild>
                        <w:div w:id="16922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1925">
                  <w:marLeft w:val="0"/>
                  <w:marRight w:val="0"/>
                  <w:marTop w:val="0"/>
                  <w:marBottom w:val="0"/>
                  <w:divBdr>
                    <w:top w:val="none" w:sz="0" w:space="0" w:color="auto"/>
                    <w:left w:val="none" w:sz="0" w:space="0" w:color="auto"/>
                    <w:bottom w:val="none" w:sz="0" w:space="0" w:color="auto"/>
                    <w:right w:val="none" w:sz="0" w:space="0" w:color="auto"/>
                  </w:divBdr>
                  <w:divsChild>
                    <w:div w:id="961883595">
                      <w:marLeft w:val="0"/>
                      <w:marRight w:val="0"/>
                      <w:marTop w:val="0"/>
                      <w:marBottom w:val="0"/>
                      <w:divBdr>
                        <w:top w:val="none" w:sz="0" w:space="0" w:color="auto"/>
                        <w:left w:val="none" w:sz="0" w:space="0" w:color="auto"/>
                        <w:bottom w:val="none" w:sz="0" w:space="0" w:color="auto"/>
                        <w:right w:val="none" w:sz="0" w:space="0" w:color="auto"/>
                      </w:divBdr>
                      <w:divsChild>
                        <w:div w:id="1960837215">
                          <w:marLeft w:val="0"/>
                          <w:marRight w:val="0"/>
                          <w:marTop w:val="0"/>
                          <w:marBottom w:val="0"/>
                          <w:divBdr>
                            <w:top w:val="none" w:sz="0" w:space="0" w:color="auto"/>
                            <w:left w:val="none" w:sz="0" w:space="0" w:color="auto"/>
                            <w:bottom w:val="none" w:sz="0" w:space="0" w:color="auto"/>
                            <w:right w:val="none" w:sz="0" w:space="0" w:color="auto"/>
                          </w:divBdr>
                        </w:div>
                      </w:divsChild>
                    </w:div>
                    <w:div w:id="1379285817">
                      <w:marLeft w:val="0"/>
                      <w:marRight w:val="0"/>
                      <w:marTop w:val="0"/>
                      <w:marBottom w:val="0"/>
                      <w:divBdr>
                        <w:top w:val="none" w:sz="0" w:space="0" w:color="auto"/>
                        <w:left w:val="none" w:sz="0" w:space="0" w:color="auto"/>
                        <w:bottom w:val="none" w:sz="0" w:space="0" w:color="auto"/>
                        <w:right w:val="none" w:sz="0" w:space="0" w:color="auto"/>
                      </w:divBdr>
                      <w:divsChild>
                        <w:div w:id="569078274">
                          <w:marLeft w:val="0"/>
                          <w:marRight w:val="0"/>
                          <w:marTop w:val="0"/>
                          <w:marBottom w:val="0"/>
                          <w:divBdr>
                            <w:top w:val="none" w:sz="0" w:space="0" w:color="auto"/>
                            <w:left w:val="none" w:sz="0" w:space="0" w:color="auto"/>
                            <w:bottom w:val="none" w:sz="0" w:space="0" w:color="auto"/>
                            <w:right w:val="none" w:sz="0" w:space="0" w:color="auto"/>
                          </w:divBdr>
                        </w:div>
                      </w:divsChild>
                    </w:div>
                    <w:div w:id="1768892245">
                      <w:marLeft w:val="0"/>
                      <w:marRight w:val="0"/>
                      <w:marTop w:val="0"/>
                      <w:marBottom w:val="0"/>
                      <w:divBdr>
                        <w:top w:val="none" w:sz="0" w:space="0" w:color="auto"/>
                        <w:left w:val="none" w:sz="0" w:space="0" w:color="auto"/>
                        <w:bottom w:val="none" w:sz="0" w:space="0" w:color="auto"/>
                        <w:right w:val="none" w:sz="0" w:space="0" w:color="auto"/>
                      </w:divBdr>
                      <w:divsChild>
                        <w:div w:id="2444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8282">
                  <w:marLeft w:val="0"/>
                  <w:marRight w:val="0"/>
                  <w:marTop w:val="0"/>
                  <w:marBottom w:val="0"/>
                  <w:divBdr>
                    <w:top w:val="none" w:sz="0" w:space="0" w:color="auto"/>
                    <w:left w:val="none" w:sz="0" w:space="0" w:color="auto"/>
                    <w:bottom w:val="none" w:sz="0" w:space="0" w:color="auto"/>
                    <w:right w:val="none" w:sz="0" w:space="0" w:color="auto"/>
                  </w:divBdr>
                  <w:divsChild>
                    <w:div w:id="1997881534">
                      <w:marLeft w:val="0"/>
                      <w:marRight w:val="0"/>
                      <w:marTop w:val="0"/>
                      <w:marBottom w:val="0"/>
                      <w:divBdr>
                        <w:top w:val="none" w:sz="0" w:space="0" w:color="auto"/>
                        <w:left w:val="none" w:sz="0" w:space="0" w:color="auto"/>
                        <w:bottom w:val="none" w:sz="0" w:space="0" w:color="auto"/>
                        <w:right w:val="none" w:sz="0" w:space="0" w:color="auto"/>
                      </w:divBdr>
                      <w:divsChild>
                        <w:div w:id="9542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3010">
                  <w:marLeft w:val="0"/>
                  <w:marRight w:val="0"/>
                  <w:marTop w:val="0"/>
                  <w:marBottom w:val="0"/>
                  <w:divBdr>
                    <w:top w:val="none" w:sz="0" w:space="0" w:color="auto"/>
                    <w:left w:val="none" w:sz="0" w:space="0" w:color="auto"/>
                    <w:bottom w:val="none" w:sz="0" w:space="0" w:color="auto"/>
                    <w:right w:val="none" w:sz="0" w:space="0" w:color="auto"/>
                  </w:divBdr>
                  <w:divsChild>
                    <w:div w:id="1751079928">
                      <w:marLeft w:val="0"/>
                      <w:marRight w:val="0"/>
                      <w:marTop w:val="0"/>
                      <w:marBottom w:val="0"/>
                      <w:divBdr>
                        <w:top w:val="none" w:sz="0" w:space="0" w:color="auto"/>
                        <w:left w:val="none" w:sz="0" w:space="0" w:color="auto"/>
                        <w:bottom w:val="none" w:sz="0" w:space="0" w:color="auto"/>
                        <w:right w:val="none" w:sz="0" w:space="0" w:color="auto"/>
                      </w:divBdr>
                      <w:divsChild>
                        <w:div w:id="14012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3072">
                  <w:marLeft w:val="0"/>
                  <w:marRight w:val="0"/>
                  <w:marTop w:val="0"/>
                  <w:marBottom w:val="0"/>
                  <w:divBdr>
                    <w:top w:val="none" w:sz="0" w:space="0" w:color="auto"/>
                    <w:left w:val="none" w:sz="0" w:space="0" w:color="auto"/>
                    <w:bottom w:val="none" w:sz="0" w:space="0" w:color="auto"/>
                    <w:right w:val="none" w:sz="0" w:space="0" w:color="auto"/>
                  </w:divBdr>
                  <w:divsChild>
                    <w:div w:id="376974802">
                      <w:marLeft w:val="0"/>
                      <w:marRight w:val="0"/>
                      <w:marTop w:val="0"/>
                      <w:marBottom w:val="0"/>
                      <w:divBdr>
                        <w:top w:val="none" w:sz="0" w:space="0" w:color="auto"/>
                        <w:left w:val="none" w:sz="0" w:space="0" w:color="auto"/>
                        <w:bottom w:val="none" w:sz="0" w:space="0" w:color="auto"/>
                        <w:right w:val="none" w:sz="0" w:space="0" w:color="auto"/>
                      </w:divBdr>
                      <w:divsChild>
                        <w:div w:id="14882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8753">
                  <w:marLeft w:val="0"/>
                  <w:marRight w:val="0"/>
                  <w:marTop w:val="0"/>
                  <w:marBottom w:val="0"/>
                  <w:divBdr>
                    <w:top w:val="none" w:sz="0" w:space="0" w:color="auto"/>
                    <w:left w:val="none" w:sz="0" w:space="0" w:color="auto"/>
                    <w:bottom w:val="none" w:sz="0" w:space="0" w:color="auto"/>
                    <w:right w:val="none" w:sz="0" w:space="0" w:color="auto"/>
                  </w:divBdr>
                  <w:divsChild>
                    <w:div w:id="110054811">
                      <w:marLeft w:val="0"/>
                      <w:marRight w:val="0"/>
                      <w:marTop w:val="0"/>
                      <w:marBottom w:val="0"/>
                      <w:divBdr>
                        <w:top w:val="none" w:sz="0" w:space="0" w:color="auto"/>
                        <w:left w:val="none" w:sz="0" w:space="0" w:color="auto"/>
                        <w:bottom w:val="none" w:sz="0" w:space="0" w:color="auto"/>
                        <w:right w:val="none" w:sz="0" w:space="0" w:color="auto"/>
                      </w:divBdr>
                      <w:divsChild>
                        <w:div w:id="8960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7726">
      <w:bodyDiv w:val="1"/>
      <w:marLeft w:val="0"/>
      <w:marRight w:val="0"/>
      <w:marTop w:val="0"/>
      <w:marBottom w:val="0"/>
      <w:divBdr>
        <w:top w:val="none" w:sz="0" w:space="0" w:color="auto"/>
        <w:left w:val="none" w:sz="0" w:space="0" w:color="auto"/>
        <w:bottom w:val="none" w:sz="0" w:space="0" w:color="auto"/>
        <w:right w:val="none" w:sz="0" w:space="0" w:color="auto"/>
      </w:divBdr>
    </w:div>
    <w:div w:id="1756631211">
      <w:bodyDiv w:val="1"/>
      <w:marLeft w:val="0"/>
      <w:marRight w:val="0"/>
      <w:marTop w:val="0"/>
      <w:marBottom w:val="0"/>
      <w:divBdr>
        <w:top w:val="none" w:sz="0" w:space="0" w:color="auto"/>
        <w:left w:val="none" w:sz="0" w:space="0" w:color="auto"/>
        <w:bottom w:val="none" w:sz="0" w:space="0" w:color="auto"/>
        <w:right w:val="none" w:sz="0" w:space="0" w:color="auto"/>
      </w:divBdr>
    </w:div>
    <w:div w:id="1759669142">
      <w:bodyDiv w:val="1"/>
      <w:marLeft w:val="0"/>
      <w:marRight w:val="0"/>
      <w:marTop w:val="0"/>
      <w:marBottom w:val="0"/>
      <w:divBdr>
        <w:top w:val="none" w:sz="0" w:space="0" w:color="auto"/>
        <w:left w:val="none" w:sz="0" w:space="0" w:color="auto"/>
        <w:bottom w:val="none" w:sz="0" w:space="0" w:color="auto"/>
        <w:right w:val="none" w:sz="0" w:space="0" w:color="auto"/>
      </w:divBdr>
      <w:divsChild>
        <w:div w:id="342631283">
          <w:marLeft w:val="547"/>
          <w:marRight w:val="0"/>
          <w:marTop w:val="106"/>
          <w:marBottom w:val="0"/>
          <w:divBdr>
            <w:top w:val="none" w:sz="0" w:space="0" w:color="auto"/>
            <w:left w:val="none" w:sz="0" w:space="0" w:color="auto"/>
            <w:bottom w:val="none" w:sz="0" w:space="0" w:color="auto"/>
            <w:right w:val="none" w:sz="0" w:space="0" w:color="auto"/>
          </w:divBdr>
        </w:div>
        <w:div w:id="624238351">
          <w:marLeft w:val="547"/>
          <w:marRight w:val="0"/>
          <w:marTop w:val="106"/>
          <w:marBottom w:val="0"/>
          <w:divBdr>
            <w:top w:val="none" w:sz="0" w:space="0" w:color="auto"/>
            <w:left w:val="none" w:sz="0" w:space="0" w:color="auto"/>
            <w:bottom w:val="none" w:sz="0" w:space="0" w:color="auto"/>
            <w:right w:val="none" w:sz="0" w:space="0" w:color="auto"/>
          </w:divBdr>
        </w:div>
        <w:div w:id="706104523">
          <w:marLeft w:val="547"/>
          <w:marRight w:val="0"/>
          <w:marTop w:val="106"/>
          <w:marBottom w:val="0"/>
          <w:divBdr>
            <w:top w:val="none" w:sz="0" w:space="0" w:color="auto"/>
            <w:left w:val="none" w:sz="0" w:space="0" w:color="auto"/>
            <w:bottom w:val="none" w:sz="0" w:space="0" w:color="auto"/>
            <w:right w:val="none" w:sz="0" w:space="0" w:color="auto"/>
          </w:divBdr>
        </w:div>
        <w:div w:id="1738094155">
          <w:marLeft w:val="547"/>
          <w:marRight w:val="0"/>
          <w:marTop w:val="106"/>
          <w:marBottom w:val="0"/>
          <w:divBdr>
            <w:top w:val="none" w:sz="0" w:space="0" w:color="auto"/>
            <w:left w:val="none" w:sz="0" w:space="0" w:color="auto"/>
            <w:bottom w:val="none" w:sz="0" w:space="0" w:color="auto"/>
            <w:right w:val="none" w:sz="0" w:space="0" w:color="auto"/>
          </w:divBdr>
        </w:div>
        <w:div w:id="1830369222">
          <w:marLeft w:val="547"/>
          <w:marRight w:val="0"/>
          <w:marTop w:val="106"/>
          <w:marBottom w:val="0"/>
          <w:divBdr>
            <w:top w:val="none" w:sz="0" w:space="0" w:color="auto"/>
            <w:left w:val="none" w:sz="0" w:space="0" w:color="auto"/>
            <w:bottom w:val="none" w:sz="0" w:space="0" w:color="auto"/>
            <w:right w:val="none" w:sz="0" w:space="0" w:color="auto"/>
          </w:divBdr>
        </w:div>
      </w:divsChild>
    </w:div>
    <w:div w:id="1821190699">
      <w:bodyDiv w:val="1"/>
      <w:marLeft w:val="0"/>
      <w:marRight w:val="0"/>
      <w:marTop w:val="0"/>
      <w:marBottom w:val="0"/>
      <w:divBdr>
        <w:top w:val="none" w:sz="0" w:space="0" w:color="auto"/>
        <w:left w:val="none" w:sz="0" w:space="0" w:color="auto"/>
        <w:bottom w:val="none" w:sz="0" w:space="0" w:color="auto"/>
        <w:right w:val="none" w:sz="0" w:space="0" w:color="auto"/>
      </w:divBdr>
      <w:divsChild>
        <w:div w:id="1850218497">
          <w:marLeft w:val="0"/>
          <w:marRight w:val="0"/>
          <w:marTop w:val="0"/>
          <w:marBottom w:val="0"/>
          <w:divBdr>
            <w:top w:val="none" w:sz="0" w:space="0" w:color="auto"/>
            <w:left w:val="none" w:sz="0" w:space="0" w:color="auto"/>
            <w:bottom w:val="none" w:sz="0" w:space="0" w:color="auto"/>
            <w:right w:val="none" w:sz="0" w:space="0" w:color="auto"/>
          </w:divBdr>
          <w:divsChild>
            <w:div w:id="816413534">
              <w:marLeft w:val="0"/>
              <w:marRight w:val="0"/>
              <w:marTop w:val="0"/>
              <w:marBottom w:val="0"/>
              <w:divBdr>
                <w:top w:val="none" w:sz="0" w:space="0" w:color="auto"/>
                <w:left w:val="none" w:sz="0" w:space="0" w:color="auto"/>
                <w:bottom w:val="none" w:sz="0" w:space="0" w:color="auto"/>
                <w:right w:val="none" w:sz="0" w:space="0" w:color="auto"/>
              </w:divBdr>
              <w:divsChild>
                <w:div w:id="19908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8606">
      <w:bodyDiv w:val="1"/>
      <w:marLeft w:val="0"/>
      <w:marRight w:val="0"/>
      <w:marTop w:val="0"/>
      <w:marBottom w:val="0"/>
      <w:divBdr>
        <w:top w:val="none" w:sz="0" w:space="0" w:color="auto"/>
        <w:left w:val="none" w:sz="0" w:space="0" w:color="auto"/>
        <w:bottom w:val="none" w:sz="0" w:space="0" w:color="auto"/>
        <w:right w:val="none" w:sz="0" w:space="0" w:color="auto"/>
      </w:divBdr>
    </w:div>
    <w:div w:id="2070684677">
      <w:bodyDiv w:val="1"/>
      <w:marLeft w:val="0"/>
      <w:marRight w:val="0"/>
      <w:marTop w:val="0"/>
      <w:marBottom w:val="0"/>
      <w:divBdr>
        <w:top w:val="none" w:sz="0" w:space="0" w:color="auto"/>
        <w:left w:val="none" w:sz="0" w:space="0" w:color="auto"/>
        <w:bottom w:val="none" w:sz="0" w:space="0" w:color="auto"/>
        <w:right w:val="none" w:sz="0" w:space="0" w:color="auto"/>
      </w:divBdr>
      <w:divsChild>
        <w:div w:id="1790582082">
          <w:marLeft w:val="0"/>
          <w:marRight w:val="0"/>
          <w:marTop w:val="0"/>
          <w:marBottom w:val="0"/>
          <w:divBdr>
            <w:top w:val="none" w:sz="0" w:space="0" w:color="auto"/>
            <w:left w:val="none" w:sz="0" w:space="0" w:color="auto"/>
            <w:bottom w:val="none" w:sz="0" w:space="0" w:color="auto"/>
            <w:right w:val="none" w:sz="0" w:space="0" w:color="auto"/>
          </w:divBdr>
          <w:divsChild>
            <w:div w:id="981999824">
              <w:marLeft w:val="0"/>
              <w:marRight w:val="0"/>
              <w:marTop w:val="0"/>
              <w:marBottom w:val="0"/>
              <w:divBdr>
                <w:top w:val="none" w:sz="0" w:space="0" w:color="auto"/>
                <w:left w:val="none" w:sz="0" w:space="0" w:color="auto"/>
                <w:bottom w:val="none" w:sz="0" w:space="0" w:color="auto"/>
                <w:right w:val="none" w:sz="0" w:space="0" w:color="auto"/>
              </w:divBdr>
              <w:divsChild>
                <w:div w:id="325598781">
                  <w:marLeft w:val="0"/>
                  <w:marRight w:val="0"/>
                  <w:marTop w:val="0"/>
                  <w:marBottom w:val="0"/>
                  <w:divBdr>
                    <w:top w:val="none" w:sz="0" w:space="0" w:color="auto"/>
                    <w:left w:val="none" w:sz="0" w:space="0" w:color="auto"/>
                    <w:bottom w:val="none" w:sz="0" w:space="0" w:color="auto"/>
                    <w:right w:val="none" w:sz="0" w:space="0" w:color="auto"/>
                  </w:divBdr>
                  <w:divsChild>
                    <w:div w:id="1780101401">
                      <w:marLeft w:val="0"/>
                      <w:marRight w:val="0"/>
                      <w:marTop w:val="0"/>
                      <w:marBottom w:val="0"/>
                      <w:divBdr>
                        <w:top w:val="none" w:sz="0" w:space="0" w:color="auto"/>
                        <w:left w:val="none" w:sz="0" w:space="0" w:color="auto"/>
                        <w:bottom w:val="none" w:sz="0" w:space="0" w:color="auto"/>
                        <w:right w:val="none" w:sz="0" w:space="0" w:color="auto"/>
                      </w:divBdr>
                      <w:divsChild>
                        <w:div w:id="1807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5820">
                  <w:marLeft w:val="0"/>
                  <w:marRight w:val="0"/>
                  <w:marTop w:val="0"/>
                  <w:marBottom w:val="0"/>
                  <w:divBdr>
                    <w:top w:val="none" w:sz="0" w:space="0" w:color="auto"/>
                    <w:left w:val="none" w:sz="0" w:space="0" w:color="auto"/>
                    <w:bottom w:val="none" w:sz="0" w:space="0" w:color="auto"/>
                    <w:right w:val="none" w:sz="0" w:space="0" w:color="auto"/>
                  </w:divBdr>
                  <w:divsChild>
                    <w:div w:id="1793206122">
                      <w:marLeft w:val="0"/>
                      <w:marRight w:val="0"/>
                      <w:marTop w:val="0"/>
                      <w:marBottom w:val="0"/>
                      <w:divBdr>
                        <w:top w:val="none" w:sz="0" w:space="0" w:color="auto"/>
                        <w:left w:val="none" w:sz="0" w:space="0" w:color="auto"/>
                        <w:bottom w:val="none" w:sz="0" w:space="0" w:color="auto"/>
                        <w:right w:val="none" w:sz="0" w:space="0" w:color="auto"/>
                      </w:divBdr>
                      <w:divsChild>
                        <w:div w:id="4076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89782">
                  <w:marLeft w:val="0"/>
                  <w:marRight w:val="0"/>
                  <w:marTop w:val="0"/>
                  <w:marBottom w:val="0"/>
                  <w:divBdr>
                    <w:top w:val="none" w:sz="0" w:space="0" w:color="auto"/>
                    <w:left w:val="none" w:sz="0" w:space="0" w:color="auto"/>
                    <w:bottom w:val="none" w:sz="0" w:space="0" w:color="auto"/>
                    <w:right w:val="none" w:sz="0" w:space="0" w:color="auto"/>
                  </w:divBdr>
                  <w:divsChild>
                    <w:div w:id="1348366598">
                      <w:marLeft w:val="0"/>
                      <w:marRight w:val="0"/>
                      <w:marTop w:val="0"/>
                      <w:marBottom w:val="0"/>
                      <w:divBdr>
                        <w:top w:val="none" w:sz="0" w:space="0" w:color="auto"/>
                        <w:left w:val="none" w:sz="0" w:space="0" w:color="auto"/>
                        <w:bottom w:val="none" w:sz="0" w:space="0" w:color="auto"/>
                        <w:right w:val="none" w:sz="0" w:space="0" w:color="auto"/>
                      </w:divBdr>
                      <w:divsChild>
                        <w:div w:id="6255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301">
                  <w:marLeft w:val="0"/>
                  <w:marRight w:val="0"/>
                  <w:marTop w:val="0"/>
                  <w:marBottom w:val="0"/>
                  <w:divBdr>
                    <w:top w:val="none" w:sz="0" w:space="0" w:color="auto"/>
                    <w:left w:val="none" w:sz="0" w:space="0" w:color="auto"/>
                    <w:bottom w:val="none" w:sz="0" w:space="0" w:color="auto"/>
                    <w:right w:val="none" w:sz="0" w:space="0" w:color="auto"/>
                  </w:divBdr>
                  <w:divsChild>
                    <w:div w:id="1269121728">
                      <w:marLeft w:val="0"/>
                      <w:marRight w:val="0"/>
                      <w:marTop w:val="0"/>
                      <w:marBottom w:val="0"/>
                      <w:divBdr>
                        <w:top w:val="none" w:sz="0" w:space="0" w:color="auto"/>
                        <w:left w:val="none" w:sz="0" w:space="0" w:color="auto"/>
                        <w:bottom w:val="none" w:sz="0" w:space="0" w:color="auto"/>
                        <w:right w:val="none" w:sz="0" w:space="0" w:color="auto"/>
                      </w:divBdr>
                      <w:divsChild>
                        <w:div w:id="1371955779">
                          <w:marLeft w:val="0"/>
                          <w:marRight w:val="0"/>
                          <w:marTop w:val="0"/>
                          <w:marBottom w:val="0"/>
                          <w:divBdr>
                            <w:top w:val="none" w:sz="0" w:space="0" w:color="auto"/>
                            <w:left w:val="none" w:sz="0" w:space="0" w:color="auto"/>
                            <w:bottom w:val="none" w:sz="0" w:space="0" w:color="auto"/>
                            <w:right w:val="none" w:sz="0" w:space="0" w:color="auto"/>
                          </w:divBdr>
                        </w:div>
                      </w:divsChild>
                    </w:div>
                    <w:div w:id="1479490639">
                      <w:marLeft w:val="0"/>
                      <w:marRight w:val="0"/>
                      <w:marTop w:val="0"/>
                      <w:marBottom w:val="0"/>
                      <w:divBdr>
                        <w:top w:val="none" w:sz="0" w:space="0" w:color="auto"/>
                        <w:left w:val="none" w:sz="0" w:space="0" w:color="auto"/>
                        <w:bottom w:val="none" w:sz="0" w:space="0" w:color="auto"/>
                        <w:right w:val="none" w:sz="0" w:space="0" w:color="auto"/>
                      </w:divBdr>
                      <w:divsChild>
                        <w:div w:id="1804496763">
                          <w:marLeft w:val="0"/>
                          <w:marRight w:val="0"/>
                          <w:marTop w:val="0"/>
                          <w:marBottom w:val="0"/>
                          <w:divBdr>
                            <w:top w:val="none" w:sz="0" w:space="0" w:color="auto"/>
                            <w:left w:val="none" w:sz="0" w:space="0" w:color="auto"/>
                            <w:bottom w:val="none" w:sz="0" w:space="0" w:color="auto"/>
                            <w:right w:val="none" w:sz="0" w:space="0" w:color="auto"/>
                          </w:divBdr>
                        </w:div>
                      </w:divsChild>
                    </w:div>
                    <w:div w:id="1772624800">
                      <w:marLeft w:val="0"/>
                      <w:marRight w:val="0"/>
                      <w:marTop w:val="0"/>
                      <w:marBottom w:val="0"/>
                      <w:divBdr>
                        <w:top w:val="none" w:sz="0" w:space="0" w:color="auto"/>
                        <w:left w:val="none" w:sz="0" w:space="0" w:color="auto"/>
                        <w:bottom w:val="none" w:sz="0" w:space="0" w:color="auto"/>
                        <w:right w:val="none" w:sz="0" w:space="0" w:color="auto"/>
                      </w:divBdr>
                      <w:divsChild>
                        <w:div w:id="8140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7832">
                  <w:marLeft w:val="0"/>
                  <w:marRight w:val="0"/>
                  <w:marTop w:val="0"/>
                  <w:marBottom w:val="0"/>
                  <w:divBdr>
                    <w:top w:val="none" w:sz="0" w:space="0" w:color="auto"/>
                    <w:left w:val="none" w:sz="0" w:space="0" w:color="auto"/>
                    <w:bottom w:val="none" w:sz="0" w:space="0" w:color="auto"/>
                    <w:right w:val="none" w:sz="0" w:space="0" w:color="auto"/>
                  </w:divBdr>
                  <w:divsChild>
                    <w:div w:id="1619484700">
                      <w:marLeft w:val="0"/>
                      <w:marRight w:val="0"/>
                      <w:marTop w:val="0"/>
                      <w:marBottom w:val="0"/>
                      <w:divBdr>
                        <w:top w:val="none" w:sz="0" w:space="0" w:color="auto"/>
                        <w:left w:val="none" w:sz="0" w:space="0" w:color="auto"/>
                        <w:bottom w:val="none" w:sz="0" w:space="0" w:color="auto"/>
                        <w:right w:val="none" w:sz="0" w:space="0" w:color="auto"/>
                      </w:divBdr>
                      <w:divsChild>
                        <w:div w:id="309484526">
                          <w:marLeft w:val="0"/>
                          <w:marRight w:val="0"/>
                          <w:marTop w:val="0"/>
                          <w:marBottom w:val="0"/>
                          <w:divBdr>
                            <w:top w:val="none" w:sz="0" w:space="0" w:color="auto"/>
                            <w:left w:val="none" w:sz="0" w:space="0" w:color="auto"/>
                            <w:bottom w:val="none" w:sz="0" w:space="0" w:color="auto"/>
                            <w:right w:val="none" w:sz="0" w:space="0" w:color="auto"/>
                          </w:divBdr>
                        </w:div>
                      </w:divsChild>
                    </w:div>
                    <w:div w:id="1968462105">
                      <w:marLeft w:val="0"/>
                      <w:marRight w:val="0"/>
                      <w:marTop w:val="0"/>
                      <w:marBottom w:val="0"/>
                      <w:divBdr>
                        <w:top w:val="none" w:sz="0" w:space="0" w:color="auto"/>
                        <w:left w:val="none" w:sz="0" w:space="0" w:color="auto"/>
                        <w:bottom w:val="none" w:sz="0" w:space="0" w:color="auto"/>
                        <w:right w:val="none" w:sz="0" w:space="0" w:color="auto"/>
                      </w:divBdr>
                      <w:divsChild>
                        <w:div w:id="9587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3725">
                  <w:marLeft w:val="0"/>
                  <w:marRight w:val="0"/>
                  <w:marTop w:val="0"/>
                  <w:marBottom w:val="0"/>
                  <w:divBdr>
                    <w:top w:val="none" w:sz="0" w:space="0" w:color="auto"/>
                    <w:left w:val="none" w:sz="0" w:space="0" w:color="auto"/>
                    <w:bottom w:val="none" w:sz="0" w:space="0" w:color="auto"/>
                    <w:right w:val="none" w:sz="0" w:space="0" w:color="auto"/>
                  </w:divBdr>
                  <w:divsChild>
                    <w:div w:id="1872186839">
                      <w:marLeft w:val="0"/>
                      <w:marRight w:val="0"/>
                      <w:marTop w:val="0"/>
                      <w:marBottom w:val="0"/>
                      <w:divBdr>
                        <w:top w:val="none" w:sz="0" w:space="0" w:color="auto"/>
                        <w:left w:val="none" w:sz="0" w:space="0" w:color="auto"/>
                        <w:bottom w:val="none" w:sz="0" w:space="0" w:color="auto"/>
                        <w:right w:val="none" w:sz="0" w:space="0" w:color="auto"/>
                      </w:divBdr>
                      <w:divsChild>
                        <w:div w:id="12104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7860">
                  <w:marLeft w:val="0"/>
                  <w:marRight w:val="0"/>
                  <w:marTop w:val="0"/>
                  <w:marBottom w:val="0"/>
                  <w:divBdr>
                    <w:top w:val="none" w:sz="0" w:space="0" w:color="auto"/>
                    <w:left w:val="none" w:sz="0" w:space="0" w:color="auto"/>
                    <w:bottom w:val="none" w:sz="0" w:space="0" w:color="auto"/>
                    <w:right w:val="none" w:sz="0" w:space="0" w:color="auto"/>
                  </w:divBdr>
                  <w:divsChild>
                    <w:div w:id="2109428880">
                      <w:marLeft w:val="0"/>
                      <w:marRight w:val="0"/>
                      <w:marTop w:val="0"/>
                      <w:marBottom w:val="0"/>
                      <w:divBdr>
                        <w:top w:val="none" w:sz="0" w:space="0" w:color="auto"/>
                        <w:left w:val="none" w:sz="0" w:space="0" w:color="auto"/>
                        <w:bottom w:val="none" w:sz="0" w:space="0" w:color="auto"/>
                        <w:right w:val="none" w:sz="0" w:space="0" w:color="auto"/>
                      </w:divBdr>
                      <w:divsChild>
                        <w:div w:id="12025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1955">
                  <w:marLeft w:val="0"/>
                  <w:marRight w:val="0"/>
                  <w:marTop w:val="0"/>
                  <w:marBottom w:val="0"/>
                  <w:divBdr>
                    <w:top w:val="none" w:sz="0" w:space="0" w:color="auto"/>
                    <w:left w:val="none" w:sz="0" w:space="0" w:color="auto"/>
                    <w:bottom w:val="none" w:sz="0" w:space="0" w:color="auto"/>
                    <w:right w:val="none" w:sz="0" w:space="0" w:color="auto"/>
                  </w:divBdr>
                  <w:divsChild>
                    <w:div w:id="636689682">
                      <w:marLeft w:val="0"/>
                      <w:marRight w:val="0"/>
                      <w:marTop w:val="0"/>
                      <w:marBottom w:val="0"/>
                      <w:divBdr>
                        <w:top w:val="none" w:sz="0" w:space="0" w:color="auto"/>
                        <w:left w:val="none" w:sz="0" w:space="0" w:color="auto"/>
                        <w:bottom w:val="none" w:sz="0" w:space="0" w:color="auto"/>
                        <w:right w:val="none" w:sz="0" w:space="0" w:color="auto"/>
                      </w:divBdr>
                      <w:divsChild>
                        <w:div w:id="1147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684">
                  <w:marLeft w:val="0"/>
                  <w:marRight w:val="0"/>
                  <w:marTop w:val="0"/>
                  <w:marBottom w:val="0"/>
                  <w:divBdr>
                    <w:top w:val="none" w:sz="0" w:space="0" w:color="auto"/>
                    <w:left w:val="none" w:sz="0" w:space="0" w:color="auto"/>
                    <w:bottom w:val="none" w:sz="0" w:space="0" w:color="auto"/>
                    <w:right w:val="none" w:sz="0" w:space="0" w:color="auto"/>
                  </w:divBdr>
                  <w:divsChild>
                    <w:div w:id="2003120220">
                      <w:marLeft w:val="0"/>
                      <w:marRight w:val="0"/>
                      <w:marTop w:val="0"/>
                      <w:marBottom w:val="0"/>
                      <w:divBdr>
                        <w:top w:val="none" w:sz="0" w:space="0" w:color="auto"/>
                        <w:left w:val="none" w:sz="0" w:space="0" w:color="auto"/>
                        <w:bottom w:val="none" w:sz="0" w:space="0" w:color="auto"/>
                        <w:right w:val="none" w:sz="0" w:space="0" w:color="auto"/>
                      </w:divBdr>
                      <w:divsChild>
                        <w:div w:id="1104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871">
                  <w:marLeft w:val="0"/>
                  <w:marRight w:val="0"/>
                  <w:marTop w:val="0"/>
                  <w:marBottom w:val="0"/>
                  <w:divBdr>
                    <w:top w:val="none" w:sz="0" w:space="0" w:color="auto"/>
                    <w:left w:val="none" w:sz="0" w:space="0" w:color="auto"/>
                    <w:bottom w:val="none" w:sz="0" w:space="0" w:color="auto"/>
                    <w:right w:val="none" w:sz="0" w:space="0" w:color="auto"/>
                  </w:divBdr>
                  <w:divsChild>
                    <w:div w:id="1573084079">
                      <w:marLeft w:val="0"/>
                      <w:marRight w:val="0"/>
                      <w:marTop w:val="0"/>
                      <w:marBottom w:val="0"/>
                      <w:divBdr>
                        <w:top w:val="none" w:sz="0" w:space="0" w:color="auto"/>
                        <w:left w:val="none" w:sz="0" w:space="0" w:color="auto"/>
                        <w:bottom w:val="none" w:sz="0" w:space="0" w:color="auto"/>
                        <w:right w:val="none" w:sz="0" w:space="0" w:color="auto"/>
                      </w:divBdr>
                      <w:divsChild>
                        <w:div w:id="20725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1820">
                  <w:marLeft w:val="0"/>
                  <w:marRight w:val="0"/>
                  <w:marTop w:val="0"/>
                  <w:marBottom w:val="0"/>
                  <w:divBdr>
                    <w:top w:val="none" w:sz="0" w:space="0" w:color="auto"/>
                    <w:left w:val="none" w:sz="0" w:space="0" w:color="auto"/>
                    <w:bottom w:val="none" w:sz="0" w:space="0" w:color="auto"/>
                    <w:right w:val="none" w:sz="0" w:space="0" w:color="auto"/>
                  </w:divBdr>
                  <w:divsChild>
                    <w:div w:id="1891070696">
                      <w:marLeft w:val="0"/>
                      <w:marRight w:val="0"/>
                      <w:marTop w:val="0"/>
                      <w:marBottom w:val="0"/>
                      <w:divBdr>
                        <w:top w:val="none" w:sz="0" w:space="0" w:color="auto"/>
                        <w:left w:val="none" w:sz="0" w:space="0" w:color="auto"/>
                        <w:bottom w:val="none" w:sz="0" w:space="0" w:color="auto"/>
                        <w:right w:val="none" w:sz="0" w:space="0" w:color="auto"/>
                      </w:divBdr>
                      <w:divsChild>
                        <w:div w:id="18858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4925">
                  <w:marLeft w:val="0"/>
                  <w:marRight w:val="0"/>
                  <w:marTop w:val="0"/>
                  <w:marBottom w:val="0"/>
                  <w:divBdr>
                    <w:top w:val="none" w:sz="0" w:space="0" w:color="auto"/>
                    <w:left w:val="none" w:sz="0" w:space="0" w:color="auto"/>
                    <w:bottom w:val="none" w:sz="0" w:space="0" w:color="auto"/>
                    <w:right w:val="none" w:sz="0" w:space="0" w:color="auto"/>
                  </w:divBdr>
                  <w:divsChild>
                    <w:div w:id="1988050974">
                      <w:marLeft w:val="0"/>
                      <w:marRight w:val="0"/>
                      <w:marTop w:val="0"/>
                      <w:marBottom w:val="0"/>
                      <w:divBdr>
                        <w:top w:val="none" w:sz="0" w:space="0" w:color="auto"/>
                        <w:left w:val="none" w:sz="0" w:space="0" w:color="auto"/>
                        <w:bottom w:val="none" w:sz="0" w:space="0" w:color="auto"/>
                        <w:right w:val="none" w:sz="0" w:space="0" w:color="auto"/>
                      </w:divBdr>
                      <w:divsChild>
                        <w:div w:id="9673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04">
                  <w:marLeft w:val="0"/>
                  <w:marRight w:val="0"/>
                  <w:marTop w:val="0"/>
                  <w:marBottom w:val="0"/>
                  <w:divBdr>
                    <w:top w:val="none" w:sz="0" w:space="0" w:color="auto"/>
                    <w:left w:val="none" w:sz="0" w:space="0" w:color="auto"/>
                    <w:bottom w:val="none" w:sz="0" w:space="0" w:color="auto"/>
                    <w:right w:val="none" w:sz="0" w:space="0" w:color="auto"/>
                  </w:divBdr>
                  <w:divsChild>
                    <w:div w:id="174149544">
                      <w:marLeft w:val="0"/>
                      <w:marRight w:val="0"/>
                      <w:marTop w:val="0"/>
                      <w:marBottom w:val="0"/>
                      <w:divBdr>
                        <w:top w:val="none" w:sz="0" w:space="0" w:color="auto"/>
                        <w:left w:val="none" w:sz="0" w:space="0" w:color="auto"/>
                        <w:bottom w:val="none" w:sz="0" w:space="0" w:color="auto"/>
                        <w:right w:val="none" w:sz="0" w:space="0" w:color="auto"/>
                      </w:divBdr>
                      <w:divsChild>
                        <w:div w:id="1873616168">
                          <w:marLeft w:val="0"/>
                          <w:marRight w:val="0"/>
                          <w:marTop w:val="0"/>
                          <w:marBottom w:val="0"/>
                          <w:divBdr>
                            <w:top w:val="none" w:sz="0" w:space="0" w:color="auto"/>
                            <w:left w:val="none" w:sz="0" w:space="0" w:color="auto"/>
                            <w:bottom w:val="none" w:sz="0" w:space="0" w:color="auto"/>
                            <w:right w:val="none" w:sz="0" w:space="0" w:color="auto"/>
                          </w:divBdr>
                        </w:div>
                      </w:divsChild>
                    </w:div>
                    <w:div w:id="1768227783">
                      <w:marLeft w:val="0"/>
                      <w:marRight w:val="0"/>
                      <w:marTop w:val="0"/>
                      <w:marBottom w:val="0"/>
                      <w:divBdr>
                        <w:top w:val="none" w:sz="0" w:space="0" w:color="auto"/>
                        <w:left w:val="none" w:sz="0" w:space="0" w:color="auto"/>
                        <w:bottom w:val="none" w:sz="0" w:space="0" w:color="auto"/>
                        <w:right w:val="none" w:sz="0" w:space="0" w:color="auto"/>
                      </w:divBdr>
                      <w:divsChild>
                        <w:div w:id="2124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68043">
                  <w:marLeft w:val="0"/>
                  <w:marRight w:val="0"/>
                  <w:marTop w:val="0"/>
                  <w:marBottom w:val="0"/>
                  <w:divBdr>
                    <w:top w:val="none" w:sz="0" w:space="0" w:color="auto"/>
                    <w:left w:val="none" w:sz="0" w:space="0" w:color="auto"/>
                    <w:bottom w:val="none" w:sz="0" w:space="0" w:color="auto"/>
                    <w:right w:val="none" w:sz="0" w:space="0" w:color="auto"/>
                  </w:divBdr>
                  <w:divsChild>
                    <w:div w:id="940180917">
                      <w:marLeft w:val="0"/>
                      <w:marRight w:val="0"/>
                      <w:marTop w:val="0"/>
                      <w:marBottom w:val="0"/>
                      <w:divBdr>
                        <w:top w:val="none" w:sz="0" w:space="0" w:color="auto"/>
                        <w:left w:val="none" w:sz="0" w:space="0" w:color="auto"/>
                        <w:bottom w:val="none" w:sz="0" w:space="0" w:color="auto"/>
                        <w:right w:val="none" w:sz="0" w:space="0" w:color="auto"/>
                      </w:divBdr>
                      <w:divsChild>
                        <w:div w:id="16123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2235">
                  <w:marLeft w:val="0"/>
                  <w:marRight w:val="0"/>
                  <w:marTop w:val="0"/>
                  <w:marBottom w:val="0"/>
                  <w:divBdr>
                    <w:top w:val="none" w:sz="0" w:space="0" w:color="auto"/>
                    <w:left w:val="none" w:sz="0" w:space="0" w:color="auto"/>
                    <w:bottom w:val="none" w:sz="0" w:space="0" w:color="auto"/>
                    <w:right w:val="none" w:sz="0" w:space="0" w:color="auto"/>
                  </w:divBdr>
                  <w:divsChild>
                    <w:div w:id="628514946">
                      <w:marLeft w:val="0"/>
                      <w:marRight w:val="0"/>
                      <w:marTop w:val="0"/>
                      <w:marBottom w:val="0"/>
                      <w:divBdr>
                        <w:top w:val="none" w:sz="0" w:space="0" w:color="auto"/>
                        <w:left w:val="none" w:sz="0" w:space="0" w:color="auto"/>
                        <w:bottom w:val="none" w:sz="0" w:space="0" w:color="auto"/>
                        <w:right w:val="none" w:sz="0" w:space="0" w:color="auto"/>
                      </w:divBdr>
                      <w:divsChild>
                        <w:div w:id="6691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0020">
                  <w:marLeft w:val="0"/>
                  <w:marRight w:val="0"/>
                  <w:marTop w:val="0"/>
                  <w:marBottom w:val="0"/>
                  <w:divBdr>
                    <w:top w:val="none" w:sz="0" w:space="0" w:color="auto"/>
                    <w:left w:val="none" w:sz="0" w:space="0" w:color="auto"/>
                    <w:bottom w:val="none" w:sz="0" w:space="0" w:color="auto"/>
                    <w:right w:val="none" w:sz="0" w:space="0" w:color="auto"/>
                  </w:divBdr>
                  <w:divsChild>
                    <w:div w:id="1052342524">
                      <w:marLeft w:val="0"/>
                      <w:marRight w:val="0"/>
                      <w:marTop w:val="0"/>
                      <w:marBottom w:val="0"/>
                      <w:divBdr>
                        <w:top w:val="none" w:sz="0" w:space="0" w:color="auto"/>
                        <w:left w:val="none" w:sz="0" w:space="0" w:color="auto"/>
                        <w:bottom w:val="none" w:sz="0" w:space="0" w:color="auto"/>
                        <w:right w:val="none" w:sz="0" w:space="0" w:color="auto"/>
                      </w:divBdr>
                      <w:divsChild>
                        <w:div w:id="1873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4999">
                  <w:marLeft w:val="0"/>
                  <w:marRight w:val="0"/>
                  <w:marTop w:val="0"/>
                  <w:marBottom w:val="0"/>
                  <w:divBdr>
                    <w:top w:val="none" w:sz="0" w:space="0" w:color="auto"/>
                    <w:left w:val="none" w:sz="0" w:space="0" w:color="auto"/>
                    <w:bottom w:val="none" w:sz="0" w:space="0" w:color="auto"/>
                    <w:right w:val="none" w:sz="0" w:space="0" w:color="auto"/>
                  </w:divBdr>
                  <w:divsChild>
                    <w:div w:id="180363156">
                      <w:marLeft w:val="0"/>
                      <w:marRight w:val="0"/>
                      <w:marTop w:val="0"/>
                      <w:marBottom w:val="0"/>
                      <w:divBdr>
                        <w:top w:val="none" w:sz="0" w:space="0" w:color="auto"/>
                        <w:left w:val="none" w:sz="0" w:space="0" w:color="auto"/>
                        <w:bottom w:val="none" w:sz="0" w:space="0" w:color="auto"/>
                        <w:right w:val="none" w:sz="0" w:space="0" w:color="auto"/>
                      </w:divBdr>
                      <w:divsChild>
                        <w:div w:id="17061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crc.maryland.gov"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ustomXml" Target="../customXml/item4.xml"/><Relationship Id="rId10" Type="http://schemas.openxmlformats.org/officeDocument/2006/relationships/hyperlink" Target="http://www.hscrc.maryland.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lyson.schuster@maryland.gov" TargetMode="Externa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B9EFA5D9264897B315E32CA28269F6"/>
        <w:category>
          <w:name w:val="General"/>
          <w:gallery w:val="placeholder"/>
        </w:category>
        <w:types>
          <w:type w:val="bbPlcHdr"/>
        </w:types>
        <w:behaviors>
          <w:behavior w:val="content"/>
        </w:behaviors>
        <w:guid w:val="{DC087BD4-9818-4E03-BDEE-0CEC434643EF}"/>
      </w:docPartPr>
      <w:docPartBody>
        <w:p w:rsidR="00200DE2" w:rsidRDefault="00553BCF">
          <w:pPr>
            <w:pStyle w:val="36B9EFA5D9264897B315E32CA28269F6"/>
          </w:pPr>
          <w:r w:rsidRPr="00BD48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53BCF"/>
    <w:rsid w:val="00046492"/>
    <w:rsid w:val="00107970"/>
    <w:rsid w:val="001507A1"/>
    <w:rsid w:val="00200DE2"/>
    <w:rsid w:val="002249CE"/>
    <w:rsid w:val="003B2ECF"/>
    <w:rsid w:val="003C46D6"/>
    <w:rsid w:val="004710C7"/>
    <w:rsid w:val="004961F3"/>
    <w:rsid w:val="004A69E8"/>
    <w:rsid w:val="005052F7"/>
    <w:rsid w:val="0052238F"/>
    <w:rsid w:val="00525A4E"/>
    <w:rsid w:val="00553BCF"/>
    <w:rsid w:val="00611CF2"/>
    <w:rsid w:val="006742E1"/>
    <w:rsid w:val="006855A1"/>
    <w:rsid w:val="007139C0"/>
    <w:rsid w:val="00987784"/>
    <w:rsid w:val="009E1150"/>
    <w:rsid w:val="00AD3340"/>
    <w:rsid w:val="00BB5E5B"/>
    <w:rsid w:val="00C10860"/>
    <w:rsid w:val="00C8519F"/>
    <w:rsid w:val="00D724DC"/>
    <w:rsid w:val="00D83D62"/>
    <w:rsid w:val="00E6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38F"/>
    <w:rPr>
      <w:color w:val="808080"/>
    </w:rPr>
  </w:style>
  <w:style w:type="paragraph" w:customStyle="1" w:styleId="36B9EFA5D9264897B315E32CA28269F6">
    <w:name w:val="36B9EFA5D9264897B315E32CA28269F6"/>
    <w:rsid w:val="00522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E386C-4A17-400D-8892-F0F391CD7A60}"/>
</file>

<file path=customXml/itemProps2.xml><?xml version="1.0" encoding="utf-8"?>
<ds:datastoreItem xmlns:ds="http://schemas.openxmlformats.org/officeDocument/2006/customXml" ds:itemID="{8E43F933-FB02-4A25-86C4-CBA815213840}"/>
</file>

<file path=customXml/itemProps3.xml><?xml version="1.0" encoding="utf-8"?>
<ds:datastoreItem xmlns:ds="http://schemas.openxmlformats.org/officeDocument/2006/customXml" ds:itemID="{2E509AF7-E048-481D-9267-20E1E7044164}"/>
</file>

<file path=customXml/itemProps4.xml><?xml version="1.0" encoding="utf-8"?>
<ds:datastoreItem xmlns:ds="http://schemas.openxmlformats.org/officeDocument/2006/customXml" ds:itemID="{F9826DB8-FFBD-4CBD-A259-DD6F2C553639}"/>
</file>

<file path=docProps/app.xml><?xml version="1.0" encoding="utf-8"?>
<Properties xmlns="http://schemas.openxmlformats.org/officeDocument/2006/extended-properties" xmlns:vt="http://schemas.openxmlformats.org/officeDocument/2006/docPropsVTypes">
  <Template>Normal</Template>
  <TotalTime>3</TotalTime>
  <Pages>11</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hscrc</Company>
  <LinksUpToDate>false</LinksUpToDate>
  <CharactersWithSpaces>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Feeney</dc:creator>
  <cp:lastModifiedBy>Alyson Schuster</cp:lastModifiedBy>
  <cp:revision>4</cp:revision>
  <cp:lastPrinted>2014-03-28T19:19:00Z</cp:lastPrinted>
  <dcterms:created xsi:type="dcterms:W3CDTF">2014-04-21T20:16:00Z</dcterms:created>
  <dcterms:modified xsi:type="dcterms:W3CDTF">2014-04-21T20:19:00Z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