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D5" w:rsidRPr="006D0CD5" w:rsidRDefault="00E93641" w:rsidP="006D0CD5">
      <w:pPr>
        <w:pStyle w:val="Title"/>
        <w:ind w:left="0" w:firstLine="0"/>
        <w:jc w:val="center"/>
        <w:rPr>
          <w:sz w:val="36"/>
        </w:rPr>
      </w:pPr>
      <w:r>
        <w:rPr>
          <w:sz w:val="36"/>
        </w:rPr>
        <w:t xml:space="preserve">HSCRC </w:t>
      </w:r>
      <w:r w:rsidR="006D0CD5" w:rsidRPr="006D0CD5">
        <w:rPr>
          <w:sz w:val="36"/>
        </w:rPr>
        <w:t>Estimate of the Marginal Additional Charge of</w:t>
      </w:r>
    </w:p>
    <w:p w:rsidR="006D0CD5" w:rsidRPr="006D0CD5" w:rsidRDefault="006D0CD5" w:rsidP="006D0CD5">
      <w:pPr>
        <w:pStyle w:val="Title"/>
        <w:ind w:left="0" w:firstLine="0"/>
        <w:jc w:val="center"/>
        <w:rPr>
          <w:sz w:val="36"/>
        </w:rPr>
      </w:pPr>
      <w:r w:rsidRPr="006D0CD5">
        <w:rPr>
          <w:sz w:val="36"/>
        </w:rPr>
        <w:t>PPCs in Maryland</w:t>
      </w:r>
      <w:r w:rsidR="007046E8">
        <w:rPr>
          <w:sz w:val="36"/>
        </w:rPr>
        <w:t xml:space="preserve"> for Rate Year 2014</w:t>
      </w:r>
    </w:p>
    <w:p w:rsidR="006D0CD5" w:rsidRDefault="006D0CD5" w:rsidP="006D0CD5">
      <w:pPr>
        <w:ind w:left="0" w:firstLine="0"/>
      </w:pPr>
      <w:r w:rsidRPr="006D0CD5">
        <w:rPr>
          <w:rStyle w:val="IntenseEmphasis"/>
        </w:rPr>
        <w:t>Objective</w:t>
      </w:r>
      <w:r>
        <w:t xml:space="preserve">: Estimate the marginal hospital charge increase when a patient develops a PPC during a hospital stay (i.e., acquired post admission) in Maryland. </w:t>
      </w:r>
    </w:p>
    <w:p w:rsidR="006D0CD5" w:rsidRDefault="006D0CD5" w:rsidP="006D0CD5">
      <w:pPr>
        <w:ind w:left="0" w:firstLine="0"/>
      </w:pPr>
      <w:r w:rsidRPr="006D0CD5">
        <w:rPr>
          <w:rStyle w:val="IntenseEmphasis"/>
        </w:rPr>
        <w:t>Data Source</w:t>
      </w:r>
      <w:r>
        <w:t>: Maryland inpatient acute care all payer statewide hospital data from April 2011 through March 2012 containing 711,336 discharges were used as the basis for the estimates. Discharges that died or were transferred to another acute care facility were excluded.  Discharges from two inpatient rehab hospitals were excluded.  Further, discharges with charge values below $200 or above $2,000,000 were excluded.  The resultant analysis file contained 684</w:t>
      </w:r>
      <w:r w:rsidR="00B9127D">
        <w:t>,</w:t>
      </w:r>
      <w:r>
        <w:t>363 discharges.</w:t>
      </w:r>
    </w:p>
    <w:p w:rsidR="006D0CD5" w:rsidRDefault="006D0CD5" w:rsidP="006D0CD5">
      <w:pPr>
        <w:ind w:left="0" w:firstLine="0"/>
      </w:pPr>
      <w:r>
        <w:t>Individual case level charges were standardized based the ratio of the statewide average charge to hospital average charge. The steps to standardize the charges as follows:</w:t>
      </w:r>
    </w:p>
    <w:p w:rsidR="006D0CD5" w:rsidRDefault="006D0CD5" w:rsidP="007046E8">
      <w:pPr>
        <w:spacing w:before="0" w:after="120" w:line="240" w:lineRule="auto"/>
        <w:ind w:left="1170" w:hanging="450"/>
      </w:pPr>
      <w:r>
        <w:t>1.</w:t>
      </w:r>
      <w:r>
        <w:tab/>
        <w:t xml:space="preserve">Calculate the mean statewide charge by DRG, </w:t>
      </w:r>
      <w:proofErr w:type="spellStart"/>
      <w:r>
        <w:t>Ci</w:t>
      </w:r>
      <w:proofErr w:type="spellEnd"/>
      <w:r>
        <w:t xml:space="preserve"> for DRG </w:t>
      </w:r>
      <w:proofErr w:type="spellStart"/>
      <w:r>
        <w:t>i</w:t>
      </w:r>
      <w:proofErr w:type="spellEnd"/>
      <w:r>
        <w:t>.</w:t>
      </w:r>
    </w:p>
    <w:p w:rsidR="006D0CD5" w:rsidRDefault="006D0CD5" w:rsidP="007046E8">
      <w:pPr>
        <w:spacing w:before="0" w:after="120" w:line="240" w:lineRule="auto"/>
        <w:ind w:left="1170" w:hanging="450"/>
      </w:pPr>
      <w:r>
        <w:t>2.</w:t>
      </w:r>
      <w:r>
        <w:tab/>
        <w:t xml:space="preserve">Calculate the mean hospital charge </w:t>
      </w:r>
      <w:proofErr w:type="spellStart"/>
      <w:r>
        <w:t>Hj</w:t>
      </w:r>
      <w:proofErr w:type="spellEnd"/>
      <w:r>
        <w:t xml:space="preserve"> for hospital j. </w:t>
      </w:r>
    </w:p>
    <w:p w:rsidR="006D0CD5" w:rsidRDefault="006D0CD5" w:rsidP="007046E8">
      <w:pPr>
        <w:spacing w:before="0" w:after="120" w:line="240" w:lineRule="auto"/>
        <w:ind w:left="1170" w:hanging="450"/>
      </w:pPr>
      <w:r>
        <w:t>3.</w:t>
      </w:r>
      <w:r>
        <w:tab/>
        <w:t xml:space="preserve">Calculate the mean charge the hospital would have if each discharge had the statewide mean charge for the admission DRG assigned to the discharge, </w:t>
      </w:r>
      <w:proofErr w:type="spellStart"/>
      <w:r>
        <w:t>Sj</w:t>
      </w:r>
      <w:proofErr w:type="spellEnd"/>
      <w:r>
        <w:t>.</w:t>
      </w:r>
    </w:p>
    <w:p w:rsidR="006D0CD5" w:rsidRDefault="006D0CD5" w:rsidP="007046E8">
      <w:pPr>
        <w:spacing w:before="0" w:after="120" w:line="240" w:lineRule="auto"/>
        <w:ind w:left="1170" w:hanging="450"/>
      </w:pPr>
      <w:r>
        <w:t>4.</w:t>
      </w:r>
      <w:r>
        <w:tab/>
        <w:t xml:space="preserve">The standardizing factor to apply to the hospital charges is then </w:t>
      </w:r>
      <w:proofErr w:type="spellStart"/>
      <w:r>
        <w:t>Sj</w:t>
      </w:r>
      <w:proofErr w:type="spellEnd"/>
      <w:r>
        <w:t>/</w:t>
      </w:r>
      <w:proofErr w:type="spellStart"/>
      <w:r>
        <w:t>Hj</w:t>
      </w:r>
      <w:proofErr w:type="spellEnd"/>
      <w:r>
        <w:t>.</w:t>
      </w:r>
    </w:p>
    <w:p w:rsidR="006D0CD5" w:rsidRDefault="006D0CD5" w:rsidP="006D0CD5">
      <w:pPr>
        <w:ind w:left="0" w:firstLine="0"/>
      </w:pPr>
      <w:r>
        <w:t xml:space="preserve"> Since the charge values in the regression file used standardized charges, the additional per case charge value for each PPC needs to be converted back to a hospital specific value for hospital rankings. </w:t>
      </w:r>
    </w:p>
    <w:p w:rsidR="006D0CD5" w:rsidRDefault="006D0CD5" w:rsidP="006D0CD5">
      <w:pPr>
        <w:ind w:left="0" w:firstLine="0"/>
      </w:pPr>
      <w:r w:rsidRPr="006D0CD5">
        <w:rPr>
          <w:rStyle w:val="IntenseEmphasis"/>
        </w:rPr>
        <w:t>Method:</w:t>
      </w:r>
      <w:r>
        <w:t xml:space="preserve">  Since the marginal charge impact of a PPC, will vary depending on a patient’s reason for admission and severity of illness at the time of admission, it was necessary to adjust for these factors in order to determine the marginal charges of a PPC. 3M All Patient Refined Diagnosis Related Groups (APR-DRGs) classify discharges to one of 314 reasons for admission and one of four </w:t>
      </w:r>
      <w:proofErr w:type="gramStart"/>
      <w:r>
        <w:t>severity</w:t>
      </w:r>
      <w:proofErr w:type="gramEnd"/>
      <w:r>
        <w:t xml:space="preserve"> of illness levels (1,256 unique patient categories).  Each discharge in the analysis database was assigned to an APR DRG v29.0. Since patients who develop a post admission complication often develop multiple associated complications, it was necessary to adjust for the presence of multiple complications in order to determine the marginal charge of an individual PPC. 3M Potentially Preventable Complications (PPCs) v29 identify 66 different types of post admission complications analyzing 1,450 ICD-9-CM diagnosis codes and a select set of procedure codes.  All PPCs present on each discharge (potentially preventable or not) were identified and used in the regression analysis.  </w:t>
      </w:r>
    </w:p>
    <w:p w:rsidR="006D0CD5" w:rsidRDefault="006D0CD5" w:rsidP="006D0CD5">
      <w:pPr>
        <w:ind w:left="0" w:firstLine="0"/>
      </w:pPr>
      <w:r>
        <w:t>A simple linear regression was specified of the form:</w:t>
      </w:r>
    </w:p>
    <w:p w:rsidR="006D0CD5" w:rsidRDefault="006D0CD5" w:rsidP="006D0CD5">
      <w:pPr>
        <w:ind w:left="0" w:firstLine="0"/>
        <w:jc w:val="center"/>
      </w:pPr>
      <w:r>
        <w:t xml:space="preserve">Charge </w:t>
      </w:r>
      <w:proofErr w:type="spellStart"/>
      <w:r w:rsidRPr="00102997">
        <w:rPr>
          <w:vertAlign w:val="subscript"/>
        </w:rPr>
        <w:t>i</w:t>
      </w:r>
      <w:proofErr w:type="spellEnd"/>
      <w:r>
        <w:t xml:space="preserve"> = α + β</w:t>
      </w:r>
      <w:r w:rsidRPr="00187E98">
        <w:rPr>
          <w:vertAlign w:val="subscript"/>
        </w:rPr>
        <w:t xml:space="preserve"> </w:t>
      </w:r>
      <w:r>
        <w:rPr>
          <w:vertAlign w:val="subscript"/>
        </w:rPr>
        <w:t>j</w:t>
      </w:r>
      <w:r>
        <w:t xml:space="preserve"> PPC </w:t>
      </w:r>
      <w:proofErr w:type="spellStart"/>
      <w:r>
        <w:rPr>
          <w:vertAlign w:val="subscript"/>
        </w:rPr>
        <w:t>j</w:t>
      </w:r>
      <w:proofErr w:type="gramStart"/>
      <w:r>
        <w:rPr>
          <w:vertAlign w:val="subscript"/>
        </w:rPr>
        <w:t>,i</w:t>
      </w:r>
      <w:proofErr w:type="spellEnd"/>
      <w:proofErr w:type="gramEnd"/>
      <w:r w:rsidRPr="00102997">
        <w:rPr>
          <w:vertAlign w:val="subscript"/>
        </w:rPr>
        <w:t xml:space="preserve"> </w:t>
      </w:r>
      <w:r>
        <w:t xml:space="preserve">+ </w:t>
      </w:r>
      <w:bookmarkStart w:id="0" w:name="OLE_LINK3"/>
      <w:bookmarkStart w:id="1" w:name="OLE_LINK4"/>
      <w:r>
        <w:rPr>
          <w:sz w:val="28"/>
          <w:szCs w:val="28"/>
        </w:rPr>
        <w:t>γ</w:t>
      </w:r>
      <w:r>
        <w:t xml:space="preserve"> </w:t>
      </w:r>
      <w:r w:rsidRPr="00102997">
        <w:rPr>
          <w:vertAlign w:val="subscript"/>
        </w:rPr>
        <w:t>k</w:t>
      </w:r>
      <w:bookmarkEnd w:id="0"/>
      <w:bookmarkEnd w:id="1"/>
      <w:r>
        <w:t xml:space="preserve"> APR-DRG </w:t>
      </w:r>
      <w:proofErr w:type="spellStart"/>
      <w:r w:rsidRPr="00102997">
        <w:rPr>
          <w:vertAlign w:val="subscript"/>
        </w:rPr>
        <w:t>k,i</w:t>
      </w:r>
      <w:proofErr w:type="spellEnd"/>
      <w:r>
        <w:t xml:space="preserve"> + </w:t>
      </w:r>
      <w:r w:rsidRPr="00187E98">
        <w:rPr>
          <w:sz w:val="28"/>
          <w:szCs w:val="28"/>
        </w:rPr>
        <w:t>ε</w:t>
      </w:r>
      <w:r>
        <w:rPr>
          <w:sz w:val="28"/>
          <w:szCs w:val="28"/>
        </w:rPr>
        <w:t xml:space="preserve"> </w:t>
      </w:r>
      <w:proofErr w:type="spellStart"/>
      <w:r w:rsidRPr="00102997">
        <w:rPr>
          <w:vertAlign w:val="subscript"/>
        </w:rPr>
        <w:t>i</w:t>
      </w:r>
      <w:proofErr w:type="spellEnd"/>
    </w:p>
    <w:p w:rsidR="006D0CD5" w:rsidRDefault="006D0CD5" w:rsidP="006D0CD5">
      <w:pPr>
        <w:ind w:left="0" w:firstLine="0"/>
      </w:pPr>
      <w:r>
        <w:t>Where:</w:t>
      </w:r>
    </w:p>
    <w:p w:rsidR="006D0CD5" w:rsidDel="006702B5" w:rsidRDefault="006D0CD5" w:rsidP="006D0CD5">
      <w:pPr>
        <w:ind w:left="0" w:firstLine="0"/>
      </w:pPr>
      <w:r>
        <w:lastRenderedPageBreak/>
        <w:t xml:space="preserve">Charge </w:t>
      </w:r>
      <w:proofErr w:type="spellStart"/>
      <w:r w:rsidRPr="00102997">
        <w:rPr>
          <w:vertAlign w:val="subscript"/>
        </w:rPr>
        <w:t>i</w:t>
      </w:r>
      <w:proofErr w:type="spellEnd"/>
      <w:r>
        <w:rPr>
          <w:vertAlign w:val="subscript"/>
        </w:rPr>
        <w:t xml:space="preserve"> </w:t>
      </w:r>
      <w:r>
        <w:t>is the</w:t>
      </w:r>
      <w:r w:rsidRPr="00102997">
        <w:t xml:space="preserve"> </w:t>
      </w:r>
      <w:r>
        <w:t xml:space="preserve">total charge standardized for discharge </w:t>
      </w:r>
      <w:proofErr w:type="spellStart"/>
      <w:r>
        <w:t>i</w:t>
      </w:r>
      <w:proofErr w:type="spellEnd"/>
    </w:p>
    <w:p w:rsidR="006D0CD5" w:rsidRPr="00102997" w:rsidRDefault="006D0CD5" w:rsidP="006D0CD5">
      <w:pPr>
        <w:ind w:left="0" w:firstLine="0"/>
      </w:pPr>
      <w:r>
        <w:t xml:space="preserve">APR DRG </w:t>
      </w:r>
      <w:proofErr w:type="spellStart"/>
      <w:r w:rsidRPr="00102997">
        <w:rPr>
          <w:vertAlign w:val="subscript"/>
        </w:rPr>
        <w:t>k</w:t>
      </w:r>
      <w:proofErr w:type="gramStart"/>
      <w:r w:rsidRPr="00102997">
        <w:rPr>
          <w:vertAlign w:val="subscript"/>
        </w:rPr>
        <w:t>,i</w:t>
      </w:r>
      <w:proofErr w:type="spellEnd"/>
      <w:proofErr w:type="gramEnd"/>
      <w:r w:rsidRPr="00102997">
        <w:rPr>
          <w:vertAlign w:val="subscript"/>
        </w:rPr>
        <w:t xml:space="preserve"> </w:t>
      </w:r>
      <w:r w:rsidRPr="00102997">
        <w:t xml:space="preserve"> is a bina</w:t>
      </w:r>
      <w:r>
        <w:t xml:space="preserve">ry variable (0,1) indicating </w:t>
      </w:r>
      <w:r w:rsidRPr="00102997">
        <w:t>which of the 1</w:t>
      </w:r>
      <w:r>
        <w:t>,</w:t>
      </w:r>
      <w:r w:rsidRPr="00102997">
        <w:t xml:space="preserve">256 APR DRGs was assigned to the </w:t>
      </w:r>
      <w:proofErr w:type="spellStart"/>
      <w:r w:rsidRPr="00102997">
        <w:t>i</w:t>
      </w:r>
      <w:r w:rsidRPr="008F07F7">
        <w:rPr>
          <w:vertAlign w:val="superscript"/>
        </w:rPr>
        <w:t>th</w:t>
      </w:r>
      <w:proofErr w:type="spellEnd"/>
      <w:r w:rsidRPr="00102997">
        <w:t xml:space="preserve"> discha</w:t>
      </w:r>
      <w:r>
        <w:t>rge</w:t>
      </w:r>
    </w:p>
    <w:p w:rsidR="006D0CD5" w:rsidRPr="006702B5" w:rsidDel="006702B5" w:rsidRDefault="006D0CD5" w:rsidP="006D0CD5">
      <w:pPr>
        <w:ind w:left="0" w:firstLine="0"/>
      </w:pPr>
      <w:r>
        <w:t xml:space="preserve">PPC </w:t>
      </w:r>
      <w:proofErr w:type="spellStart"/>
      <w:r>
        <w:rPr>
          <w:vertAlign w:val="subscript"/>
        </w:rPr>
        <w:t>j</w:t>
      </w:r>
      <w:proofErr w:type="gramStart"/>
      <w:r>
        <w:rPr>
          <w:vertAlign w:val="subscript"/>
        </w:rPr>
        <w:t>,i</w:t>
      </w:r>
      <w:proofErr w:type="spellEnd"/>
      <w:proofErr w:type="gramEnd"/>
      <w:r>
        <w:rPr>
          <w:vertAlign w:val="subscript"/>
        </w:rPr>
        <w:t xml:space="preserve"> </w:t>
      </w:r>
      <w:r w:rsidRPr="00102997">
        <w:t>is a binary variable</w:t>
      </w:r>
      <w:r>
        <w:t xml:space="preserve"> (0,1) indicating which of the j</w:t>
      </w:r>
      <w:r w:rsidRPr="00102997">
        <w:t xml:space="preserve"> PPCs were present </w:t>
      </w:r>
      <w:r>
        <w:t>for</w:t>
      </w:r>
      <w:r w:rsidRPr="00102997">
        <w:t xml:space="preserve"> the </w:t>
      </w:r>
      <w:proofErr w:type="spellStart"/>
      <w:r w:rsidRPr="00102997">
        <w:t>i</w:t>
      </w:r>
      <w:r w:rsidRPr="008F07F7">
        <w:rPr>
          <w:vertAlign w:val="superscript"/>
        </w:rPr>
        <w:t>th</w:t>
      </w:r>
      <w:proofErr w:type="spellEnd"/>
      <w:r w:rsidRPr="00102997">
        <w:t xml:space="preserve"> discha</w:t>
      </w:r>
      <w:r>
        <w:t>r</w:t>
      </w:r>
      <w:r w:rsidRPr="00102997">
        <w:t>ge</w:t>
      </w:r>
    </w:p>
    <w:p w:rsidR="006D0CD5" w:rsidDel="006702B5" w:rsidRDefault="006D0CD5" w:rsidP="006D0CD5">
      <w:pPr>
        <w:ind w:left="0" w:firstLine="0"/>
      </w:pPr>
      <w:bookmarkStart w:id="2" w:name="OLE_LINK5"/>
      <w:bookmarkStart w:id="3" w:name="OLE_LINK6"/>
      <w:proofErr w:type="gramStart"/>
      <w:r>
        <w:t>α</w:t>
      </w:r>
      <w:bookmarkEnd w:id="2"/>
      <w:bookmarkEnd w:id="3"/>
      <w:proofErr w:type="gramEnd"/>
      <w:r>
        <w:t xml:space="preserve"> is a constant value applied to each discharge in the model. </w:t>
      </w:r>
      <w:proofErr w:type="gramStart"/>
      <w:r>
        <w:t>α</w:t>
      </w:r>
      <w:proofErr w:type="gramEnd"/>
      <w:r w:rsidDel="006702B5">
        <w:t xml:space="preserve"> is </w:t>
      </w:r>
      <w:r>
        <w:t xml:space="preserve">the average baseline charge for a reference APR DRG. </w:t>
      </w:r>
    </w:p>
    <w:p w:rsidR="006D0CD5" w:rsidDel="008F07F7" w:rsidRDefault="006D0CD5" w:rsidP="006D0CD5">
      <w:pPr>
        <w:ind w:left="0" w:firstLine="0"/>
      </w:pPr>
      <w:proofErr w:type="gramStart"/>
      <w:r>
        <w:rPr>
          <w:sz w:val="28"/>
          <w:szCs w:val="28"/>
        </w:rPr>
        <w:t>γ</w:t>
      </w:r>
      <w:proofErr w:type="gramEnd"/>
      <w:r>
        <w:t xml:space="preserve"> </w:t>
      </w:r>
      <w:r w:rsidRPr="00102997">
        <w:rPr>
          <w:vertAlign w:val="subscript"/>
        </w:rPr>
        <w:t>k</w:t>
      </w:r>
      <w:r>
        <w:t xml:space="preserve">  is the coefficient associated with APR-DRG k and measures the marginal additional charge above α that is due to the patient’s reason for admission and severity of illness level at the time of admission.</w:t>
      </w:r>
    </w:p>
    <w:p w:rsidR="006D0CD5" w:rsidDel="008F07F7" w:rsidRDefault="006D0CD5" w:rsidP="006D0CD5">
      <w:pPr>
        <w:ind w:left="0" w:firstLine="0"/>
      </w:pPr>
      <w:proofErr w:type="gramStart"/>
      <w:r>
        <w:t>β</w:t>
      </w:r>
      <w:proofErr w:type="gramEnd"/>
      <w:r w:rsidRPr="000051F4">
        <w:rPr>
          <w:vertAlign w:val="subscript"/>
        </w:rPr>
        <w:t xml:space="preserve"> </w:t>
      </w:r>
      <w:r>
        <w:rPr>
          <w:vertAlign w:val="subscript"/>
        </w:rPr>
        <w:t>j</w:t>
      </w:r>
      <w:r>
        <w:t xml:space="preserve"> is the coefficient associated with PPC j and measures the marginal additional charge above α that is due to the</w:t>
      </w:r>
      <w:r w:rsidDel="008F07F7">
        <w:t xml:space="preserve"> presence of PPC j</w:t>
      </w:r>
    </w:p>
    <w:p w:rsidR="006D0CD5" w:rsidRDefault="006D0CD5" w:rsidP="006D0CD5">
      <w:pPr>
        <w:ind w:left="0" w:firstLine="0"/>
      </w:pPr>
      <w:proofErr w:type="gramStart"/>
      <w:r w:rsidRPr="00187E98">
        <w:rPr>
          <w:sz w:val="28"/>
          <w:szCs w:val="28"/>
        </w:rPr>
        <w:t>ε</w:t>
      </w:r>
      <w:proofErr w:type="gramEnd"/>
      <w:r>
        <w:rPr>
          <w:sz w:val="28"/>
          <w:szCs w:val="28"/>
        </w:rPr>
        <w:t xml:space="preserve"> </w:t>
      </w:r>
      <w:proofErr w:type="spellStart"/>
      <w:r w:rsidRPr="00102997">
        <w:rPr>
          <w:vertAlign w:val="subscript"/>
        </w:rPr>
        <w:t>i</w:t>
      </w:r>
      <w:proofErr w:type="spellEnd"/>
      <w:r>
        <w:t xml:space="preserve"> is the residual error of the model for discharge </w:t>
      </w:r>
      <w:proofErr w:type="spellStart"/>
      <w:r>
        <w:t>i</w:t>
      </w:r>
      <w:proofErr w:type="spellEnd"/>
    </w:p>
    <w:p w:rsidR="006D0CD5" w:rsidRDefault="006D0CD5" w:rsidP="006D0CD5">
      <w:pPr>
        <w:ind w:left="0" w:firstLine="0"/>
      </w:pPr>
      <w:r>
        <w:t>The coefficient β</w:t>
      </w:r>
      <w:r w:rsidRPr="000051F4">
        <w:rPr>
          <w:vertAlign w:val="subscript"/>
        </w:rPr>
        <w:t xml:space="preserve"> </w:t>
      </w:r>
      <w:r>
        <w:rPr>
          <w:vertAlign w:val="subscript"/>
        </w:rPr>
        <w:t>j</w:t>
      </w:r>
      <w:r>
        <w:t xml:space="preserve"> for each PPC is </w:t>
      </w:r>
      <w:proofErr w:type="gramStart"/>
      <w:r>
        <w:t>a measure of the marginal additional charges due to the occurrence of the PPC taking into account</w:t>
      </w:r>
      <w:proofErr w:type="gramEnd"/>
      <w:r>
        <w:t xml:space="preserve"> the patient’s reason for admission, severity of illness and the presence of any other post admission complications (PPCs). </w:t>
      </w:r>
    </w:p>
    <w:p w:rsidR="006D0CD5" w:rsidRDefault="006D0CD5" w:rsidP="006D0CD5">
      <w:pPr>
        <w:ind w:left="0" w:firstLine="0"/>
      </w:pPr>
      <w:r>
        <w:t>Cases in low volume APR-DRGs were omitted from the regression (less than 20 cases in each APR-DRG SOI combination).    No effort was made to identify and exclude outlier cases.</w:t>
      </w:r>
    </w:p>
    <w:p w:rsidR="006D0CD5" w:rsidRDefault="006D0CD5" w:rsidP="006D0CD5">
      <w:pPr>
        <w:ind w:left="0" w:firstLine="0"/>
      </w:pPr>
      <w:r w:rsidRPr="006D0CD5">
        <w:rPr>
          <w:rStyle w:val="IntenseEmphasis"/>
        </w:rPr>
        <w:t>Results:</w:t>
      </w:r>
      <w:r>
        <w:t xml:space="preserve">  Table 1 below provides coefficients (additional per case charges) and t-values for each of the PPC categories based on the regression model calculated.  </w:t>
      </w:r>
    </w:p>
    <w:p w:rsidR="006D0CD5" w:rsidRDefault="006D0CD5" w:rsidP="006D0CD5">
      <w:pPr>
        <w:ind w:left="0" w:firstLine="0"/>
      </w:pPr>
      <w:r>
        <w:t xml:space="preserve">The results of the regression are used for computing the dollar impact for each of the 66 PPCs.  The dollar impact is used to create an index of either additional, or averted, resource use based on a hospital’s rate of a PPC summed across all PPCs.  Thirteen (13) PPCs with less predictive t-values (under 1.96) or with coding or clinical issues were excluded from the quality based payment adjustment PPC policy in FY2011.  Two additional PPCs (PPC 29 and 45) are added this year as their predicted additional resource is negative and not statistically significant.   </w:t>
      </w:r>
    </w:p>
    <w:p w:rsidR="006D0CD5" w:rsidRDefault="006D0CD5" w:rsidP="006D0CD5"/>
    <w:p w:rsidR="006D0CD5" w:rsidRDefault="006D0CD5" w:rsidP="006D0CD5"/>
    <w:p w:rsidR="006D0CD5" w:rsidRDefault="006D0CD5" w:rsidP="006D0CD5"/>
    <w:p w:rsidR="006D0CD5" w:rsidRDefault="006D0CD5" w:rsidP="006D0CD5"/>
    <w:p w:rsidR="006D0CD5" w:rsidRDefault="006D0CD5" w:rsidP="006D0CD5"/>
    <w:p w:rsidR="006D0CD5" w:rsidRPr="006D0CD5" w:rsidRDefault="006D0CD5" w:rsidP="001172BC">
      <w:pPr>
        <w:spacing w:before="0" w:after="0" w:line="240" w:lineRule="auto"/>
        <w:ind w:left="0" w:firstLine="0"/>
        <w:rPr>
          <w:b/>
        </w:rPr>
      </w:pPr>
      <w:proofErr w:type="gramStart"/>
      <w:r>
        <w:rPr>
          <w:b/>
        </w:rPr>
        <w:lastRenderedPageBreak/>
        <w:t>Table 1.</w:t>
      </w:r>
      <w:proofErr w:type="gramEnd"/>
      <w:r>
        <w:rPr>
          <w:b/>
        </w:rPr>
        <w:t xml:space="preserve"> PPC Charge R</w:t>
      </w:r>
      <w:r w:rsidRPr="006D0CD5">
        <w:rPr>
          <w:b/>
        </w:rPr>
        <w:t>egression</w:t>
      </w:r>
      <w:r>
        <w:rPr>
          <w:b/>
        </w:rPr>
        <w:t xml:space="preserve"> Estimates</w:t>
      </w:r>
    </w:p>
    <w:tbl>
      <w:tblPr>
        <w:tblW w:w="10668" w:type="dxa"/>
        <w:tblInd w:w="96" w:type="dxa"/>
        <w:tblLayout w:type="fixed"/>
        <w:tblLook w:val="04A0"/>
      </w:tblPr>
      <w:tblGrid>
        <w:gridCol w:w="439"/>
        <w:gridCol w:w="3623"/>
        <w:gridCol w:w="1260"/>
        <w:gridCol w:w="810"/>
        <w:gridCol w:w="990"/>
        <w:gridCol w:w="1350"/>
        <w:gridCol w:w="1080"/>
        <w:gridCol w:w="1116"/>
      </w:tblGrid>
      <w:tr w:rsidR="00AF54F0" w:rsidRPr="00AF54F0" w:rsidTr="00DF40A6">
        <w:trPr>
          <w:trHeight w:val="684"/>
          <w:tblHeader/>
        </w:trPr>
        <w:tc>
          <w:tcPr>
            <w:tcW w:w="439" w:type="dxa"/>
            <w:tcBorders>
              <w:top w:val="single" w:sz="4" w:space="0" w:color="auto"/>
              <w:left w:val="single" w:sz="4" w:space="0" w:color="auto"/>
              <w:bottom w:val="nil"/>
              <w:right w:val="nil"/>
            </w:tcBorders>
            <w:shd w:val="clear" w:color="auto" w:fill="auto"/>
            <w:vAlign w:val="bottom"/>
            <w:hideMark/>
          </w:tcPr>
          <w:p w:rsidR="00AF54F0" w:rsidRPr="00AF54F0" w:rsidRDefault="00AF54F0" w:rsidP="00AF54F0">
            <w:pPr>
              <w:spacing w:before="0" w:after="0" w:line="240" w:lineRule="auto"/>
              <w:ind w:left="0" w:firstLine="0"/>
              <w:rPr>
                <w:rFonts w:eastAsia="Times New Roman" w:cstheme="minorHAnsi"/>
                <w:color w:val="000000"/>
                <w:sz w:val="20"/>
                <w:szCs w:val="18"/>
              </w:rPr>
            </w:pPr>
            <w:r w:rsidRPr="00AF54F0">
              <w:rPr>
                <w:rFonts w:eastAsia="Times New Roman" w:cstheme="minorHAnsi"/>
                <w:color w:val="000000"/>
                <w:sz w:val="20"/>
                <w:szCs w:val="18"/>
              </w:rPr>
              <w:t> </w:t>
            </w:r>
          </w:p>
        </w:tc>
        <w:tc>
          <w:tcPr>
            <w:tcW w:w="3623" w:type="dxa"/>
            <w:tcBorders>
              <w:top w:val="single" w:sz="4" w:space="0" w:color="auto"/>
              <w:left w:val="nil"/>
              <w:bottom w:val="nil"/>
              <w:right w:val="nil"/>
            </w:tcBorders>
            <w:shd w:val="clear" w:color="auto" w:fill="auto"/>
            <w:vAlign w:val="bottom"/>
            <w:hideMark/>
          </w:tcPr>
          <w:p w:rsidR="00AF54F0" w:rsidRPr="00AF54F0" w:rsidRDefault="00AF54F0" w:rsidP="00AF54F0">
            <w:pPr>
              <w:spacing w:before="0" w:after="0" w:line="240" w:lineRule="auto"/>
              <w:ind w:left="0" w:firstLine="0"/>
              <w:rPr>
                <w:rFonts w:eastAsia="Times New Roman" w:cstheme="minorHAnsi"/>
                <w:color w:val="000000"/>
                <w:sz w:val="20"/>
                <w:szCs w:val="18"/>
              </w:rPr>
            </w:pPr>
            <w:r w:rsidRPr="00AF54F0">
              <w:rPr>
                <w:rFonts w:eastAsia="Times New Roman" w:cstheme="minorHAnsi"/>
                <w:color w:val="000000"/>
                <w:sz w:val="20"/>
                <w:szCs w:val="18"/>
              </w:rPr>
              <w:t> </w:t>
            </w:r>
          </w:p>
        </w:tc>
        <w:tc>
          <w:tcPr>
            <w:tcW w:w="4410" w:type="dxa"/>
            <w:gridSpan w:val="4"/>
            <w:tcBorders>
              <w:top w:val="single" w:sz="4" w:space="0" w:color="auto"/>
              <w:left w:val="single" w:sz="4" w:space="0" w:color="auto"/>
              <w:bottom w:val="single" w:sz="4" w:space="0" w:color="auto"/>
              <w:right w:val="single" w:sz="8" w:space="0" w:color="auto"/>
            </w:tcBorders>
            <w:shd w:val="clear" w:color="auto" w:fill="auto"/>
            <w:vAlign w:val="bottom"/>
            <w:hideMark/>
          </w:tcPr>
          <w:p w:rsidR="00AF54F0" w:rsidRPr="00AF54F0" w:rsidRDefault="00AF54F0" w:rsidP="00AF54F0">
            <w:pPr>
              <w:spacing w:before="0" w:after="0" w:line="240" w:lineRule="auto"/>
              <w:ind w:left="0" w:firstLine="0"/>
              <w:jc w:val="center"/>
              <w:rPr>
                <w:rFonts w:eastAsia="Times New Roman" w:cstheme="minorHAnsi"/>
                <w:b/>
                <w:bCs/>
                <w:sz w:val="20"/>
                <w:szCs w:val="18"/>
              </w:rPr>
            </w:pPr>
            <w:r w:rsidRPr="00AF54F0">
              <w:rPr>
                <w:rFonts w:eastAsia="Times New Roman" w:cstheme="minorHAnsi"/>
                <w:b/>
                <w:bCs/>
                <w:sz w:val="20"/>
                <w:szCs w:val="18"/>
              </w:rPr>
              <w:t>Rate Year 2014 (Based on FY2011Q4, FY2012 Q123 Data)</w:t>
            </w:r>
          </w:p>
        </w:tc>
        <w:tc>
          <w:tcPr>
            <w:tcW w:w="2196"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AF54F0" w:rsidRPr="00AF54F0" w:rsidRDefault="00AF54F0" w:rsidP="009A737B">
            <w:pPr>
              <w:spacing w:before="0" w:after="0" w:line="240" w:lineRule="auto"/>
              <w:ind w:left="0" w:firstLine="0"/>
              <w:jc w:val="center"/>
              <w:rPr>
                <w:rFonts w:eastAsia="Times New Roman" w:cstheme="minorHAnsi"/>
                <w:b/>
                <w:bCs/>
                <w:color w:val="000000"/>
                <w:sz w:val="20"/>
                <w:szCs w:val="18"/>
              </w:rPr>
            </w:pPr>
            <w:r w:rsidRPr="00AF54F0">
              <w:rPr>
                <w:rFonts w:eastAsia="Times New Roman" w:cstheme="minorHAnsi"/>
                <w:b/>
                <w:bCs/>
                <w:color w:val="000000"/>
                <w:sz w:val="20"/>
                <w:szCs w:val="18"/>
              </w:rPr>
              <w:t>% Change from Previous Base Period</w:t>
            </w:r>
          </w:p>
        </w:tc>
      </w:tr>
      <w:tr w:rsidR="009A737B" w:rsidRPr="009A737B" w:rsidTr="00DF40A6">
        <w:trPr>
          <w:trHeight w:val="588"/>
          <w:tblHeader/>
        </w:trPr>
        <w:tc>
          <w:tcPr>
            <w:tcW w:w="439"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AF54F0" w:rsidRPr="00AF54F0" w:rsidRDefault="00AF54F0" w:rsidP="00AF54F0">
            <w:pPr>
              <w:spacing w:before="0" w:after="0" w:line="240" w:lineRule="auto"/>
              <w:ind w:left="0" w:firstLine="0"/>
              <w:rPr>
                <w:rFonts w:eastAsia="Times New Roman" w:cstheme="minorHAnsi"/>
                <w:b/>
                <w:bCs/>
                <w:sz w:val="20"/>
                <w:szCs w:val="18"/>
              </w:rPr>
            </w:pPr>
            <w:r w:rsidRPr="00AF54F0">
              <w:rPr>
                <w:rFonts w:eastAsia="Times New Roman" w:cstheme="minorHAnsi"/>
                <w:b/>
                <w:bCs/>
                <w:sz w:val="20"/>
                <w:szCs w:val="18"/>
              </w:rPr>
              <w:t>#</w:t>
            </w:r>
          </w:p>
        </w:tc>
        <w:tc>
          <w:tcPr>
            <w:tcW w:w="3623" w:type="dxa"/>
            <w:tcBorders>
              <w:top w:val="single" w:sz="8" w:space="0" w:color="auto"/>
              <w:left w:val="nil"/>
              <w:bottom w:val="single" w:sz="4" w:space="0" w:color="auto"/>
              <w:right w:val="nil"/>
            </w:tcBorders>
            <w:shd w:val="clear" w:color="auto" w:fill="auto"/>
            <w:vAlign w:val="bottom"/>
            <w:hideMark/>
          </w:tcPr>
          <w:p w:rsidR="00AF54F0" w:rsidRPr="00AF54F0" w:rsidRDefault="00AF54F0" w:rsidP="00AF54F0">
            <w:pPr>
              <w:spacing w:before="0" w:after="0" w:line="240" w:lineRule="auto"/>
              <w:ind w:left="0" w:firstLine="0"/>
              <w:rPr>
                <w:rFonts w:eastAsia="Times New Roman" w:cstheme="minorHAnsi"/>
                <w:b/>
                <w:bCs/>
                <w:sz w:val="20"/>
                <w:szCs w:val="18"/>
              </w:rPr>
            </w:pPr>
            <w:r w:rsidRPr="00AF54F0">
              <w:rPr>
                <w:rFonts w:eastAsia="Times New Roman" w:cstheme="minorHAnsi"/>
                <w:b/>
                <w:bCs/>
                <w:sz w:val="20"/>
                <w:szCs w:val="18"/>
              </w:rPr>
              <w:t>PPC Description</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F54F0" w:rsidRPr="00AF54F0" w:rsidRDefault="00AF54F0" w:rsidP="00AF54F0">
            <w:pPr>
              <w:spacing w:before="0" w:after="0" w:line="240" w:lineRule="auto"/>
              <w:ind w:left="0" w:firstLine="0"/>
              <w:rPr>
                <w:rFonts w:eastAsia="Times New Roman" w:cstheme="minorHAnsi"/>
                <w:b/>
                <w:bCs/>
                <w:color w:val="000000"/>
                <w:sz w:val="20"/>
                <w:szCs w:val="18"/>
              </w:rPr>
            </w:pPr>
            <w:r w:rsidRPr="00AF54F0">
              <w:rPr>
                <w:rFonts w:eastAsia="Times New Roman" w:cstheme="minorHAnsi"/>
                <w:b/>
                <w:bCs/>
                <w:color w:val="000000"/>
                <w:sz w:val="20"/>
                <w:szCs w:val="18"/>
              </w:rPr>
              <w:t>Marginal Charges (</w:t>
            </w:r>
            <w:r w:rsidRPr="00AF54F0">
              <w:rPr>
                <w:rFonts w:eastAsia="Times New Roman" w:cstheme="minorHAnsi"/>
                <w:color w:val="000000"/>
                <w:sz w:val="20"/>
                <w:szCs w:val="18"/>
              </w:rPr>
              <w:t>β</w:t>
            </w:r>
            <w:r w:rsidRPr="00AF54F0">
              <w:rPr>
                <w:rFonts w:eastAsia="Times New Roman" w:cstheme="minorHAnsi"/>
                <w:color w:val="000000"/>
                <w:sz w:val="20"/>
                <w:szCs w:val="18"/>
                <w:vertAlign w:val="subscript"/>
              </w:rPr>
              <w:t xml:space="preserve"> j</w:t>
            </w:r>
            <w:r w:rsidRPr="00AF54F0">
              <w:rPr>
                <w:rFonts w:eastAsia="Times New Roman" w:cstheme="minorHAnsi"/>
                <w:color w:val="000000"/>
                <w:sz w:val="20"/>
                <w:szCs w:val="18"/>
              </w:rPr>
              <w:t>)</w:t>
            </w:r>
          </w:p>
        </w:tc>
        <w:tc>
          <w:tcPr>
            <w:tcW w:w="810" w:type="dxa"/>
            <w:tcBorders>
              <w:top w:val="single" w:sz="8" w:space="0" w:color="auto"/>
              <w:left w:val="nil"/>
              <w:bottom w:val="single" w:sz="8" w:space="0" w:color="auto"/>
              <w:right w:val="single" w:sz="8" w:space="0" w:color="auto"/>
            </w:tcBorders>
            <w:shd w:val="clear" w:color="auto" w:fill="auto"/>
            <w:vAlign w:val="bottom"/>
            <w:hideMark/>
          </w:tcPr>
          <w:p w:rsidR="00AF54F0" w:rsidRPr="00AF54F0" w:rsidRDefault="00AF54F0" w:rsidP="00AF54F0">
            <w:pPr>
              <w:spacing w:before="0" w:after="0" w:line="240" w:lineRule="auto"/>
              <w:ind w:left="0" w:firstLine="0"/>
              <w:rPr>
                <w:rFonts w:eastAsia="Times New Roman" w:cstheme="minorHAnsi"/>
                <w:b/>
                <w:bCs/>
                <w:color w:val="000000"/>
                <w:sz w:val="20"/>
                <w:szCs w:val="18"/>
              </w:rPr>
            </w:pPr>
            <w:r w:rsidRPr="00AF54F0">
              <w:rPr>
                <w:rFonts w:eastAsia="Times New Roman" w:cstheme="minorHAnsi"/>
                <w:b/>
                <w:bCs/>
                <w:color w:val="000000"/>
                <w:sz w:val="20"/>
                <w:szCs w:val="18"/>
              </w:rPr>
              <w:t>T-Value</w:t>
            </w:r>
          </w:p>
        </w:tc>
        <w:tc>
          <w:tcPr>
            <w:tcW w:w="990" w:type="dxa"/>
            <w:tcBorders>
              <w:top w:val="single" w:sz="8" w:space="0" w:color="auto"/>
              <w:left w:val="nil"/>
              <w:bottom w:val="single" w:sz="8" w:space="0" w:color="auto"/>
              <w:right w:val="single" w:sz="8" w:space="0" w:color="auto"/>
            </w:tcBorders>
            <w:shd w:val="clear" w:color="auto" w:fill="auto"/>
            <w:vAlign w:val="bottom"/>
            <w:hideMark/>
          </w:tcPr>
          <w:p w:rsidR="00AF54F0" w:rsidRPr="00AF54F0" w:rsidRDefault="00AF54F0" w:rsidP="00AF54F0">
            <w:pPr>
              <w:spacing w:before="0" w:after="0" w:line="240" w:lineRule="auto"/>
              <w:ind w:left="0" w:firstLine="0"/>
              <w:rPr>
                <w:rFonts w:eastAsia="Times New Roman" w:cstheme="minorHAnsi"/>
                <w:b/>
                <w:bCs/>
                <w:color w:val="000000"/>
                <w:sz w:val="20"/>
                <w:szCs w:val="18"/>
              </w:rPr>
            </w:pPr>
            <w:r w:rsidRPr="00AF54F0">
              <w:rPr>
                <w:rFonts w:eastAsia="Times New Roman" w:cstheme="minorHAnsi"/>
                <w:b/>
                <w:bCs/>
                <w:color w:val="000000"/>
                <w:sz w:val="20"/>
                <w:szCs w:val="18"/>
              </w:rPr>
              <w:t>Cases (N)</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rsidR="00AF54F0" w:rsidRPr="00AF54F0" w:rsidRDefault="00AF54F0" w:rsidP="00AF54F0">
            <w:pPr>
              <w:spacing w:before="0" w:after="0" w:line="240" w:lineRule="auto"/>
              <w:ind w:left="0" w:firstLine="0"/>
              <w:jc w:val="center"/>
              <w:rPr>
                <w:rFonts w:eastAsia="Times New Roman" w:cstheme="minorHAnsi"/>
                <w:b/>
                <w:bCs/>
                <w:color w:val="000000"/>
                <w:sz w:val="20"/>
                <w:szCs w:val="18"/>
              </w:rPr>
            </w:pPr>
            <w:r w:rsidRPr="00AF54F0">
              <w:rPr>
                <w:rFonts w:eastAsia="Times New Roman" w:cstheme="minorHAnsi"/>
                <w:b/>
                <w:bCs/>
                <w:color w:val="000000"/>
                <w:sz w:val="20"/>
                <w:szCs w:val="18"/>
              </w:rPr>
              <w:t>Notes</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AF54F0" w:rsidRPr="00AF54F0" w:rsidRDefault="00AF54F0" w:rsidP="00AF54F0">
            <w:pPr>
              <w:spacing w:before="0" w:after="0" w:line="240" w:lineRule="auto"/>
              <w:ind w:left="0" w:firstLine="0"/>
              <w:jc w:val="center"/>
              <w:rPr>
                <w:rFonts w:eastAsia="Times New Roman" w:cstheme="minorHAnsi"/>
                <w:b/>
                <w:bCs/>
                <w:color w:val="000000"/>
                <w:sz w:val="20"/>
                <w:szCs w:val="18"/>
              </w:rPr>
            </w:pPr>
            <w:r w:rsidRPr="00AF54F0">
              <w:rPr>
                <w:rFonts w:eastAsia="Times New Roman" w:cstheme="minorHAnsi"/>
                <w:b/>
                <w:bCs/>
                <w:color w:val="000000"/>
                <w:sz w:val="20"/>
                <w:szCs w:val="18"/>
              </w:rPr>
              <w:t>Marginal Charges (</w:t>
            </w:r>
            <w:r w:rsidRPr="00AF54F0">
              <w:rPr>
                <w:rFonts w:eastAsia="Times New Roman" w:cstheme="minorHAnsi"/>
                <w:color w:val="000000"/>
                <w:sz w:val="20"/>
                <w:szCs w:val="18"/>
              </w:rPr>
              <w:t>β</w:t>
            </w:r>
            <w:r w:rsidRPr="00AF54F0">
              <w:rPr>
                <w:rFonts w:eastAsia="Times New Roman" w:cstheme="minorHAnsi"/>
                <w:color w:val="000000"/>
                <w:sz w:val="20"/>
                <w:szCs w:val="18"/>
                <w:vertAlign w:val="subscript"/>
              </w:rPr>
              <w:t xml:space="preserve"> j</w:t>
            </w:r>
            <w:r w:rsidRPr="00AF54F0">
              <w:rPr>
                <w:rFonts w:eastAsia="Times New Roman" w:cstheme="minorHAnsi"/>
                <w:color w:val="000000"/>
                <w:sz w:val="20"/>
                <w:szCs w:val="18"/>
              </w:rPr>
              <w:t>)</w:t>
            </w:r>
          </w:p>
        </w:tc>
        <w:tc>
          <w:tcPr>
            <w:tcW w:w="1116" w:type="dxa"/>
            <w:tcBorders>
              <w:top w:val="single" w:sz="8" w:space="0" w:color="auto"/>
              <w:left w:val="nil"/>
              <w:bottom w:val="single" w:sz="8" w:space="0" w:color="auto"/>
              <w:right w:val="single" w:sz="8" w:space="0" w:color="auto"/>
            </w:tcBorders>
            <w:shd w:val="clear" w:color="auto" w:fill="auto"/>
            <w:vAlign w:val="bottom"/>
            <w:hideMark/>
          </w:tcPr>
          <w:p w:rsidR="00AF54F0" w:rsidRPr="00AF54F0" w:rsidRDefault="00AF54F0" w:rsidP="00AF54F0">
            <w:pPr>
              <w:spacing w:before="0" w:after="0" w:line="240" w:lineRule="auto"/>
              <w:ind w:left="0" w:firstLine="0"/>
              <w:jc w:val="center"/>
              <w:rPr>
                <w:rFonts w:eastAsia="Times New Roman" w:cstheme="minorHAnsi"/>
                <w:b/>
                <w:bCs/>
                <w:color w:val="000000"/>
                <w:sz w:val="20"/>
                <w:szCs w:val="18"/>
              </w:rPr>
            </w:pPr>
            <w:r w:rsidRPr="00AF54F0">
              <w:rPr>
                <w:rFonts w:eastAsia="Times New Roman" w:cstheme="minorHAnsi"/>
                <w:b/>
                <w:bCs/>
                <w:color w:val="000000"/>
                <w:sz w:val="20"/>
                <w:szCs w:val="18"/>
              </w:rPr>
              <w:t>Cases</w:t>
            </w:r>
          </w:p>
        </w:tc>
      </w:tr>
      <w:tr w:rsidR="009A737B" w:rsidRPr="00AF54F0" w:rsidTr="00DF40A6">
        <w:trPr>
          <w:trHeight w:val="288"/>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w:t>
            </w:r>
          </w:p>
        </w:tc>
        <w:tc>
          <w:tcPr>
            <w:tcW w:w="3623" w:type="dxa"/>
            <w:tcBorders>
              <w:top w:val="single" w:sz="4" w:space="0" w:color="auto"/>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Stroke &amp; Intracranial Hemorrhage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$14,597</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39.45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954</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-2.9%</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-8.2%</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Extreme CNS Complications</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$14,967</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27.17</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445</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14.1%</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-8.4%</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Acute Pulmonary Edema and Respiratory Failure without Ventilation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$9,256</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55.66</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5,044</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3.8%</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-10.9%</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Acute Pulmonary Edema and Respiratory Failure with Ventilation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$32,143</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81.14</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839</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16.7%</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-9.6%</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Pneumonia &amp; Other Lung Infections</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$19,788</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100.63</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3,521</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23.2%</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-7.6%</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Aspiration Pneumonia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$15,661</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53.49</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1,515</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29.9%</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-2.7%</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Pulmonary Embolism</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$15,855</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34.97</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615</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22.7%</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-7.0%</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Other Pulmonary Complications</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$10,536</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55.09</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3,716</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-3.0%</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-5.8%</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9</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Shock</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$18,126</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62.5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1,635</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14.2%</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-5.5%</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10</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Congestive Heart Failure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$6,514</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21.46</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1,413</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-5.3%</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-21.2%</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Acute Myocardial Infarction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$8,256</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23.87</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1,080</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31.6%</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-8.5%</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12</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Cardiac </w:t>
            </w:r>
            <w:proofErr w:type="spellStart"/>
            <w:r w:rsidRPr="00AF54F0">
              <w:rPr>
                <w:rFonts w:eastAsia="Times New Roman" w:cstheme="minorHAnsi"/>
                <w:sz w:val="20"/>
                <w:szCs w:val="18"/>
              </w:rPr>
              <w:t>Arrythmias</w:t>
            </w:r>
            <w:proofErr w:type="spellEnd"/>
            <w:r w:rsidRPr="00AF54F0">
              <w:rPr>
                <w:rFonts w:eastAsia="Times New Roman" w:cstheme="minorHAnsi"/>
                <w:sz w:val="20"/>
                <w:szCs w:val="18"/>
              </w:rPr>
              <w:t xml:space="preserve"> &amp; Conduction Disturbances</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$3,617</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8.75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1,000</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14.4%</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-9.0%</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13</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Other Cardiac Complications</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$4,525</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6.65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272</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192.3%</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8.8%</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Ventricular Fibrillation/Cardiac Arrest</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$19,093</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45.84</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760</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5.3%</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0.0%</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15</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Peripheral Vascular Complications Except Venous Thrombosis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$12,667</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17.09</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235</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-26.0%</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1.3%</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16</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Venous Thrombosis</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$17,301</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56.77</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1,419</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-2.8%</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-4.0%</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17</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Major Gastrointestinal Complications without Transfusion or Significant Bleeding</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$16,044</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38.42</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733</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7.7%</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-7.2%</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Major Gastrointestinal Complications with Transfusion or Significant Bleeding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$19,807</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29.06</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273</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15.2%</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-5.5%</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19</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Major Liver Complications</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$22,225</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38.04</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384</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58.7%</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-8.8%</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20</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Other Gastrointestinal Complications without Transfusion or Significant Bleeding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$15,636</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27.93</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406</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20.6%</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-3.3%</w:t>
            </w:r>
          </w:p>
        </w:tc>
      </w:tr>
      <w:tr w:rsidR="009A737B" w:rsidRPr="009A737B" w:rsidTr="00DF40A6">
        <w:trPr>
          <w:trHeight w:val="336"/>
        </w:trPr>
        <w:tc>
          <w:tcPr>
            <w:tcW w:w="439" w:type="dxa"/>
            <w:tcBorders>
              <w:top w:val="nil"/>
              <w:left w:val="single" w:sz="4" w:space="0" w:color="auto"/>
              <w:bottom w:val="single" w:sz="4" w:space="0" w:color="auto"/>
              <w:right w:val="single" w:sz="4" w:space="0" w:color="auto"/>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21</w:t>
            </w:r>
          </w:p>
        </w:tc>
        <w:tc>
          <w:tcPr>
            <w:tcW w:w="3623" w:type="dxa"/>
            <w:tcBorders>
              <w:top w:val="nil"/>
              <w:left w:val="nil"/>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Clostridium Difficile Colitis</w:t>
            </w:r>
          </w:p>
        </w:tc>
        <w:tc>
          <w:tcPr>
            <w:tcW w:w="1260" w:type="dxa"/>
            <w:tcBorders>
              <w:top w:val="nil"/>
              <w:left w:val="single" w:sz="4" w:space="0" w:color="auto"/>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$17,164</w:t>
            </w:r>
          </w:p>
        </w:tc>
        <w:tc>
          <w:tcPr>
            <w:tcW w:w="810" w:type="dxa"/>
            <w:tcBorders>
              <w:top w:val="nil"/>
              <w:left w:val="single" w:sz="4" w:space="0" w:color="auto"/>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59.39</w:t>
            </w:r>
          </w:p>
        </w:tc>
        <w:tc>
          <w:tcPr>
            <w:tcW w:w="990" w:type="dxa"/>
            <w:tcBorders>
              <w:top w:val="nil"/>
              <w:left w:val="single" w:sz="4" w:space="0" w:color="auto"/>
              <w:bottom w:val="single" w:sz="4" w:space="0" w:color="auto"/>
              <w:right w:val="single" w:sz="4" w:space="0" w:color="auto"/>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1,544</w:t>
            </w:r>
          </w:p>
        </w:tc>
        <w:tc>
          <w:tcPr>
            <w:tcW w:w="1350" w:type="dxa"/>
            <w:tcBorders>
              <w:top w:val="nil"/>
              <w:left w:val="nil"/>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xml:space="preserve">Clinical/Coding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8.9%</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5.4%</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22</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Urinary Tract Infection</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$0</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0</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Divided into PPC65 and 66</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23</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GU Complications Except UTI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$9,184</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16.87</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427</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18.2%</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-1.6%</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24</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Renal Failure without Dialysis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$8,304</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61.54</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7,416</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12.4%</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-7.3%</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25</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Renal Failure with Dialysis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$48,226</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59.12</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194</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17.5%</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-11.0%</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26</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Diabetic </w:t>
            </w:r>
            <w:proofErr w:type="spellStart"/>
            <w:r w:rsidRPr="00AF54F0">
              <w:rPr>
                <w:rFonts w:eastAsia="Times New Roman" w:cstheme="minorHAnsi"/>
                <w:sz w:val="20"/>
                <w:szCs w:val="18"/>
              </w:rPr>
              <w:t>Ketoacidosis</w:t>
            </w:r>
            <w:proofErr w:type="spellEnd"/>
            <w:r w:rsidRPr="00AF54F0">
              <w:rPr>
                <w:rFonts w:eastAsia="Times New Roman" w:cstheme="minorHAnsi"/>
                <w:sz w:val="20"/>
                <w:szCs w:val="18"/>
              </w:rPr>
              <w:t xml:space="preserve"> &amp; Coma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$8,811</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5.69</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52</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101.2%</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0.0%</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27</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Post-Hemorrhagic &amp; Other Acute Anemia with Transfusion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$6,752</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19.84</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1,105</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-2.8%</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-2.6%</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28</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In-Hospital Trauma and Fractures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$5,535</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5.88</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144</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-14.2%</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9.1%</w:t>
            </w:r>
          </w:p>
        </w:tc>
      </w:tr>
      <w:tr w:rsidR="009A737B" w:rsidRPr="009A737B" w:rsidTr="00DF40A6">
        <w:trPr>
          <w:trHeight w:val="288"/>
        </w:trPr>
        <w:tc>
          <w:tcPr>
            <w:tcW w:w="439"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29</w:t>
            </w:r>
          </w:p>
        </w:tc>
        <w:tc>
          <w:tcPr>
            <w:tcW w:w="3623"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Poisonings Except from Anesthesia </w:t>
            </w:r>
          </w:p>
        </w:tc>
        <w:tc>
          <w:tcPr>
            <w:tcW w:w="126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-$1,413</w:t>
            </w:r>
          </w:p>
        </w:tc>
        <w:tc>
          <w:tcPr>
            <w:tcW w:w="81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-1.42</w:t>
            </w:r>
          </w:p>
        </w:tc>
        <w:tc>
          <w:tcPr>
            <w:tcW w:w="990"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128</w:t>
            </w:r>
          </w:p>
        </w:tc>
        <w:tc>
          <w:tcPr>
            <w:tcW w:w="1350"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Excluded this year</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-169.6%</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-25.1%</w:t>
            </w:r>
          </w:p>
        </w:tc>
      </w:tr>
      <w:tr w:rsidR="009A737B" w:rsidRPr="009A737B" w:rsidTr="00DF40A6">
        <w:trPr>
          <w:trHeight w:val="288"/>
        </w:trPr>
        <w:tc>
          <w:tcPr>
            <w:tcW w:w="439"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lastRenderedPageBreak/>
              <w:t>30</w:t>
            </w:r>
          </w:p>
        </w:tc>
        <w:tc>
          <w:tcPr>
            <w:tcW w:w="3623"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Poisonings due to Anesthesia </w:t>
            </w:r>
          </w:p>
        </w:tc>
        <w:tc>
          <w:tcPr>
            <w:tcW w:w="126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$16,161</w:t>
            </w:r>
          </w:p>
        </w:tc>
        <w:tc>
          <w:tcPr>
            <w:tcW w:w="81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2.03</w:t>
            </w:r>
          </w:p>
        </w:tc>
        <w:tc>
          <w:tcPr>
            <w:tcW w:w="990"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w:t>
            </w:r>
          </w:p>
        </w:tc>
        <w:tc>
          <w:tcPr>
            <w:tcW w:w="1350"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xml:space="preserve">t-value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-729.0%</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-50.0%</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31</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proofErr w:type="spellStart"/>
            <w:r w:rsidRPr="00AF54F0">
              <w:rPr>
                <w:rFonts w:eastAsia="Times New Roman" w:cstheme="minorHAnsi"/>
                <w:sz w:val="20"/>
                <w:szCs w:val="18"/>
              </w:rPr>
              <w:t>Decubitus</w:t>
            </w:r>
            <w:proofErr w:type="spellEnd"/>
            <w:r w:rsidRPr="00AF54F0">
              <w:rPr>
                <w:rFonts w:eastAsia="Times New Roman" w:cstheme="minorHAnsi"/>
                <w:sz w:val="20"/>
                <w:szCs w:val="18"/>
              </w:rPr>
              <w:t xml:space="preserve"> Ulcer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$45,528</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59.89</w:t>
            </w:r>
          </w:p>
        </w:tc>
        <w:tc>
          <w:tcPr>
            <w:tcW w:w="99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222</w:t>
            </w:r>
          </w:p>
        </w:tc>
        <w:tc>
          <w:tcPr>
            <w:tcW w:w="135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33.4%</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-23.7%</w:t>
            </w:r>
          </w:p>
        </w:tc>
      </w:tr>
      <w:tr w:rsidR="009A737B" w:rsidRPr="009A737B" w:rsidTr="00DF40A6">
        <w:trPr>
          <w:trHeight w:val="288"/>
        </w:trPr>
        <w:tc>
          <w:tcPr>
            <w:tcW w:w="439"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32</w:t>
            </w:r>
          </w:p>
        </w:tc>
        <w:tc>
          <w:tcPr>
            <w:tcW w:w="3623"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Transfusion Incompatibility Reaction</w:t>
            </w:r>
          </w:p>
        </w:tc>
        <w:tc>
          <w:tcPr>
            <w:tcW w:w="126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$21,462</w:t>
            </w:r>
          </w:p>
        </w:tc>
        <w:tc>
          <w:tcPr>
            <w:tcW w:w="81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1.92</w:t>
            </w:r>
          </w:p>
        </w:tc>
        <w:tc>
          <w:tcPr>
            <w:tcW w:w="990"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w:t>
            </w:r>
          </w:p>
        </w:tc>
        <w:tc>
          <w:tcPr>
            <w:tcW w:w="1350"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xml:space="preserve">t-value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33</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proofErr w:type="spellStart"/>
            <w:r w:rsidRPr="00AF54F0">
              <w:rPr>
                <w:rFonts w:eastAsia="Times New Roman" w:cstheme="minorHAnsi"/>
                <w:sz w:val="20"/>
                <w:szCs w:val="18"/>
              </w:rPr>
              <w:t>Cellulitis</w:t>
            </w:r>
            <w:proofErr w:type="spellEnd"/>
            <w:r w:rsidRPr="00AF54F0">
              <w:rPr>
                <w:rFonts w:eastAsia="Times New Roman" w:cstheme="minorHAnsi"/>
                <w:sz w:val="20"/>
                <w:szCs w:val="18"/>
              </w:rPr>
              <w:t xml:space="preserve">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$8,350</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22.41</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941</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40.3%</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-6.1%</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34</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Moderate Infectious</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$22,056</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49.95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681</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32.2%</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-15.3%</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35</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Septicemia &amp; Severe Infections</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$21,766</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83.69</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2,046</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2.7%</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-12.6%</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36</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Acute Mental Health Changes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$3,572</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8.25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669</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17.7%</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-5.5%</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37</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Post-Operative Infection &amp; Deep Wound Disruption Without Procedure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$18,629</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49.98</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973</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36.3%</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-2.1%</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38</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Post-Operative Wound Infection &amp; Deep Wound Disruption with Procedure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$33,089</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24.81</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72</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20.1%</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22.0%</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39</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Reopening Surgical Site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$18,176</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21.65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183</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-16.2%</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7.6%</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40</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Post-Operative Hemorrhage &amp; Hematoma without Hemorrhage Control Procedure or I&amp;D Proc</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$8,851</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38.02</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2,406</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19.9%</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-8.6%</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41</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Post-Operative Hemorrhage &amp; Hematoma with Hemorrhage Control Procedure or I&amp;D Proc</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$12,173</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15.05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196</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-3.0%</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-8.8%</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42</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Accidental Puncture/Laceration During Invasive Procedure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$6,409</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18.97</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1,138</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22.1%</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-13.5%</w:t>
            </w:r>
          </w:p>
        </w:tc>
      </w:tr>
      <w:tr w:rsidR="009A737B" w:rsidRPr="009A737B" w:rsidTr="00DF40A6">
        <w:trPr>
          <w:trHeight w:val="288"/>
        </w:trPr>
        <w:tc>
          <w:tcPr>
            <w:tcW w:w="439"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43</w:t>
            </w:r>
          </w:p>
        </w:tc>
        <w:tc>
          <w:tcPr>
            <w:tcW w:w="3623"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Accidental Cut or Hemorrhage During Other Medical Care </w:t>
            </w:r>
          </w:p>
        </w:tc>
        <w:tc>
          <w:tcPr>
            <w:tcW w:w="126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$3,230</w:t>
            </w:r>
          </w:p>
        </w:tc>
        <w:tc>
          <w:tcPr>
            <w:tcW w:w="81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2.12</w:t>
            </w:r>
          </w:p>
        </w:tc>
        <w:tc>
          <w:tcPr>
            <w:tcW w:w="990"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57</w:t>
            </w:r>
          </w:p>
        </w:tc>
        <w:tc>
          <w:tcPr>
            <w:tcW w:w="1350"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xml:space="preserve">t-value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86.4%</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-9.5%</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44</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Other Surgical Complication - Mod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$11,563</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17.56</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303</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18.6%</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-10.6%</w:t>
            </w:r>
          </w:p>
        </w:tc>
      </w:tr>
      <w:tr w:rsidR="009A737B" w:rsidRPr="009A737B" w:rsidTr="00DF40A6">
        <w:trPr>
          <w:trHeight w:val="288"/>
        </w:trPr>
        <w:tc>
          <w:tcPr>
            <w:tcW w:w="439"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45</w:t>
            </w:r>
          </w:p>
        </w:tc>
        <w:tc>
          <w:tcPr>
            <w:tcW w:w="3623"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Post-procedure Foreign Bodies </w:t>
            </w:r>
          </w:p>
        </w:tc>
        <w:tc>
          <w:tcPr>
            <w:tcW w:w="126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-$1,416</w:t>
            </w:r>
          </w:p>
        </w:tc>
        <w:tc>
          <w:tcPr>
            <w:tcW w:w="81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-0.61</w:t>
            </w:r>
          </w:p>
        </w:tc>
        <w:tc>
          <w:tcPr>
            <w:tcW w:w="990"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26</w:t>
            </w:r>
          </w:p>
        </w:tc>
        <w:tc>
          <w:tcPr>
            <w:tcW w:w="1350"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Excluded this year</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-110.4%</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-21.2%</w:t>
            </w:r>
          </w:p>
        </w:tc>
      </w:tr>
      <w:tr w:rsidR="009A737B" w:rsidRPr="009A737B" w:rsidTr="00DF40A6">
        <w:trPr>
          <w:trHeight w:val="288"/>
        </w:trPr>
        <w:tc>
          <w:tcPr>
            <w:tcW w:w="439"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46</w:t>
            </w:r>
          </w:p>
        </w:tc>
        <w:tc>
          <w:tcPr>
            <w:tcW w:w="3623"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Post-Operative Substance Reaction &amp; Non-O.R. Procedure for Foreign Body </w:t>
            </w:r>
          </w:p>
        </w:tc>
        <w:tc>
          <w:tcPr>
            <w:tcW w:w="126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-$4,104</w:t>
            </w:r>
          </w:p>
        </w:tc>
        <w:tc>
          <w:tcPr>
            <w:tcW w:w="81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-0.5</w:t>
            </w:r>
          </w:p>
        </w:tc>
        <w:tc>
          <w:tcPr>
            <w:tcW w:w="990"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w:t>
            </w:r>
          </w:p>
        </w:tc>
        <w:tc>
          <w:tcPr>
            <w:tcW w:w="1350"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xml:space="preserve">t-value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-42.4%</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0.0%</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47</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Encephalopathy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$11,628</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37.16</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1,324</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-11.1%</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-11.4%</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48</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Other Complications of Medical Care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$18,624</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45.1</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758</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9.4%</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-4.1%</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49</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Iatrogenic </w:t>
            </w:r>
            <w:proofErr w:type="spellStart"/>
            <w:r w:rsidRPr="00AF54F0">
              <w:rPr>
                <w:rFonts w:eastAsia="Times New Roman" w:cstheme="minorHAnsi"/>
                <w:sz w:val="20"/>
                <w:szCs w:val="18"/>
              </w:rPr>
              <w:t>Pneumothrax</w:t>
            </w:r>
            <w:proofErr w:type="spellEnd"/>
            <w:r w:rsidRPr="00AF54F0">
              <w:rPr>
                <w:rFonts w:eastAsia="Times New Roman" w:cstheme="minorHAnsi"/>
                <w:sz w:val="20"/>
                <w:szCs w:val="18"/>
              </w:rPr>
              <w:t xml:space="preserve">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$9,652</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24.67</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870</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43.5%</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-4.2%</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50</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Mechanical Complication of Device, Implant &amp; Graft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$17,087</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35.46</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547</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22.1%</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4.4%</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51</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Gastrointestinal </w:t>
            </w:r>
            <w:proofErr w:type="spellStart"/>
            <w:r w:rsidRPr="00AF54F0">
              <w:rPr>
                <w:rFonts w:eastAsia="Times New Roman" w:cstheme="minorHAnsi"/>
                <w:sz w:val="20"/>
                <w:szCs w:val="18"/>
              </w:rPr>
              <w:t>Ostomy</w:t>
            </w:r>
            <w:proofErr w:type="spellEnd"/>
            <w:r w:rsidRPr="00AF54F0">
              <w:rPr>
                <w:rFonts w:eastAsia="Times New Roman" w:cstheme="minorHAnsi"/>
                <w:sz w:val="20"/>
                <w:szCs w:val="18"/>
              </w:rPr>
              <w:t xml:space="preserve"> Complications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$24,773</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37.77</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294</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33.9%</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-10.4%</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52</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Inflammation &amp; Other Complications of Devices, Implants or Grafts Except Vascular Infection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$12,229</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34.35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1,036</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-0.6%</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-1.2%</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53</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Infection, Inflammation &amp; Clotting Complications of Peripheral Vascular Catheters &amp; Infusions</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$13,283</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18.69</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250</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106.3%</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-11.7%</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54</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Infections due to Central Venous Catheters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$34,975</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51.77</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291</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20.1%</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-11.6%</w:t>
            </w:r>
          </w:p>
        </w:tc>
      </w:tr>
      <w:tr w:rsidR="009A737B" w:rsidRPr="009A737B" w:rsidTr="00DF40A6">
        <w:trPr>
          <w:trHeight w:val="288"/>
        </w:trPr>
        <w:tc>
          <w:tcPr>
            <w:tcW w:w="439" w:type="dxa"/>
            <w:tcBorders>
              <w:top w:val="nil"/>
              <w:left w:val="single" w:sz="4" w:space="0" w:color="auto"/>
              <w:bottom w:val="single" w:sz="4" w:space="0" w:color="auto"/>
              <w:right w:val="single" w:sz="4" w:space="0" w:color="auto"/>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55</w:t>
            </w:r>
          </w:p>
        </w:tc>
        <w:tc>
          <w:tcPr>
            <w:tcW w:w="3623" w:type="dxa"/>
            <w:tcBorders>
              <w:top w:val="nil"/>
              <w:left w:val="nil"/>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Obstetrical Hemorrhage without Transfusion </w:t>
            </w:r>
          </w:p>
        </w:tc>
        <w:tc>
          <w:tcPr>
            <w:tcW w:w="1260" w:type="dxa"/>
            <w:tcBorders>
              <w:top w:val="nil"/>
              <w:left w:val="single" w:sz="4" w:space="0" w:color="auto"/>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$370</w:t>
            </w:r>
          </w:p>
        </w:tc>
        <w:tc>
          <w:tcPr>
            <w:tcW w:w="810" w:type="dxa"/>
            <w:tcBorders>
              <w:top w:val="nil"/>
              <w:left w:val="single" w:sz="4" w:space="0" w:color="auto"/>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2.15</w:t>
            </w:r>
          </w:p>
        </w:tc>
        <w:tc>
          <w:tcPr>
            <w:tcW w:w="990" w:type="dxa"/>
            <w:tcBorders>
              <w:top w:val="nil"/>
              <w:left w:val="single" w:sz="4" w:space="0" w:color="auto"/>
              <w:bottom w:val="single" w:sz="4" w:space="0" w:color="auto"/>
              <w:right w:val="single" w:sz="4" w:space="0" w:color="auto"/>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4,567</w:t>
            </w:r>
          </w:p>
        </w:tc>
        <w:tc>
          <w:tcPr>
            <w:tcW w:w="1350" w:type="dxa"/>
            <w:tcBorders>
              <w:top w:val="nil"/>
              <w:left w:val="nil"/>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xml:space="preserve">Clinical/Coding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19.4%</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-18.8%</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lastRenderedPageBreak/>
              <w:t>56</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Obstetrical Hemorrhage </w:t>
            </w:r>
            <w:proofErr w:type="spellStart"/>
            <w:r w:rsidRPr="00AF54F0">
              <w:rPr>
                <w:rFonts w:eastAsia="Times New Roman" w:cstheme="minorHAnsi"/>
                <w:sz w:val="20"/>
                <w:szCs w:val="18"/>
              </w:rPr>
              <w:t>wtih</w:t>
            </w:r>
            <w:proofErr w:type="spellEnd"/>
            <w:r w:rsidRPr="00AF54F0">
              <w:rPr>
                <w:rFonts w:eastAsia="Times New Roman" w:cstheme="minorHAnsi"/>
                <w:sz w:val="20"/>
                <w:szCs w:val="18"/>
              </w:rPr>
              <w:t xml:space="preserve"> Transfusion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$3,764</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8.05</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602</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43.8%</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13.2%</w:t>
            </w:r>
          </w:p>
        </w:tc>
      </w:tr>
      <w:tr w:rsidR="009A737B" w:rsidRPr="009A737B" w:rsidTr="00DF40A6">
        <w:trPr>
          <w:trHeight w:val="288"/>
        </w:trPr>
        <w:tc>
          <w:tcPr>
            <w:tcW w:w="439"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57</w:t>
            </w:r>
          </w:p>
        </w:tc>
        <w:tc>
          <w:tcPr>
            <w:tcW w:w="3623"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Obstetric Lacerations &amp; Other Trauma Without Instrumentation </w:t>
            </w:r>
          </w:p>
        </w:tc>
        <w:tc>
          <w:tcPr>
            <w:tcW w:w="126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$340</w:t>
            </w:r>
          </w:p>
        </w:tc>
        <w:tc>
          <w:tcPr>
            <w:tcW w:w="81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1.03</w:t>
            </w:r>
          </w:p>
        </w:tc>
        <w:tc>
          <w:tcPr>
            <w:tcW w:w="990"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1,185</w:t>
            </w:r>
          </w:p>
        </w:tc>
        <w:tc>
          <w:tcPr>
            <w:tcW w:w="1350"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xml:space="preserve">t-value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33.7%</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-2.7%</w:t>
            </w:r>
          </w:p>
        </w:tc>
      </w:tr>
      <w:tr w:rsidR="009A737B" w:rsidRPr="009A737B" w:rsidTr="00DF40A6">
        <w:trPr>
          <w:trHeight w:val="288"/>
        </w:trPr>
        <w:tc>
          <w:tcPr>
            <w:tcW w:w="439"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58</w:t>
            </w:r>
          </w:p>
        </w:tc>
        <w:tc>
          <w:tcPr>
            <w:tcW w:w="3623"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Obstetric Lacerations &amp; Other Trauma With Instrumentation</w:t>
            </w:r>
          </w:p>
        </w:tc>
        <w:tc>
          <w:tcPr>
            <w:tcW w:w="126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$678</w:t>
            </w:r>
          </w:p>
        </w:tc>
        <w:tc>
          <w:tcPr>
            <w:tcW w:w="81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1.26</w:t>
            </w:r>
          </w:p>
        </w:tc>
        <w:tc>
          <w:tcPr>
            <w:tcW w:w="990"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435</w:t>
            </w:r>
          </w:p>
        </w:tc>
        <w:tc>
          <w:tcPr>
            <w:tcW w:w="1350"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xml:space="preserve">t-value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-8.1%</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59</w:t>
            </w:r>
          </w:p>
        </w:tc>
        <w:tc>
          <w:tcPr>
            <w:tcW w:w="3623"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Medical &amp; Anesthesia Obstetric Complications </w:t>
            </w:r>
          </w:p>
        </w:tc>
        <w:tc>
          <w:tcPr>
            <w:tcW w:w="126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$1,209</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2.90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744</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60.9%</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-11.0%</w:t>
            </w:r>
          </w:p>
        </w:tc>
      </w:tr>
      <w:tr w:rsidR="009A737B" w:rsidRPr="009A737B" w:rsidTr="00DF40A6">
        <w:trPr>
          <w:trHeight w:val="288"/>
        </w:trPr>
        <w:tc>
          <w:tcPr>
            <w:tcW w:w="439"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60</w:t>
            </w:r>
          </w:p>
        </w:tc>
        <w:tc>
          <w:tcPr>
            <w:tcW w:w="3623"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Major Puerperal Infection and Other Major Obstetric Complications </w:t>
            </w:r>
          </w:p>
        </w:tc>
        <w:tc>
          <w:tcPr>
            <w:tcW w:w="126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-$591</w:t>
            </w:r>
          </w:p>
        </w:tc>
        <w:tc>
          <w:tcPr>
            <w:tcW w:w="81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-0.58</w:t>
            </w:r>
          </w:p>
        </w:tc>
        <w:tc>
          <w:tcPr>
            <w:tcW w:w="990"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125</w:t>
            </w:r>
          </w:p>
        </w:tc>
        <w:tc>
          <w:tcPr>
            <w:tcW w:w="1350"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xml:space="preserve">t-value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-136.7%</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15.7%</w:t>
            </w:r>
          </w:p>
        </w:tc>
      </w:tr>
      <w:tr w:rsidR="009A737B" w:rsidRPr="009A737B" w:rsidTr="00DF40A6">
        <w:trPr>
          <w:trHeight w:val="288"/>
        </w:trPr>
        <w:tc>
          <w:tcPr>
            <w:tcW w:w="439"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61</w:t>
            </w:r>
          </w:p>
        </w:tc>
        <w:tc>
          <w:tcPr>
            <w:tcW w:w="3623"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Other Complications of Obstetrical Surgical &amp; </w:t>
            </w:r>
            <w:proofErr w:type="spellStart"/>
            <w:r w:rsidRPr="00AF54F0">
              <w:rPr>
                <w:rFonts w:eastAsia="Times New Roman" w:cstheme="minorHAnsi"/>
                <w:sz w:val="20"/>
                <w:szCs w:val="18"/>
              </w:rPr>
              <w:t>Perineal</w:t>
            </w:r>
            <w:proofErr w:type="spellEnd"/>
            <w:r w:rsidRPr="00AF54F0">
              <w:rPr>
                <w:rFonts w:eastAsia="Times New Roman" w:cstheme="minorHAnsi"/>
                <w:sz w:val="20"/>
                <w:szCs w:val="18"/>
              </w:rPr>
              <w:t xml:space="preserve"> Wounds </w:t>
            </w:r>
          </w:p>
        </w:tc>
        <w:tc>
          <w:tcPr>
            <w:tcW w:w="126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$1,466</w:t>
            </w:r>
          </w:p>
        </w:tc>
        <w:tc>
          <w:tcPr>
            <w:tcW w:w="81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1.80</w:t>
            </w:r>
          </w:p>
        </w:tc>
        <w:tc>
          <w:tcPr>
            <w:tcW w:w="990"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192</w:t>
            </w:r>
          </w:p>
        </w:tc>
        <w:tc>
          <w:tcPr>
            <w:tcW w:w="1350"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xml:space="preserve">t-value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-754.1%</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1.6%</w:t>
            </w:r>
          </w:p>
        </w:tc>
      </w:tr>
      <w:tr w:rsidR="009A737B" w:rsidRPr="009A737B" w:rsidTr="00DF40A6">
        <w:trPr>
          <w:trHeight w:val="288"/>
        </w:trPr>
        <w:tc>
          <w:tcPr>
            <w:tcW w:w="439"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62</w:t>
            </w:r>
          </w:p>
        </w:tc>
        <w:tc>
          <w:tcPr>
            <w:tcW w:w="3623"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Delivery with Placental Complications </w:t>
            </w:r>
          </w:p>
        </w:tc>
        <w:tc>
          <w:tcPr>
            <w:tcW w:w="126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$1,099</w:t>
            </w:r>
          </w:p>
        </w:tc>
        <w:tc>
          <w:tcPr>
            <w:tcW w:w="810" w:type="dxa"/>
            <w:tcBorders>
              <w:top w:val="nil"/>
              <w:left w:val="single" w:sz="4" w:space="0" w:color="auto"/>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1.63</w:t>
            </w:r>
          </w:p>
        </w:tc>
        <w:tc>
          <w:tcPr>
            <w:tcW w:w="990" w:type="dxa"/>
            <w:tcBorders>
              <w:top w:val="nil"/>
              <w:left w:val="single" w:sz="4" w:space="0" w:color="auto"/>
              <w:bottom w:val="single" w:sz="4" w:space="0" w:color="auto"/>
              <w:right w:val="single" w:sz="4" w:space="0" w:color="auto"/>
            </w:tcBorders>
            <w:shd w:val="clear" w:color="000000" w:fill="FFFF00"/>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278</w:t>
            </w:r>
          </w:p>
        </w:tc>
        <w:tc>
          <w:tcPr>
            <w:tcW w:w="1350" w:type="dxa"/>
            <w:tcBorders>
              <w:top w:val="nil"/>
              <w:left w:val="nil"/>
              <w:bottom w:val="single" w:sz="4" w:space="0" w:color="auto"/>
              <w:right w:val="nil"/>
            </w:tcBorders>
            <w:shd w:val="clear" w:color="000000" w:fill="FFFF00"/>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xml:space="preserve">t-value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-11.5%</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15.4%</w:t>
            </w:r>
          </w:p>
        </w:tc>
      </w:tr>
      <w:tr w:rsidR="009A737B" w:rsidRPr="009A737B" w:rsidTr="00DF40A6">
        <w:trPr>
          <w:trHeight w:val="288"/>
        </w:trPr>
        <w:tc>
          <w:tcPr>
            <w:tcW w:w="439" w:type="dxa"/>
            <w:tcBorders>
              <w:top w:val="nil"/>
              <w:left w:val="single" w:sz="4" w:space="0" w:color="auto"/>
              <w:bottom w:val="single" w:sz="4" w:space="0" w:color="auto"/>
              <w:right w:val="single" w:sz="4" w:space="0" w:color="auto"/>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63</w:t>
            </w:r>
          </w:p>
        </w:tc>
        <w:tc>
          <w:tcPr>
            <w:tcW w:w="3623" w:type="dxa"/>
            <w:tcBorders>
              <w:top w:val="nil"/>
              <w:left w:val="nil"/>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Post-Operative Respiratory Failure with </w:t>
            </w:r>
            <w:proofErr w:type="spellStart"/>
            <w:r w:rsidRPr="00AF54F0">
              <w:rPr>
                <w:rFonts w:eastAsia="Times New Roman" w:cstheme="minorHAnsi"/>
                <w:sz w:val="20"/>
                <w:szCs w:val="18"/>
              </w:rPr>
              <w:t>Tracheostomy</w:t>
            </w:r>
            <w:proofErr w:type="spellEnd"/>
            <w:r w:rsidRPr="00AF54F0">
              <w:rPr>
                <w:rFonts w:eastAsia="Times New Roman" w:cstheme="minorHAnsi"/>
                <w:sz w:val="20"/>
                <w:szCs w:val="18"/>
              </w:rPr>
              <w:t xml:space="preserve"> </w:t>
            </w:r>
          </w:p>
        </w:tc>
        <w:tc>
          <w:tcPr>
            <w:tcW w:w="1260" w:type="dxa"/>
            <w:tcBorders>
              <w:top w:val="nil"/>
              <w:left w:val="single" w:sz="4" w:space="0" w:color="auto"/>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$124,786</w:t>
            </w:r>
          </w:p>
        </w:tc>
        <w:tc>
          <w:tcPr>
            <w:tcW w:w="810" w:type="dxa"/>
            <w:tcBorders>
              <w:top w:val="nil"/>
              <w:left w:val="single" w:sz="4" w:space="0" w:color="auto"/>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76.79</w:t>
            </w:r>
          </w:p>
        </w:tc>
        <w:tc>
          <w:tcPr>
            <w:tcW w:w="990" w:type="dxa"/>
            <w:tcBorders>
              <w:top w:val="nil"/>
              <w:left w:val="single" w:sz="4" w:space="0" w:color="auto"/>
              <w:bottom w:val="single" w:sz="4" w:space="0" w:color="auto"/>
              <w:right w:val="single" w:sz="4" w:space="0" w:color="auto"/>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48</w:t>
            </w:r>
          </w:p>
        </w:tc>
        <w:tc>
          <w:tcPr>
            <w:tcW w:w="1350" w:type="dxa"/>
            <w:tcBorders>
              <w:top w:val="nil"/>
              <w:left w:val="nil"/>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xml:space="preserve">Clinical/Coding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-3.2%</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-21.3%</w:t>
            </w:r>
          </w:p>
        </w:tc>
      </w:tr>
      <w:tr w:rsidR="009A737B" w:rsidRPr="009A737B" w:rsidTr="00DF40A6">
        <w:trPr>
          <w:trHeight w:val="300"/>
        </w:trPr>
        <w:tc>
          <w:tcPr>
            <w:tcW w:w="439" w:type="dxa"/>
            <w:tcBorders>
              <w:top w:val="nil"/>
              <w:left w:val="single" w:sz="4" w:space="0" w:color="auto"/>
              <w:bottom w:val="single" w:sz="4" w:space="0" w:color="auto"/>
              <w:right w:val="single" w:sz="4" w:space="0" w:color="auto"/>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64</w:t>
            </w:r>
          </w:p>
        </w:tc>
        <w:tc>
          <w:tcPr>
            <w:tcW w:w="3623" w:type="dxa"/>
            <w:tcBorders>
              <w:top w:val="nil"/>
              <w:left w:val="nil"/>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Other In-Hospital Adverse Events</w:t>
            </w:r>
          </w:p>
        </w:tc>
        <w:tc>
          <w:tcPr>
            <w:tcW w:w="1260" w:type="dxa"/>
            <w:tcBorders>
              <w:top w:val="nil"/>
              <w:left w:val="single" w:sz="4" w:space="0" w:color="auto"/>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$4,285</w:t>
            </w:r>
          </w:p>
        </w:tc>
        <w:tc>
          <w:tcPr>
            <w:tcW w:w="810" w:type="dxa"/>
            <w:tcBorders>
              <w:top w:val="nil"/>
              <w:left w:val="single" w:sz="4" w:space="0" w:color="auto"/>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8.77</w:t>
            </w:r>
          </w:p>
        </w:tc>
        <w:tc>
          <w:tcPr>
            <w:tcW w:w="990" w:type="dxa"/>
            <w:tcBorders>
              <w:top w:val="nil"/>
              <w:left w:val="single" w:sz="4" w:space="0" w:color="auto"/>
              <w:bottom w:val="single" w:sz="4" w:space="0" w:color="auto"/>
              <w:right w:val="single" w:sz="4" w:space="0" w:color="auto"/>
            </w:tcBorders>
            <w:shd w:val="clear" w:color="000000" w:fill="969696"/>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526</w:t>
            </w:r>
          </w:p>
        </w:tc>
        <w:tc>
          <w:tcPr>
            <w:tcW w:w="1350" w:type="dxa"/>
            <w:tcBorders>
              <w:top w:val="nil"/>
              <w:left w:val="nil"/>
              <w:bottom w:val="single" w:sz="4" w:space="0" w:color="auto"/>
              <w:right w:val="nil"/>
            </w:tcBorders>
            <w:shd w:val="clear" w:color="000000" w:fill="969696"/>
            <w:noWrap/>
            <w:vAlign w:val="bottom"/>
            <w:hideMark/>
          </w:tcPr>
          <w:p w:rsidR="00AF54F0" w:rsidRPr="00AF54F0" w:rsidRDefault="00AF54F0" w:rsidP="00AF54F0">
            <w:pPr>
              <w:spacing w:before="0" w:after="0" w:line="240" w:lineRule="auto"/>
              <w:ind w:left="0" w:firstLine="0"/>
              <w:rPr>
                <w:rFonts w:eastAsia="Times New Roman" w:cstheme="minorHAnsi"/>
                <w:sz w:val="18"/>
                <w:szCs w:val="18"/>
              </w:rPr>
            </w:pPr>
            <w:r w:rsidRPr="00AF54F0">
              <w:rPr>
                <w:rFonts w:eastAsia="Times New Roman" w:cstheme="minorHAnsi"/>
                <w:sz w:val="18"/>
                <w:szCs w:val="18"/>
              </w:rPr>
              <w:t xml:space="preserve">Clinical/Coding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-18.7%</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-18.2%</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65</w:t>
            </w:r>
          </w:p>
        </w:tc>
        <w:tc>
          <w:tcPr>
            <w:tcW w:w="3623"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xml:space="preserve">Urinary Tract Infection without Catheter </w:t>
            </w:r>
          </w:p>
        </w:tc>
        <w:tc>
          <w:tcPr>
            <w:tcW w:w="126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$14,549</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80.63</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color w:val="000000"/>
                <w:sz w:val="20"/>
                <w:szCs w:val="18"/>
              </w:rPr>
            </w:pPr>
            <w:r w:rsidRPr="00AF54F0">
              <w:rPr>
                <w:rFonts w:eastAsia="Times New Roman" w:cstheme="minorHAnsi"/>
                <w:color w:val="000000"/>
                <w:sz w:val="20"/>
                <w:szCs w:val="18"/>
              </w:rPr>
              <w:t>4,025</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37.0%</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-13.1%</w:t>
            </w:r>
          </w:p>
        </w:tc>
      </w:tr>
      <w:tr w:rsidR="009A737B" w:rsidRPr="00AF54F0" w:rsidTr="00DF40A6">
        <w:trPr>
          <w:trHeight w:val="288"/>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66</w:t>
            </w:r>
          </w:p>
        </w:tc>
        <w:tc>
          <w:tcPr>
            <w:tcW w:w="3623"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Catheter-Related Urinary Tract Infection</w:t>
            </w:r>
          </w:p>
        </w:tc>
        <w:tc>
          <w:tcPr>
            <w:tcW w:w="126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$15,547</w:t>
            </w:r>
          </w:p>
        </w:tc>
        <w:tc>
          <w:tcPr>
            <w:tcW w:w="81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12.83</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color w:val="000000"/>
                <w:sz w:val="20"/>
                <w:szCs w:val="18"/>
              </w:rPr>
            </w:pPr>
            <w:r w:rsidRPr="00AF54F0">
              <w:rPr>
                <w:rFonts w:eastAsia="Times New Roman" w:cstheme="minorHAnsi"/>
                <w:color w:val="000000"/>
                <w:sz w:val="20"/>
                <w:szCs w:val="18"/>
              </w:rPr>
              <w:t>85</w:t>
            </w: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-8.2%</w:t>
            </w:r>
          </w:p>
        </w:tc>
        <w:tc>
          <w:tcPr>
            <w:tcW w:w="1116" w:type="dxa"/>
            <w:tcBorders>
              <w:top w:val="nil"/>
              <w:left w:val="nil"/>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jc w:val="right"/>
              <w:rPr>
                <w:rFonts w:eastAsia="Times New Roman" w:cstheme="minorHAnsi"/>
                <w:sz w:val="20"/>
                <w:szCs w:val="18"/>
              </w:rPr>
            </w:pPr>
            <w:r w:rsidRPr="00AF54F0">
              <w:rPr>
                <w:rFonts w:eastAsia="Times New Roman" w:cstheme="minorHAnsi"/>
                <w:sz w:val="20"/>
                <w:szCs w:val="18"/>
              </w:rPr>
              <w:t>-4.5%</w:t>
            </w:r>
          </w:p>
        </w:tc>
      </w:tr>
      <w:tr w:rsidR="00DF40A6" w:rsidRPr="00AF54F0" w:rsidTr="00DF40A6">
        <w:trPr>
          <w:trHeight w:val="288"/>
        </w:trPr>
        <w:tc>
          <w:tcPr>
            <w:tcW w:w="4062" w:type="dxa"/>
            <w:gridSpan w:val="2"/>
            <w:tcBorders>
              <w:top w:val="single" w:sz="4" w:space="0" w:color="auto"/>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i/>
                <w:iCs/>
                <w:sz w:val="20"/>
                <w:szCs w:val="18"/>
              </w:rPr>
            </w:pPr>
            <w:r w:rsidRPr="00AF54F0">
              <w:rPr>
                <w:rFonts w:eastAsia="Times New Roman" w:cstheme="minorHAnsi"/>
                <w:i/>
                <w:iCs/>
                <w:sz w:val="20"/>
                <w:szCs w:val="18"/>
              </w:rPr>
              <w:t>Note: Shaded PPCs are excluded</w:t>
            </w:r>
          </w:p>
        </w:tc>
        <w:tc>
          <w:tcPr>
            <w:tcW w:w="126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color w:val="000000"/>
                <w:sz w:val="20"/>
                <w:szCs w:val="18"/>
              </w:rPr>
            </w:pPr>
          </w:p>
        </w:tc>
        <w:tc>
          <w:tcPr>
            <w:tcW w:w="81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color w:val="000000"/>
                <w:sz w:val="20"/>
                <w:szCs w:val="18"/>
              </w:rPr>
            </w:pPr>
          </w:p>
        </w:tc>
        <w:tc>
          <w:tcPr>
            <w:tcW w:w="99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color w:val="000000"/>
                <w:sz w:val="20"/>
                <w:szCs w:val="18"/>
              </w:rPr>
            </w:pPr>
          </w:p>
        </w:tc>
        <w:tc>
          <w:tcPr>
            <w:tcW w:w="1350" w:type="dxa"/>
            <w:tcBorders>
              <w:top w:val="nil"/>
              <w:left w:val="nil"/>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color w:val="000000"/>
                <w:sz w:val="20"/>
                <w:szCs w:val="18"/>
              </w:rPr>
            </w:pPr>
          </w:p>
        </w:tc>
        <w:tc>
          <w:tcPr>
            <w:tcW w:w="1080" w:type="dxa"/>
            <w:tcBorders>
              <w:top w:val="nil"/>
              <w:left w:val="single" w:sz="4" w:space="0" w:color="auto"/>
              <w:bottom w:val="single" w:sz="4" w:space="0" w:color="auto"/>
              <w:right w:val="nil"/>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sz w:val="20"/>
                <w:szCs w:val="18"/>
              </w:rPr>
            </w:pPr>
            <w:r w:rsidRPr="00AF54F0">
              <w:rPr>
                <w:rFonts w:eastAsia="Times New Roman" w:cstheme="minorHAnsi"/>
                <w:sz w:val="20"/>
                <w:szCs w:val="18"/>
              </w:rPr>
              <w:t> </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AF54F0" w:rsidRPr="00AF54F0" w:rsidRDefault="00AF54F0" w:rsidP="00AF54F0">
            <w:pPr>
              <w:spacing w:before="0" w:after="0" w:line="240" w:lineRule="auto"/>
              <w:ind w:left="0" w:firstLine="0"/>
              <w:rPr>
                <w:rFonts w:eastAsia="Times New Roman" w:cstheme="minorHAnsi"/>
                <w:color w:val="000000"/>
                <w:sz w:val="20"/>
                <w:szCs w:val="18"/>
              </w:rPr>
            </w:pPr>
            <w:r w:rsidRPr="00AF54F0">
              <w:rPr>
                <w:rFonts w:eastAsia="Times New Roman" w:cstheme="minorHAnsi"/>
                <w:color w:val="000000"/>
                <w:sz w:val="20"/>
                <w:szCs w:val="18"/>
              </w:rPr>
              <w:t> </w:t>
            </w:r>
          </w:p>
        </w:tc>
      </w:tr>
    </w:tbl>
    <w:p w:rsidR="008160E7" w:rsidRDefault="008160E7" w:rsidP="006D0CD5">
      <w:pPr>
        <w:ind w:left="0" w:firstLine="0"/>
      </w:pPr>
    </w:p>
    <w:sectPr w:rsidR="008160E7" w:rsidSect="008160E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27D" w:rsidRDefault="00B9127D" w:rsidP="00810806">
      <w:pPr>
        <w:spacing w:before="0" w:after="0" w:line="240" w:lineRule="auto"/>
      </w:pPr>
      <w:r>
        <w:separator/>
      </w:r>
    </w:p>
  </w:endnote>
  <w:endnote w:type="continuationSeparator" w:id="0">
    <w:p w:rsidR="00B9127D" w:rsidRDefault="00B9127D" w:rsidP="0081080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827746"/>
      <w:docPartObj>
        <w:docPartGallery w:val="Page Numbers (Bottom of Page)"/>
        <w:docPartUnique/>
      </w:docPartObj>
    </w:sdtPr>
    <w:sdtContent>
      <w:p w:rsidR="00B9127D" w:rsidRDefault="00B9127D">
        <w:pPr>
          <w:pStyle w:val="Footer"/>
          <w:jc w:val="right"/>
        </w:pPr>
        <w:fldSimple w:instr=" PAGE   \* MERGEFORMAT ">
          <w:r>
            <w:rPr>
              <w:noProof/>
            </w:rPr>
            <w:t>1</w:t>
          </w:r>
        </w:fldSimple>
      </w:p>
    </w:sdtContent>
  </w:sdt>
  <w:p w:rsidR="00B9127D" w:rsidRDefault="00B912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27D" w:rsidRDefault="00B9127D" w:rsidP="00810806">
      <w:pPr>
        <w:spacing w:before="0" w:after="0" w:line="240" w:lineRule="auto"/>
      </w:pPr>
      <w:r>
        <w:separator/>
      </w:r>
    </w:p>
  </w:footnote>
  <w:footnote w:type="continuationSeparator" w:id="0">
    <w:p w:rsidR="00B9127D" w:rsidRDefault="00B9127D" w:rsidP="00810806">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0CD5"/>
    <w:rsid w:val="001172BC"/>
    <w:rsid w:val="003057C8"/>
    <w:rsid w:val="00333C49"/>
    <w:rsid w:val="004D569B"/>
    <w:rsid w:val="0050614B"/>
    <w:rsid w:val="00574E1D"/>
    <w:rsid w:val="00611284"/>
    <w:rsid w:val="006D0CD5"/>
    <w:rsid w:val="007046E8"/>
    <w:rsid w:val="00810806"/>
    <w:rsid w:val="008160E7"/>
    <w:rsid w:val="008C4530"/>
    <w:rsid w:val="009A737B"/>
    <w:rsid w:val="00AC69BB"/>
    <w:rsid w:val="00AF54F0"/>
    <w:rsid w:val="00B9127D"/>
    <w:rsid w:val="00C221A9"/>
    <w:rsid w:val="00DF40A6"/>
    <w:rsid w:val="00E82154"/>
    <w:rsid w:val="00E936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200" w:line="276" w:lineRule="auto"/>
        <w:ind w:left="1080"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0E7"/>
  </w:style>
  <w:style w:type="paragraph" w:styleId="Heading1">
    <w:name w:val="heading 1"/>
    <w:basedOn w:val="Normal"/>
    <w:next w:val="Normal"/>
    <w:link w:val="Heading1Char"/>
    <w:uiPriority w:val="9"/>
    <w:qFormat/>
    <w:rsid w:val="006D0C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CD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D0CD5"/>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0CD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D0CD5"/>
    <w:pPr>
      <w:numPr>
        <w:ilvl w:val="1"/>
      </w:numPr>
      <w:ind w:left="1080"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D0CD5"/>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6D0CD5"/>
    <w:rPr>
      <w:b/>
      <w:bCs/>
      <w:i/>
      <w:iCs/>
      <w:color w:val="4F81BD" w:themeColor="accent1"/>
    </w:rPr>
  </w:style>
  <w:style w:type="paragraph" w:styleId="BalloonText">
    <w:name w:val="Balloon Text"/>
    <w:basedOn w:val="Normal"/>
    <w:link w:val="BalloonTextChar"/>
    <w:uiPriority w:val="99"/>
    <w:semiHidden/>
    <w:unhideWhenUsed/>
    <w:rsid w:val="006D0CD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CD5"/>
    <w:rPr>
      <w:rFonts w:ascii="Tahoma" w:hAnsi="Tahoma" w:cs="Tahoma"/>
      <w:sz w:val="16"/>
      <w:szCs w:val="16"/>
    </w:rPr>
  </w:style>
  <w:style w:type="paragraph" w:styleId="Header">
    <w:name w:val="header"/>
    <w:basedOn w:val="Normal"/>
    <w:link w:val="HeaderChar"/>
    <w:uiPriority w:val="99"/>
    <w:semiHidden/>
    <w:unhideWhenUsed/>
    <w:rsid w:val="00810806"/>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810806"/>
  </w:style>
  <w:style w:type="paragraph" w:styleId="Footer">
    <w:name w:val="footer"/>
    <w:basedOn w:val="Normal"/>
    <w:link w:val="FooterChar"/>
    <w:uiPriority w:val="99"/>
    <w:unhideWhenUsed/>
    <w:rsid w:val="0081080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0806"/>
  </w:style>
</w:styles>
</file>

<file path=word/webSettings.xml><?xml version="1.0" encoding="utf-8"?>
<w:webSettings xmlns:r="http://schemas.openxmlformats.org/officeDocument/2006/relationships" xmlns:w="http://schemas.openxmlformats.org/wordprocessingml/2006/main">
  <w:divs>
    <w:div w:id="24671424">
      <w:bodyDiv w:val="1"/>
      <w:marLeft w:val="0"/>
      <w:marRight w:val="0"/>
      <w:marTop w:val="0"/>
      <w:marBottom w:val="0"/>
      <w:divBdr>
        <w:top w:val="none" w:sz="0" w:space="0" w:color="auto"/>
        <w:left w:val="none" w:sz="0" w:space="0" w:color="auto"/>
        <w:bottom w:val="none" w:sz="0" w:space="0" w:color="auto"/>
        <w:right w:val="none" w:sz="0" w:space="0" w:color="auto"/>
      </w:divBdr>
    </w:div>
    <w:div w:id="715203895">
      <w:bodyDiv w:val="1"/>
      <w:marLeft w:val="0"/>
      <w:marRight w:val="0"/>
      <w:marTop w:val="0"/>
      <w:marBottom w:val="0"/>
      <w:divBdr>
        <w:top w:val="none" w:sz="0" w:space="0" w:color="auto"/>
        <w:left w:val="none" w:sz="0" w:space="0" w:color="auto"/>
        <w:bottom w:val="none" w:sz="0" w:space="0" w:color="auto"/>
        <w:right w:val="none" w:sz="0" w:space="0" w:color="auto"/>
      </w:divBdr>
    </w:div>
    <w:div w:id="16643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79EAC2-DB85-4BC1-824B-1B0212151CA2}"/>
</file>

<file path=customXml/itemProps2.xml><?xml version="1.0" encoding="utf-8"?>
<ds:datastoreItem xmlns:ds="http://schemas.openxmlformats.org/officeDocument/2006/customXml" ds:itemID="{1B013D61-1CDF-4917-B298-F35FB4A6D18E}"/>
</file>

<file path=customXml/itemProps3.xml><?xml version="1.0" encoding="utf-8"?>
<ds:datastoreItem xmlns:ds="http://schemas.openxmlformats.org/officeDocument/2006/customXml" ds:itemID="{02807590-6577-460A-B1CB-DFE875F323AA}"/>
</file>

<file path=docProps/app.xml><?xml version="1.0" encoding="utf-8"?>
<Properties xmlns="http://schemas.openxmlformats.org/officeDocument/2006/extended-properties" xmlns:vt="http://schemas.openxmlformats.org/officeDocument/2006/docPropsVTypes">
  <Template>Normal</Template>
  <TotalTime>63</TotalTime>
  <Pages>5</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Sule Calikoglu</dc:creator>
  <cp:lastModifiedBy>Sule Calikoglu</cp:lastModifiedBy>
  <cp:revision>13</cp:revision>
  <dcterms:created xsi:type="dcterms:W3CDTF">2012-08-14T16:07:00Z</dcterms:created>
  <dcterms:modified xsi:type="dcterms:W3CDTF">2012-08-14T17:40:00Z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