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EC" w:rsidRDefault="00323CEC" w:rsidP="00323CEC">
      <w:pPr>
        <w:widowControl w:val="0"/>
      </w:pPr>
      <w:r w:rsidRPr="00046476">
        <w:t>AGREEMENT BETWEEN THE HEALTH SER</w:t>
      </w:r>
      <w:r>
        <w:t xml:space="preserve">VICES COST REVIEW </w:t>
      </w:r>
      <w:r w:rsidRPr="00046476">
        <w:t xml:space="preserve">COMMISSION </w:t>
      </w:r>
      <w:r w:rsidR="00A8512E">
        <w:t xml:space="preserve">(HSCRC) </w:t>
      </w:r>
      <w:r w:rsidRPr="00046476">
        <w:t xml:space="preserve">AND </w:t>
      </w:r>
      <w:r w:rsidR="004A571D" w:rsidRPr="004A571D">
        <w:rPr>
          <w:color w:val="FF0000"/>
        </w:rPr>
        <w:t>HOSPITAL SYSTEM NAME</w:t>
      </w:r>
      <w:r w:rsidR="00986E47">
        <w:t xml:space="preserve"> </w:t>
      </w:r>
      <w:r w:rsidRPr="00046476">
        <w:t xml:space="preserve">REGARDING THE ADOPTION OF THE </w:t>
      </w:r>
      <w:r>
        <w:t>HSCRC’</w:t>
      </w:r>
      <w:r w:rsidR="00A94F59">
        <w:t>S</w:t>
      </w:r>
      <w:r>
        <w:t xml:space="preserve"> ADMISSION-READMISSION REVENUE (ARR) SYSTEM</w:t>
      </w:r>
    </w:p>
    <w:p w:rsidR="00323CEC" w:rsidRPr="00A8512E" w:rsidRDefault="00323CEC" w:rsidP="00323CEC">
      <w:pPr>
        <w:rPr>
          <w:b/>
        </w:rPr>
      </w:pPr>
    </w:p>
    <w:p w:rsidR="00323CEC" w:rsidRDefault="00323CEC" w:rsidP="00323CEC">
      <w:pPr>
        <w:autoSpaceDE w:val="0"/>
        <w:autoSpaceDN w:val="0"/>
        <w:adjustRightInd w:val="0"/>
      </w:pPr>
      <w:r>
        <w:t xml:space="preserve">This Agreement made this </w:t>
      </w:r>
      <w:r w:rsidR="006729F7">
        <w:t>____________________ (enter date)</w:t>
      </w:r>
      <w:r>
        <w:t xml:space="preserve">, between </w:t>
      </w:r>
      <w:r w:rsidR="004A571D" w:rsidRPr="004A571D">
        <w:rPr>
          <w:color w:val="FF0000"/>
        </w:rPr>
        <w:t>Hospital System Name</w:t>
      </w:r>
      <w:r w:rsidR="006729F7">
        <w:t xml:space="preserve"> on behalf of its member hospitals, </w:t>
      </w:r>
      <w:r w:rsidR="004A571D" w:rsidRPr="004A571D">
        <w:rPr>
          <w:color w:val="FF0000"/>
        </w:rPr>
        <w:t>List Hospitals</w:t>
      </w:r>
      <w:r w:rsidR="006729F7">
        <w:t>,</w:t>
      </w:r>
      <w:r>
        <w:t xml:space="preserve"> (the Hospital</w:t>
      </w:r>
      <w:r w:rsidR="002A3EE5">
        <w:t>, Hospitals</w:t>
      </w:r>
      <w:r w:rsidR="00DF4BEA" w:rsidRPr="002A3EE5">
        <w:t>, or Hospital System</w:t>
      </w:r>
      <w:r>
        <w:t xml:space="preserve">) and the </w:t>
      </w:r>
      <w:r w:rsidR="00A8512E">
        <w:t xml:space="preserve">Health Services Cost Review Commission </w:t>
      </w:r>
      <w:r>
        <w:t>(the Commission, or HSCRC) is subject to the following provisions:</w:t>
      </w:r>
    </w:p>
    <w:p w:rsidR="008E0B94" w:rsidRDefault="008E0B94" w:rsidP="00FD76F6">
      <w:pPr>
        <w:rPr>
          <w:b/>
        </w:rPr>
      </w:pPr>
    </w:p>
    <w:p w:rsidR="00FD76F6" w:rsidRPr="00FD76F6" w:rsidRDefault="00FD76F6" w:rsidP="00FD76F6">
      <w:pPr>
        <w:rPr>
          <w:b/>
        </w:rPr>
      </w:pPr>
    </w:p>
    <w:p w:rsidR="008E0B94" w:rsidRPr="00FD76F6" w:rsidRDefault="008E0B94" w:rsidP="00FD76F6">
      <w:pPr>
        <w:pStyle w:val="Heading1"/>
        <w:numPr>
          <w:ilvl w:val="0"/>
          <w:numId w:val="28"/>
        </w:numPr>
        <w:tabs>
          <w:tab w:val="left" w:pos="360"/>
        </w:tabs>
        <w:spacing w:before="0" w:beforeAutospacing="0" w:after="0" w:afterAutospacing="0"/>
        <w:ind w:left="360"/>
        <w:rPr>
          <w:sz w:val="24"/>
          <w:szCs w:val="24"/>
        </w:rPr>
      </w:pPr>
      <w:r w:rsidRPr="00FD76F6">
        <w:rPr>
          <w:sz w:val="24"/>
          <w:szCs w:val="24"/>
        </w:rPr>
        <w:t>General Description</w:t>
      </w:r>
    </w:p>
    <w:p w:rsidR="008E0B94" w:rsidRDefault="008E0B94" w:rsidP="009664BC">
      <w:pPr>
        <w:ind w:left="360"/>
        <w:rPr>
          <w:sz w:val="28"/>
        </w:rPr>
      </w:pPr>
    </w:p>
    <w:p w:rsidR="00A8512E" w:rsidRDefault="008E0B94" w:rsidP="00FD76F6">
      <w:pPr>
        <w:widowControl w:val="0"/>
        <w:ind w:left="360"/>
      </w:pPr>
      <w:r>
        <w:t xml:space="preserve">The Commission’s Admission-Readmission Revenue (ARR) arrangement is a voluntary revenue constraint program developed by the </w:t>
      </w:r>
      <w:r w:rsidR="00A8512E">
        <w:t>HSCRC</w:t>
      </w:r>
      <w:r w:rsidR="00CB2693">
        <w:t>,</w:t>
      </w:r>
      <w:r w:rsidR="00A8512E">
        <w:t xml:space="preserve"> </w:t>
      </w:r>
      <w:r>
        <w:t>which provides hospitals with a financial incentive to more effectively coordinate care and reduce unnecessar</w:t>
      </w:r>
      <w:r w:rsidR="00623621">
        <w:t>y readmissions to their facilities</w:t>
      </w:r>
      <w:r>
        <w:t xml:space="preserve">. ARR arrangements apply to regulated hospital inpatient services and charges only. The methodology results in the establishment of </w:t>
      </w:r>
      <w:r w:rsidR="00A94F59">
        <w:t xml:space="preserve">an </w:t>
      </w:r>
      <w:r w:rsidR="00851333">
        <w:t>Admission-Readmission Revenue</w:t>
      </w:r>
      <w:r>
        <w:t xml:space="preserve"> constraint, which builds upon </w:t>
      </w:r>
      <w:r w:rsidR="009664BC">
        <w:t>each</w:t>
      </w:r>
      <w:r>
        <w:t xml:space="preserve"> </w:t>
      </w:r>
      <w:r w:rsidR="00D9103D">
        <w:t>H</w:t>
      </w:r>
      <w:r>
        <w:t>ospital’s HSCRC</w:t>
      </w:r>
      <w:r w:rsidR="00A8512E">
        <w:t xml:space="preserve"> approved inpatient unit rates.</w:t>
      </w:r>
      <w:r>
        <w:t xml:space="preserve"> The </w:t>
      </w:r>
      <w:r w:rsidR="00851333">
        <w:t>ARR</w:t>
      </w:r>
      <w:r w:rsidR="00EE6F4F">
        <w:t xml:space="preserve"> agreement </w:t>
      </w:r>
      <w:r>
        <w:t xml:space="preserve">imposes a case mix adjusted standard </w:t>
      </w:r>
      <w:r w:rsidR="00132545">
        <w:t xml:space="preserve">bundled </w:t>
      </w:r>
      <w:r w:rsidR="00AE1B0D">
        <w:t>Admission-Readmission Charge P</w:t>
      </w:r>
      <w:r w:rsidR="00A94F59">
        <w:t xml:space="preserve">er Episode (ARR-CPE) </w:t>
      </w:r>
      <w:r>
        <w:t xml:space="preserve">target for </w:t>
      </w:r>
      <w:r w:rsidR="00A94F59">
        <w:t xml:space="preserve">each </w:t>
      </w:r>
      <w:r w:rsidR="00D9103D">
        <w:t>H</w:t>
      </w:r>
      <w:r w:rsidR="00A94F59">
        <w:t>ospital</w:t>
      </w:r>
      <w:r w:rsidR="00CB2693">
        <w:t>, as identified above</w:t>
      </w:r>
      <w:r>
        <w:t>, which applies to inpatient admissio</w:t>
      </w:r>
      <w:r w:rsidR="00623621">
        <w:t>ns and subsequent readmissions.</w:t>
      </w:r>
    </w:p>
    <w:p w:rsidR="00A8512E" w:rsidRDefault="00A8512E" w:rsidP="00FD76F6">
      <w:pPr>
        <w:widowControl w:val="0"/>
        <w:ind w:left="360"/>
      </w:pPr>
    </w:p>
    <w:p w:rsidR="008E0B94" w:rsidRPr="005D39F3" w:rsidRDefault="008E0B94" w:rsidP="00FD76F6">
      <w:pPr>
        <w:widowControl w:val="0"/>
        <w:ind w:left="360"/>
      </w:pPr>
      <w:r w:rsidRPr="005D39F3">
        <w:t xml:space="preserve">An inpatient case is considered a readmission to </w:t>
      </w:r>
      <w:r w:rsidR="00D9103D">
        <w:t>the H</w:t>
      </w:r>
      <w:r w:rsidRPr="005D39F3">
        <w:t xml:space="preserve">ospital if the patient is admitted to the same facility </w:t>
      </w:r>
      <w:r w:rsidR="002A3EE5">
        <w:t>(</w:t>
      </w:r>
      <w:r w:rsidR="00BB0C88">
        <w:t>intra-hospital readmission)</w:t>
      </w:r>
      <w:r w:rsidR="008D5E77">
        <w:t xml:space="preserve">, or another hospital in the same Hospital System (intra-system readmission in the case where </w:t>
      </w:r>
      <w:r w:rsidR="00943742">
        <w:t>linked s</w:t>
      </w:r>
      <w:r w:rsidR="008D5E77">
        <w:t xml:space="preserve">ystem </w:t>
      </w:r>
      <w:r w:rsidR="00943742">
        <w:t>h</w:t>
      </w:r>
      <w:r w:rsidR="008D5E77">
        <w:t xml:space="preserve">ospitals are treated as a single entity for purposes of this methodology) </w:t>
      </w:r>
      <w:r w:rsidRPr="005D39F3">
        <w:t xml:space="preserve">within 30 days of the </w:t>
      </w:r>
      <w:r w:rsidR="00211B0D" w:rsidRPr="005D39F3">
        <w:t xml:space="preserve">discharge of the </w:t>
      </w:r>
      <w:r w:rsidR="00432B29" w:rsidRPr="005D39F3">
        <w:t>initial admission of the same</w:t>
      </w:r>
      <w:r w:rsidRPr="005D39F3">
        <w:t xml:space="preserve"> patient</w:t>
      </w:r>
      <w:r w:rsidR="009664BC">
        <w:t>.</w:t>
      </w:r>
    </w:p>
    <w:p w:rsidR="008E0B94" w:rsidRDefault="008E0B94" w:rsidP="00FD76F6">
      <w:pPr>
        <w:widowControl w:val="0"/>
        <w:ind w:left="360"/>
      </w:pPr>
    </w:p>
    <w:p w:rsidR="008E0B94" w:rsidRDefault="005D39F3" w:rsidP="00FD76F6">
      <w:pPr>
        <w:widowControl w:val="0"/>
        <w:ind w:left="360"/>
      </w:pPr>
      <w:r>
        <w:t>T</w:t>
      </w:r>
      <w:r w:rsidR="008E0B94">
        <w:t xml:space="preserve">his agreement </w:t>
      </w:r>
      <w:r w:rsidR="00E72419">
        <w:t xml:space="preserve">supplements </w:t>
      </w:r>
      <w:r w:rsidR="009664BC">
        <w:t>each</w:t>
      </w:r>
      <w:r w:rsidR="00E72419">
        <w:t xml:space="preserve"> </w:t>
      </w:r>
      <w:r w:rsidR="00524FEB">
        <w:t>Hospital</w:t>
      </w:r>
      <w:r w:rsidR="00CB2693">
        <w:t>'</w:t>
      </w:r>
      <w:r w:rsidR="00BB0C88">
        <w:t xml:space="preserve">s current </w:t>
      </w:r>
      <w:r w:rsidR="00AE1B0D">
        <w:t>C</w:t>
      </w:r>
      <w:r w:rsidR="003A3444">
        <w:t xml:space="preserve">harge </w:t>
      </w:r>
      <w:r w:rsidR="00AE1B0D">
        <w:t>P</w:t>
      </w:r>
      <w:r w:rsidR="003A3444">
        <w:t xml:space="preserve">er </w:t>
      </w:r>
      <w:r w:rsidR="00AE1B0D">
        <w:t>C</w:t>
      </w:r>
      <w:r w:rsidR="003A3444">
        <w:t xml:space="preserve">ase (CPC) </w:t>
      </w:r>
      <w:r w:rsidR="009664BC">
        <w:t>agreement.</w:t>
      </w:r>
    </w:p>
    <w:p w:rsidR="008E0B94" w:rsidRDefault="008E0B94" w:rsidP="009664BC">
      <w:pPr>
        <w:ind w:left="360"/>
        <w:rPr>
          <w:b/>
        </w:rPr>
      </w:pPr>
    </w:p>
    <w:p w:rsidR="00FD76F6" w:rsidRPr="00FD76F6" w:rsidRDefault="00FD76F6" w:rsidP="009664BC">
      <w:pPr>
        <w:ind w:left="360"/>
        <w:rPr>
          <w:b/>
        </w:rPr>
      </w:pPr>
    </w:p>
    <w:p w:rsidR="00FD76F6" w:rsidRPr="00FD76F6" w:rsidRDefault="00FD76F6" w:rsidP="00FD76F6">
      <w:pPr>
        <w:pStyle w:val="ListParagraph"/>
        <w:numPr>
          <w:ilvl w:val="0"/>
          <w:numId w:val="28"/>
        </w:numPr>
        <w:tabs>
          <w:tab w:val="left" w:pos="360"/>
        </w:tabs>
        <w:ind w:left="360"/>
        <w:rPr>
          <w:b/>
        </w:rPr>
      </w:pPr>
      <w:r>
        <w:rPr>
          <w:b/>
        </w:rPr>
        <w:t>Contract Period</w:t>
      </w:r>
    </w:p>
    <w:p w:rsidR="00FD76F6" w:rsidRDefault="00FD76F6" w:rsidP="008E0B94">
      <w:pPr>
        <w:rPr>
          <w:b/>
        </w:rPr>
      </w:pPr>
    </w:p>
    <w:p w:rsidR="00FD76F6" w:rsidRDefault="00FD76F6" w:rsidP="00FD76F6">
      <w:pPr>
        <w:ind w:left="360"/>
      </w:pPr>
      <w:r>
        <w:t xml:space="preserve">This ARR agreement </w:t>
      </w:r>
      <w:r w:rsidR="009664BC">
        <w:t xml:space="preserve">is </w:t>
      </w:r>
      <w:r>
        <w:t>in effect for three years, beginning July 1, 2011 and ending June 30, 2014, unless extended by written mutual agreement between the Hospital</w:t>
      </w:r>
      <w:r w:rsidR="00D9103D">
        <w:t>/Hospital Sy</w:t>
      </w:r>
      <w:r>
        <w:t>s</w:t>
      </w:r>
      <w:r w:rsidR="00D9103D">
        <w:t>tem</w:t>
      </w:r>
      <w:r>
        <w:t xml:space="preserve"> and the </w:t>
      </w:r>
      <w:r w:rsidRPr="005D39F3">
        <w:t xml:space="preserve">HSCRC. </w:t>
      </w:r>
      <w:r>
        <w:t>The HSCRC will use June</w:t>
      </w:r>
      <w:r w:rsidRPr="005D39F3">
        <w:t xml:space="preserve"> 2011 as the pre-period to identify initial </w:t>
      </w:r>
      <w:r>
        <w:t xml:space="preserve">admissions that are discharged </w:t>
      </w:r>
      <w:r w:rsidR="002A0AFD">
        <w:t xml:space="preserve">in June 2011 </w:t>
      </w:r>
      <w:r w:rsidRPr="005D39F3">
        <w:t xml:space="preserve">but associated with readmissions during </w:t>
      </w:r>
      <w:r>
        <w:t xml:space="preserve">July </w:t>
      </w:r>
      <w:r w:rsidRPr="005D39F3">
        <w:t>2011</w:t>
      </w:r>
      <w:r>
        <w:t>.</w:t>
      </w:r>
    </w:p>
    <w:p w:rsidR="009664BC" w:rsidRDefault="009664BC" w:rsidP="00FD76F6">
      <w:pPr>
        <w:ind w:left="360"/>
      </w:pPr>
    </w:p>
    <w:p w:rsidR="009664BC" w:rsidRPr="009664BC" w:rsidRDefault="009664BC" w:rsidP="009664BC">
      <w:pPr>
        <w:pStyle w:val="ListParagraph"/>
        <w:ind w:left="360"/>
      </w:pPr>
      <w:r w:rsidRPr="008646B8">
        <w:t xml:space="preserve">Section </w:t>
      </w:r>
      <w:r w:rsidR="002A3EE5" w:rsidRPr="008646B8">
        <w:t>IV</w:t>
      </w:r>
      <w:r w:rsidRPr="008646B8">
        <w:t xml:space="preserve"> of</w:t>
      </w:r>
      <w:r>
        <w:t xml:space="preserve"> this agreement describes modification</w:t>
      </w:r>
      <w:r w:rsidRPr="009664BC">
        <w:t xml:space="preserve"> and </w:t>
      </w:r>
      <w:r>
        <w:t>c</w:t>
      </w:r>
      <w:r w:rsidRPr="009664BC">
        <w:t xml:space="preserve">ancellation </w:t>
      </w:r>
      <w:r>
        <w:t>p</w:t>
      </w:r>
      <w:r w:rsidRPr="009664BC">
        <w:t>rovisions</w:t>
      </w:r>
      <w:r>
        <w:t>.</w:t>
      </w:r>
    </w:p>
    <w:p w:rsidR="009664BC" w:rsidRDefault="009664BC" w:rsidP="00FD76F6">
      <w:pPr>
        <w:ind w:left="360"/>
        <w:rPr>
          <w:b/>
        </w:rPr>
      </w:pPr>
    </w:p>
    <w:p w:rsidR="00FD76F6" w:rsidRDefault="00FD76F6" w:rsidP="008E0B94">
      <w:pPr>
        <w:rPr>
          <w:b/>
        </w:rPr>
      </w:pPr>
    </w:p>
    <w:p w:rsidR="00FD76F6" w:rsidRDefault="00FD76F6" w:rsidP="00FD76F6">
      <w:pPr>
        <w:pStyle w:val="ListParagraph"/>
        <w:numPr>
          <w:ilvl w:val="0"/>
          <w:numId w:val="28"/>
        </w:numPr>
        <w:tabs>
          <w:tab w:val="left" w:pos="360"/>
        </w:tabs>
        <w:ind w:left="360"/>
        <w:rPr>
          <w:b/>
        </w:rPr>
      </w:pPr>
      <w:r>
        <w:rPr>
          <w:b/>
        </w:rPr>
        <w:t>Methodology</w:t>
      </w:r>
    </w:p>
    <w:p w:rsidR="009664BC" w:rsidRDefault="009664BC" w:rsidP="009664BC">
      <w:pPr>
        <w:pStyle w:val="ListParagraph"/>
        <w:tabs>
          <w:tab w:val="left" w:pos="360"/>
        </w:tabs>
        <w:ind w:left="360"/>
        <w:rPr>
          <w:b/>
        </w:rPr>
      </w:pPr>
    </w:p>
    <w:p w:rsidR="00B87E6C" w:rsidRPr="009664BC" w:rsidRDefault="009664BC" w:rsidP="009664BC">
      <w:pPr>
        <w:pStyle w:val="ListParagraph"/>
        <w:tabs>
          <w:tab w:val="left" w:pos="360"/>
        </w:tabs>
        <w:ind w:left="360"/>
      </w:pPr>
      <w:r>
        <w:lastRenderedPageBreak/>
        <w:t xml:space="preserve">This section outlines the </w:t>
      </w:r>
      <w:r w:rsidR="00442438">
        <w:t>ARR methodology. Details of the ARR methodology are available in the “</w:t>
      </w:r>
      <w:r w:rsidR="00130B72">
        <w:t xml:space="preserve">Admission-Readmission Revenue </w:t>
      </w:r>
      <w:r w:rsidR="00442438">
        <w:t>Operational Policy Guidelines” located on the Commission website</w:t>
      </w:r>
      <w:r w:rsidR="00CB2693">
        <w:t xml:space="preserve"> and incorporated herein</w:t>
      </w:r>
      <w:r w:rsidR="00442438">
        <w:t>.</w:t>
      </w:r>
      <w:r w:rsidR="004651AA">
        <w:t xml:space="preserve"> This document may change from time to time.</w:t>
      </w:r>
      <w:r w:rsidR="00B87E6C">
        <w:t xml:space="preserve"> HSCRC staff will discuss potential updates and modifications to the Operational Policy Guidelines </w:t>
      </w:r>
      <w:r w:rsidR="00F03BB1">
        <w:t>in</w:t>
      </w:r>
      <w:r w:rsidR="00B87E6C">
        <w:t xml:space="preserve"> a public ARR workgroup</w:t>
      </w:r>
      <w:r w:rsidR="000C744A">
        <w:t xml:space="preserve"> prior to their adoption.</w:t>
      </w:r>
      <w:r w:rsidR="000C744A">
        <w:rPr>
          <w:rStyle w:val="FootnoteReference"/>
        </w:rPr>
        <w:footnoteReference w:id="1"/>
      </w:r>
      <w:r w:rsidR="00B87E6C">
        <w:t xml:space="preserve"> </w:t>
      </w:r>
      <w:r w:rsidR="00AE1B0D">
        <w:t xml:space="preserve">The </w:t>
      </w:r>
      <w:r w:rsidR="00B87E6C">
        <w:t>HSCRC will clearly document any updates and modifications</w:t>
      </w:r>
      <w:r w:rsidR="00705C50">
        <w:t xml:space="preserve"> to the Operational Policy Guidelines</w:t>
      </w:r>
      <w:r w:rsidR="00B87E6C">
        <w:t>.</w:t>
      </w:r>
    </w:p>
    <w:p w:rsidR="00FD76F6" w:rsidRDefault="00FD76F6" w:rsidP="00FD76F6">
      <w:pPr>
        <w:pStyle w:val="ListParagraph"/>
        <w:tabs>
          <w:tab w:val="left" w:pos="360"/>
        </w:tabs>
        <w:ind w:left="360"/>
        <w:rPr>
          <w:b/>
        </w:rPr>
      </w:pPr>
    </w:p>
    <w:p w:rsidR="002A3EE5" w:rsidRDefault="00AE7E4B" w:rsidP="00FD76F6">
      <w:pPr>
        <w:pStyle w:val="ListParagraph"/>
        <w:tabs>
          <w:tab w:val="left" w:pos="360"/>
        </w:tabs>
        <w:ind w:left="360"/>
      </w:pPr>
      <w:r>
        <w:t xml:space="preserve">Under the Commission’s CPC system, permanent included revenue is divided among total included discharges to generate the </w:t>
      </w:r>
      <w:r w:rsidR="003A3444">
        <w:t>CPC</w:t>
      </w:r>
      <w:r>
        <w:t xml:space="preserve"> target. Under this ARR agreement, the permanent included revenue will be redefined as </w:t>
      </w:r>
      <w:r w:rsidR="00CB2693">
        <w:t xml:space="preserve">the </w:t>
      </w:r>
      <w:r>
        <w:t xml:space="preserve">ARR-CPE target, where an episode </w:t>
      </w:r>
      <w:r w:rsidR="002A3EE5">
        <w:t>is defined as</w:t>
      </w:r>
      <w:r>
        <w:t xml:space="preserve"> </w:t>
      </w:r>
      <w:r w:rsidR="003A3444">
        <w:t xml:space="preserve">an initial admission of a patient and any subsequent readmissions to the same facility, or linked system hospitals, </w:t>
      </w:r>
      <w:r w:rsidR="003A3444" w:rsidRPr="007B782F">
        <w:t>within 30 days of the discharge of the initial admission of the same patient</w:t>
      </w:r>
      <w:r w:rsidR="003A3444">
        <w:t>.</w:t>
      </w:r>
    </w:p>
    <w:p w:rsidR="003A3444" w:rsidRDefault="003A3444" w:rsidP="00FD76F6">
      <w:pPr>
        <w:pStyle w:val="ListParagraph"/>
        <w:tabs>
          <w:tab w:val="left" w:pos="360"/>
        </w:tabs>
        <w:ind w:left="360"/>
      </w:pPr>
    </w:p>
    <w:p w:rsidR="00AE7E4B" w:rsidRDefault="00AE7E4B" w:rsidP="00FD76F6">
      <w:pPr>
        <w:pStyle w:val="ListParagraph"/>
        <w:tabs>
          <w:tab w:val="left" w:pos="360"/>
        </w:tabs>
        <w:ind w:left="360"/>
        <w:rPr>
          <w:b/>
        </w:rPr>
      </w:pPr>
      <w:r>
        <w:t xml:space="preserve">If </w:t>
      </w:r>
      <w:r w:rsidR="00B064E8">
        <w:t>the</w:t>
      </w:r>
      <w:r w:rsidR="00E27E9F">
        <w:t xml:space="preserve"> Hospital</w:t>
      </w:r>
      <w:r>
        <w:t xml:space="preserve"> can successfully reduce intra-hospital </w:t>
      </w:r>
      <w:r w:rsidR="00E27E9F">
        <w:t>readmissions (or intra-system readmissions, where applicable)</w:t>
      </w:r>
      <w:r>
        <w:t xml:space="preserve">, the established </w:t>
      </w:r>
      <w:r w:rsidR="00E27E9F">
        <w:t xml:space="preserve">ARR-CPE </w:t>
      </w:r>
      <w:r w:rsidR="00B064E8">
        <w:t xml:space="preserve">target </w:t>
      </w:r>
      <w:r w:rsidR="00E27E9F">
        <w:t>remains unchanged.</w:t>
      </w:r>
      <w:r w:rsidR="0081511A" w:rsidRPr="0081511A">
        <w:rPr>
          <w:rStyle w:val="FootnoteReference"/>
        </w:rPr>
        <w:t xml:space="preserve"> </w:t>
      </w:r>
      <w:r w:rsidR="0081511A">
        <w:rPr>
          <w:rStyle w:val="FootnoteReference"/>
        </w:rPr>
        <w:footnoteReference w:id="2"/>
      </w:r>
      <w:r w:rsidR="00E27E9F">
        <w:t xml:space="preserve"> The Hospital</w:t>
      </w:r>
      <w:r>
        <w:t xml:space="preserve"> can generate productivity gains and associated savings </w:t>
      </w:r>
      <w:r w:rsidR="00E27E9F">
        <w:t xml:space="preserve">by maintaining </w:t>
      </w:r>
      <w:r>
        <w:t xml:space="preserve">existing revenue (as authorized under </w:t>
      </w:r>
      <w:r w:rsidR="00E27E9F">
        <w:t xml:space="preserve">the </w:t>
      </w:r>
      <w:r>
        <w:t>approved ARR</w:t>
      </w:r>
      <w:r w:rsidR="00E27E9F">
        <w:t>-CPE</w:t>
      </w:r>
      <w:r>
        <w:t>)</w:t>
      </w:r>
      <w:r w:rsidR="00CB2693">
        <w:t>,</w:t>
      </w:r>
      <w:r>
        <w:t xml:space="preserve"> </w:t>
      </w:r>
      <w:r w:rsidR="003A3444">
        <w:t>while eliminating</w:t>
      </w:r>
      <w:r>
        <w:t xml:space="preserve"> the costs associated with intra-hospital</w:t>
      </w:r>
      <w:r w:rsidR="00E27E9F">
        <w:t>/intra-system</w:t>
      </w:r>
      <w:r>
        <w:t xml:space="preserve"> readmissions.</w:t>
      </w:r>
    </w:p>
    <w:p w:rsidR="00AE7E4B" w:rsidRPr="00FD76F6" w:rsidRDefault="00AE7E4B" w:rsidP="00FD76F6">
      <w:pPr>
        <w:pStyle w:val="ListParagraph"/>
        <w:tabs>
          <w:tab w:val="left" w:pos="360"/>
        </w:tabs>
        <w:ind w:left="360"/>
        <w:rPr>
          <w:b/>
        </w:rPr>
      </w:pPr>
    </w:p>
    <w:p w:rsidR="008E0B94" w:rsidRPr="00FD76F6" w:rsidRDefault="008E0B94" w:rsidP="00FD76F6">
      <w:pPr>
        <w:pStyle w:val="ListParagraph"/>
        <w:numPr>
          <w:ilvl w:val="0"/>
          <w:numId w:val="29"/>
        </w:numPr>
        <w:rPr>
          <w:b/>
        </w:rPr>
      </w:pPr>
      <w:r w:rsidRPr="00FD76F6">
        <w:rPr>
          <w:b/>
        </w:rPr>
        <w:t xml:space="preserve">Covered </w:t>
      </w:r>
      <w:r w:rsidR="00442438">
        <w:rPr>
          <w:b/>
        </w:rPr>
        <w:t>Cases</w:t>
      </w:r>
      <w:r w:rsidR="007A0B8B">
        <w:rPr>
          <w:b/>
        </w:rPr>
        <w:t xml:space="preserve"> and Case Exclusions</w:t>
      </w:r>
    </w:p>
    <w:p w:rsidR="008E0B94" w:rsidRDefault="008E0B94" w:rsidP="008E0B94"/>
    <w:p w:rsidR="007A0B8B" w:rsidRDefault="00FD76F6" w:rsidP="00FD76F6">
      <w:pPr>
        <w:ind w:left="720"/>
      </w:pPr>
      <w:r w:rsidRPr="005D39F3">
        <w:t>The cases to be included in this agreement are cases included in th</w:t>
      </w:r>
      <w:r w:rsidR="007A0B8B">
        <w:t>e Commission’s CPC methodology.</w:t>
      </w:r>
    </w:p>
    <w:p w:rsidR="007A0B8B" w:rsidRDefault="007A0B8B" w:rsidP="00FD76F6">
      <w:pPr>
        <w:ind w:left="720"/>
      </w:pPr>
    </w:p>
    <w:p w:rsidR="00AE7E4B" w:rsidRDefault="00FD76F6" w:rsidP="00FD76F6">
      <w:pPr>
        <w:ind w:left="720"/>
      </w:pPr>
      <w:r w:rsidRPr="005D39F3">
        <w:t xml:space="preserve">Categorical exclusions from the CPC methodology </w:t>
      </w:r>
      <w:r w:rsidR="00A94F59" w:rsidRPr="005D39F3">
        <w:t xml:space="preserve">will </w:t>
      </w:r>
      <w:r w:rsidR="00A94F59">
        <w:t xml:space="preserve">also </w:t>
      </w:r>
      <w:r w:rsidR="00A94F59" w:rsidRPr="005D39F3">
        <w:t xml:space="preserve">be </w:t>
      </w:r>
      <w:r w:rsidR="00A94F59">
        <w:t>excluded from the ARR methodology</w:t>
      </w:r>
      <w:r w:rsidR="007A0B8B">
        <w:t>.</w:t>
      </w:r>
      <w:r w:rsidRPr="005D39F3">
        <w:t xml:space="preserve"> </w:t>
      </w:r>
      <w:r w:rsidR="007A0B8B">
        <w:t>For example, zero and one-day stay cases are excluded from the CPC methodology</w:t>
      </w:r>
      <w:r w:rsidR="00235EAE">
        <w:t xml:space="preserve"> for rate year 2012</w:t>
      </w:r>
      <w:r w:rsidR="007A0B8B">
        <w:t>; therefore, zero and one-day stay cases are excluded from the ARR methodology</w:t>
      </w:r>
      <w:r w:rsidR="00235EAE">
        <w:t xml:space="preserve"> for rate year 2012</w:t>
      </w:r>
      <w:r w:rsidR="007A0B8B">
        <w:t>.</w:t>
      </w:r>
      <w:r w:rsidR="00AE7E4B">
        <w:t xml:space="preserve"> </w:t>
      </w:r>
      <w:r w:rsidR="00575477">
        <w:t xml:space="preserve">Consistent with CPC methodology, outlier cases will have their charges reduced to the trim-point for </w:t>
      </w:r>
      <w:r w:rsidR="00575477" w:rsidRPr="0029742F">
        <w:t>weight setting, CMI calculation, and CPC/CPE target calculation.</w:t>
      </w:r>
      <w:r w:rsidR="00AE7E4B">
        <w:t xml:space="preserve"> </w:t>
      </w:r>
    </w:p>
    <w:p w:rsidR="007A0B8B" w:rsidRDefault="007A0B8B" w:rsidP="00FD76F6">
      <w:pPr>
        <w:ind w:left="720"/>
      </w:pPr>
    </w:p>
    <w:p w:rsidR="00FD76F6" w:rsidRDefault="00AE1B0D" w:rsidP="00FD76F6">
      <w:pPr>
        <w:ind w:left="720"/>
      </w:pPr>
      <w:r>
        <w:t>Details regarding c</w:t>
      </w:r>
      <w:r w:rsidR="00FD76F6" w:rsidRPr="005D39F3">
        <w:t>ases exempt from this arrangement are specified in the Operational Policy Guidelines document.</w:t>
      </w:r>
    </w:p>
    <w:p w:rsidR="008E0B94" w:rsidRDefault="008E0B94" w:rsidP="00FD76F6">
      <w:pPr>
        <w:ind w:left="720"/>
      </w:pPr>
    </w:p>
    <w:p w:rsidR="009664BC" w:rsidRDefault="009664BC" w:rsidP="00FD76F6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ARR</w:t>
      </w:r>
      <w:r w:rsidR="00235EAE">
        <w:rPr>
          <w:b/>
        </w:rPr>
        <w:t xml:space="preserve"> Episode of Care</w:t>
      </w:r>
      <w:r>
        <w:rPr>
          <w:b/>
        </w:rPr>
        <w:t xml:space="preserve"> Definition</w:t>
      </w:r>
    </w:p>
    <w:p w:rsidR="009664BC" w:rsidRDefault="009664BC" w:rsidP="007A0B8B">
      <w:pPr>
        <w:pStyle w:val="ListParagraph"/>
        <w:rPr>
          <w:b/>
        </w:rPr>
      </w:pPr>
    </w:p>
    <w:p w:rsidR="00235EAE" w:rsidRDefault="00235EAE" w:rsidP="007A0B8B">
      <w:pPr>
        <w:ind w:left="720"/>
      </w:pPr>
      <w:r>
        <w:t xml:space="preserve">An </w:t>
      </w:r>
      <w:r w:rsidR="00E04F75">
        <w:t>ARR Episode of Care (</w:t>
      </w:r>
      <w:r>
        <w:t>ARR-EOC</w:t>
      </w:r>
      <w:r w:rsidR="00E04F75">
        <w:t>)</w:t>
      </w:r>
      <w:r>
        <w:t xml:space="preserve"> is an initial admission of a patient and any subsequent readmission</w:t>
      </w:r>
      <w:r w:rsidR="00E04F75">
        <w:t>s</w:t>
      </w:r>
      <w:r>
        <w:t xml:space="preserve"> to the same facility, or linked system </w:t>
      </w:r>
      <w:r w:rsidR="00E56519">
        <w:t>hospitals</w:t>
      </w:r>
      <w:r>
        <w:t xml:space="preserve">, </w:t>
      </w:r>
      <w:r w:rsidRPr="007B782F">
        <w:t>within 30 days of the discharge of the initial admission of the same patient</w:t>
      </w:r>
      <w:r>
        <w:t xml:space="preserve">. </w:t>
      </w:r>
    </w:p>
    <w:p w:rsidR="00235EAE" w:rsidRDefault="00235EAE" w:rsidP="007A0B8B">
      <w:pPr>
        <w:ind w:left="720"/>
      </w:pPr>
    </w:p>
    <w:p w:rsidR="007A0B8B" w:rsidRDefault="00235EAE" w:rsidP="00235EAE">
      <w:pPr>
        <w:ind w:left="720"/>
      </w:pPr>
      <w:r>
        <w:lastRenderedPageBreak/>
        <w:t xml:space="preserve">The </w:t>
      </w:r>
      <w:r w:rsidR="00E56519">
        <w:t xml:space="preserve">30 </w:t>
      </w:r>
      <w:r w:rsidR="007A0B8B">
        <w:t xml:space="preserve">day </w:t>
      </w:r>
      <w:r>
        <w:t xml:space="preserve">period </w:t>
      </w:r>
      <w:r w:rsidR="007A0B8B">
        <w:t xml:space="preserve">applicable to an ARR-EOC begins upon discharge of the </w:t>
      </w:r>
      <w:r>
        <w:t>i</w:t>
      </w:r>
      <w:r w:rsidR="007A0B8B">
        <w:t xml:space="preserve">nitial </w:t>
      </w:r>
      <w:r>
        <w:t>a</w:t>
      </w:r>
      <w:r w:rsidR="007A0B8B">
        <w:t xml:space="preserve">dmission of a patient. If </w:t>
      </w:r>
      <w:r w:rsidR="00E56519">
        <w:t>that patient is readmitted with</w:t>
      </w:r>
      <w:r w:rsidR="007A0B8B">
        <w:t>in the 30 day window</w:t>
      </w:r>
      <w:r w:rsidR="00E56519">
        <w:t xml:space="preserve">, </w:t>
      </w:r>
      <w:r w:rsidR="007A0B8B">
        <w:t xml:space="preserve">regardless of the number of times, those readmissions are counted as </w:t>
      </w:r>
      <w:r>
        <w:t xml:space="preserve">part of the </w:t>
      </w:r>
      <w:r w:rsidR="003A3444">
        <w:t xml:space="preserve">single </w:t>
      </w:r>
      <w:r>
        <w:t>ARR-EOC.</w:t>
      </w:r>
    </w:p>
    <w:p w:rsidR="000379A0" w:rsidRDefault="000379A0" w:rsidP="00235EAE">
      <w:pPr>
        <w:ind w:left="720"/>
      </w:pPr>
    </w:p>
    <w:p w:rsidR="000379A0" w:rsidRDefault="000379A0" w:rsidP="00235EAE">
      <w:pPr>
        <w:ind w:left="720"/>
      </w:pPr>
      <w:r>
        <w:t xml:space="preserve">If a patient is admitted only once to </w:t>
      </w:r>
      <w:r w:rsidR="002C045C">
        <w:t>the H</w:t>
      </w:r>
      <w:r w:rsidR="00B21628">
        <w:t>ospital</w:t>
      </w:r>
      <w:r w:rsidR="003A3444">
        <w:t xml:space="preserve"> (or </w:t>
      </w:r>
      <w:r>
        <w:t>linked system hospital</w:t>
      </w:r>
      <w:r w:rsidR="003A3444">
        <w:t>)</w:t>
      </w:r>
      <w:r>
        <w:t xml:space="preserve"> during the 30 day period, the single admission (i.e., the initial and only admission) comprises the entire ARR-EOC. </w:t>
      </w:r>
      <w:r w:rsidR="002A3EE5">
        <w:t xml:space="preserve">In this agreement, all references to </w:t>
      </w:r>
      <w:r w:rsidR="00E44FAD" w:rsidRPr="00F331BC">
        <w:t>“</w:t>
      </w:r>
      <w:r w:rsidR="002A3EE5">
        <w:t>initial admissions</w:t>
      </w:r>
      <w:r w:rsidR="00E44FAD" w:rsidRPr="00F331BC">
        <w:t>”</w:t>
      </w:r>
      <w:r w:rsidR="002A3EE5">
        <w:t xml:space="preserve"> include both only admissions and initial admissions.</w:t>
      </w:r>
    </w:p>
    <w:p w:rsidR="00235EAE" w:rsidRDefault="00235EAE" w:rsidP="00235EAE">
      <w:pPr>
        <w:ind w:left="720"/>
      </w:pPr>
    </w:p>
    <w:p w:rsidR="00235EAE" w:rsidRDefault="00235EAE" w:rsidP="00235EAE">
      <w:pPr>
        <w:ind w:left="720"/>
      </w:pPr>
      <w:r>
        <w:t>Examples</w:t>
      </w:r>
      <w:r w:rsidR="00E56519">
        <w:t xml:space="preserve"> and </w:t>
      </w:r>
      <w:r>
        <w:t>illustrations of ARR-EOC</w:t>
      </w:r>
      <w:r w:rsidR="002C045C">
        <w:t>s</w:t>
      </w:r>
      <w:r>
        <w:t xml:space="preserve"> are </w:t>
      </w:r>
      <w:r w:rsidRPr="005D39F3">
        <w:t>specified in the Operational Policy Guidelines document.</w:t>
      </w:r>
      <w:r w:rsidR="00E56519">
        <w:t xml:space="preserve"> The </w:t>
      </w:r>
      <w:r w:rsidR="00E56519" w:rsidRPr="005D39F3">
        <w:t>Operational Policy Guidelines document</w:t>
      </w:r>
      <w:r w:rsidR="00E56519">
        <w:t xml:space="preserve"> also provides details of ARR-EOC exemptions, such as handling of transferred cases and discharges/admissions to/from special units within a hospital</w:t>
      </w:r>
      <w:r w:rsidR="00E04F75">
        <w:t>.</w:t>
      </w:r>
    </w:p>
    <w:p w:rsidR="00235EAE" w:rsidRDefault="00235EAE" w:rsidP="00235EAE">
      <w:pPr>
        <w:ind w:left="720"/>
      </w:pPr>
    </w:p>
    <w:p w:rsidR="00235EAE" w:rsidRDefault="00235EAE" w:rsidP="00235EAE">
      <w:pPr>
        <w:pStyle w:val="ListParagraph"/>
        <w:numPr>
          <w:ilvl w:val="0"/>
          <w:numId w:val="39"/>
        </w:numPr>
        <w:ind w:left="1080"/>
        <w:rPr>
          <w:b/>
        </w:rPr>
      </w:pPr>
      <w:r>
        <w:rPr>
          <w:b/>
        </w:rPr>
        <w:t xml:space="preserve">Linked System </w:t>
      </w:r>
      <w:r w:rsidR="00E56519">
        <w:rPr>
          <w:b/>
        </w:rPr>
        <w:t>Hospitals</w:t>
      </w:r>
    </w:p>
    <w:p w:rsidR="00235EAE" w:rsidRPr="00235EAE" w:rsidRDefault="00235EAE" w:rsidP="00235EAE">
      <w:pPr>
        <w:pStyle w:val="ListParagraph"/>
        <w:ind w:left="1080"/>
      </w:pPr>
    </w:p>
    <w:p w:rsidR="00235EAE" w:rsidRDefault="00B21628" w:rsidP="00235EAE">
      <w:pPr>
        <w:pStyle w:val="ListParagraph"/>
        <w:ind w:left="1080"/>
        <w:contextualSpacing w:val="0"/>
      </w:pPr>
      <w:r>
        <w:t>As agreed upon by the Hospitals and the HSCRC,</w:t>
      </w:r>
      <w:r w:rsidR="000379A0">
        <w:t xml:space="preserve"> </w:t>
      </w:r>
      <w:r>
        <w:t xml:space="preserve">the </w:t>
      </w:r>
      <w:r w:rsidR="000379A0">
        <w:t xml:space="preserve">HSCRC </w:t>
      </w:r>
      <w:r>
        <w:t xml:space="preserve">will </w:t>
      </w:r>
      <w:r w:rsidR="000379A0">
        <w:t xml:space="preserve">consider as a single entity for purposes of defining </w:t>
      </w:r>
      <w:r>
        <w:t>the</w:t>
      </w:r>
      <w:r w:rsidR="000379A0">
        <w:t xml:space="preserve"> ARR-EOC</w:t>
      </w:r>
      <w:r>
        <w:t>s</w:t>
      </w:r>
      <w:r w:rsidR="000379A0">
        <w:t xml:space="preserve"> </w:t>
      </w:r>
      <w:r>
        <w:t xml:space="preserve">specified </w:t>
      </w:r>
      <w:r w:rsidR="000379A0">
        <w:t>hospitals within a multi-hospital system</w:t>
      </w:r>
      <w:r>
        <w:t xml:space="preserve">. </w:t>
      </w:r>
      <w:r w:rsidR="00CB2693">
        <w:t xml:space="preserve">The Hospital System must complete Addendum A prior to executing this agreement. In </w:t>
      </w:r>
      <w:r w:rsidR="00E56519">
        <w:t>Addendum A</w:t>
      </w:r>
      <w:r w:rsidR="00CB2693">
        <w:t xml:space="preserve">, the Hospital Systems </w:t>
      </w:r>
      <w:r w:rsidR="00E56519">
        <w:t>lists</w:t>
      </w:r>
      <w:r w:rsidR="000379A0">
        <w:t xml:space="preserve"> those linked hospitals and specifies </w:t>
      </w:r>
      <w:r w:rsidR="00E04F75">
        <w:t xml:space="preserve">the </w:t>
      </w:r>
      <w:r w:rsidR="00E56519">
        <w:t>agreement years to which the linking is applicable.</w:t>
      </w:r>
      <w:r w:rsidR="000379A0">
        <w:t xml:space="preserve"> </w:t>
      </w:r>
      <w:r w:rsidR="00E56519">
        <w:t>Hospital</w:t>
      </w:r>
      <w:r w:rsidR="002C045C">
        <w:t xml:space="preserve"> Systems</w:t>
      </w:r>
      <w:r w:rsidR="00E56519">
        <w:t xml:space="preserve"> </w:t>
      </w:r>
      <w:r w:rsidR="00CB2693">
        <w:t xml:space="preserve">also </w:t>
      </w:r>
      <w:r w:rsidR="00E56519">
        <w:t xml:space="preserve">provide a </w:t>
      </w:r>
      <w:r w:rsidR="00235EAE">
        <w:t xml:space="preserve">description of the methodology used to link patient records </w:t>
      </w:r>
      <w:r w:rsidR="00E56519">
        <w:t>for linked system hospitals</w:t>
      </w:r>
      <w:r w:rsidR="00235EAE">
        <w:t>.</w:t>
      </w:r>
    </w:p>
    <w:p w:rsidR="00C93552" w:rsidRDefault="00C93552" w:rsidP="00235EAE">
      <w:pPr>
        <w:pStyle w:val="ListParagraph"/>
        <w:ind w:left="1080"/>
        <w:contextualSpacing w:val="0"/>
      </w:pPr>
    </w:p>
    <w:p w:rsidR="00C93552" w:rsidRDefault="00C93552" w:rsidP="00235EAE">
      <w:pPr>
        <w:pStyle w:val="ListParagraph"/>
        <w:ind w:left="1080"/>
        <w:contextualSpacing w:val="0"/>
      </w:pPr>
      <w:r>
        <w:t xml:space="preserve">Linked system hospitals </w:t>
      </w:r>
      <w:r w:rsidRPr="00870CB7">
        <w:t xml:space="preserve">must supply the HSCRC with data to track the patients readmitted between </w:t>
      </w:r>
      <w:r>
        <w:t>the H</w:t>
      </w:r>
      <w:r w:rsidRPr="00870CB7">
        <w:t xml:space="preserve">ospitals </w:t>
      </w:r>
      <w:r>
        <w:t xml:space="preserve">(e.g., a patient identifier crosswalk) </w:t>
      </w:r>
      <w:r w:rsidRPr="00870CB7">
        <w:t>on a quarterly basis parallel to the HSCRC inpatient data submission schedule.</w:t>
      </w:r>
    </w:p>
    <w:p w:rsidR="00223965" w:rsidRDefault="00223965" w:rsidP="00235EAE">
      <w:pPr>
        <w:pStyle w:val="ListParagraph"/>
        <w:ind w:left="1080"/>
        <w:contextualSpacing w:val="0"/>
      </w:pPr>
    </w:p>
    <w:p w:rsidR="00223965" w:rsidRDefault="00223965" w:rsidP="00235EAE">
      <w:pPr>
        <w:pStyle w:val="ListParagraph"/>
        <w:ind w:left="1080"/>
        <w:contextualSpacing w:val="0"/>
      </w:pPr>
      <w:r>
        <w:t xml:space="preserve">If the System Hospitals </w:t>
      </w:r>
      <w:r w:rsidRPr="00870CB7">
        <w:t xml:space="preserve">do not </w:t>
      </w:r>
      <w:r>
        <w:t xml:space="preserve">yet </w:t>
      </w:r>
      <w:r w:rsidRPr="00870CB7">
        <w:t xml:space="preserve">have the ability to </w:t>
      </w:r>
      <w:r>
        <w:t>track intra-system readmissions, the Hospital System must describe in Addendum A the planned method to establish tracking intra-</w:t>
      </w:r>
      <w:r w:rsidRPr="00141DD6">
        <w:t xml:space="preserve">system readmissions in year 1 </w:t>
      </w:r>
      <w:r w:rsidR="002A0AFD">
        <w:t>or in</w:t>
      </w:r>
      <w:r w:rsidRPr="00141DD6">
        <w:t xml:space="preserve"> subsequent years.</w:t>
      </w:r>
    </w:p>
    <w:p w:rsidR="00E56519" w:rsidRPr="000C0B83" w:rsidRDefault="00E56519" w:rsidP="00235EAE">
      <w:pPr>
        <w:pStyle w:val="ListParagraph"/>
        <w:ind w:left="1080"/>
        <w:contextualSpacing w:val="0"/>
      </w:pPr>
    </w:p>
    <w:p w:rsidR="008E0B94" w:rsidRPr="00FD76F6" w:rsidRDefault="008E0B94" w:rsidP="00FD76F6">
      <w:pPr>
        <w:pStyle w:val="ListParagraph"/>
        <w:numPr>
          <w:ilvl w:val="0"/>
          <w:numId w:val="29"/>
        </w:numPr>
        <w:rPr>
          <w:b/>
        </w:rPr>
      </w:pPr>
      <w:r w:rsidRPr="00FD76F6">
        <w:rPr>
          <w:b/>
        </w:rPr>
        <w:t>Risk Adjustment</w:t>
      </w:r>
      <w:r w:rsidR="00BB0C88" w:rsidRPr="00FD76F6">
        <w:rPr>
          <w:b/>
        </w:rPr>
        <w:t xml:space="preserve"> and Weight Development</w:t>
      </w:r>
    </w:p>
    <w:p w:rsidR="008E0B94" w:rsidRDefault="008E0B94" w:rsidP="00FD76F6">
      <w:pPr>
        <w:ind w:left="720"/>
      </w:pPr>
    </w:p>
    <w:p w:rsidR="00C57113" w:rsidRPr="00C57113" w:rsidRDefault="00E118A3" w:rsidP="00FD76F6">
      <w:pPr>
        <w:ind w:left="720"/>
      </w:pPr>
      <w:r w:rsidRPr="000A4C14">
        <w:t xml:space="preserve">In order to risk adjust, </w:t>
      </w:r>
      <w:r w:rsidR="000379A0">
        <w:t xml:space="preserve">the HSCRC will calculate </w:t>
      </w:r>
      <w:r w:rsidRPr="000A4C14">
        <w:t>statewide weights per current methodology (</w:t>
      </w:r>
      <w:r w:rsidR="000379A0">
        <w:t xml:space="preserve">i.e., </w:t>
      </w:r>
      <w:r w:rsidRPr="000A4C14">
        <w:t xml:space="preserve">using statewide data to establish </w:t>
      </w:r>
      <w:r w:rsidR="00E44FAD">
        <w:t xml:space="preserve">statewide </w:t>
      </w:r>
      <w:r w:rsidRPr="000A4C14">
        <w:t>weights by APR-DRG</w:t>
      </w:r>
      <w:r>
        <w:t>/</w:t>
      </w:r>
      <w:r w:rsidRPr="000A4C14">
        <w:t xml:space="preserve">SOI cell). </w:t>
      </w:r>
      <w:r w:rsidR="00E44FAD">
        <w:t>T</w:t>
      </w:r>
      <w:r w:rsidRPr="000A4C14">
        <w:t xml:space="preserve">he </w:t>
      </w:r>
      <w:r w:rsidR="000379A0">
        <w:t xml:space="preserve">HSCRC will </w:t>
      </w:r>
      <w:r w:rsidR="00C57113">
        <w:t xml:space="preserve">then </w:t>
      </w:r>
      <w:r w:rsidR="000379A0">
        <w:t xml:space="preserve">construct </w:t>
      </w:r>
      <w:r w:rsidR="00E44FAD">
        <w:t xml:space="preserve">statewide </w:t>
      </w:r>
      <w:r w:rsidRPr="000A4C14">
        <w:t>ARR</w:t>
      </w:r>
      <w:r w:rsidR="000379A0">
        <w:t xml:space="preserve"> </w:t>
      </w:r>
      <w:r w:rsidRPr="000A4C14">
        <w:t xml:space="preserve">weights for the entire </w:t>
      </w:r>
      <w:r w:rsidR="000379A0">
        <w:t xml:space="preserve">ARR-EOC. This </w:t>
      </w:r>
      <w:r w:rsidR="00CB2693">
        <w:t xml:space="preserve">methodology results in a </w:t>
      </w:r>
      <w:r w:rsidRPr="000A4C14">
        <w:t xml:space="preserve">weight </w:t>
      </w:r>
      <w:r w:rsidR="00CB2693">
        <w:t xml:space="preserve">that bundles </w:t>
      </w:r>
      <w:r w:rsidR="00C57113">
        <w:t>re</w:t>
      </w:r>
      <w:r w:rsidRPr="000A4C14">
        <w:t>admission</w:t>
      </w:r>
      <w:r w:rsidR="00C57113">
        <w:t xml:space="preserve">s with the case weight for the initial admissions. The HSCRC will classify the </w:t>
      </w:r>
      <w:r>
        <w:t>episodes by the APR-DRG/SOI of the initial admission in the episode</w:t>
      </w:r>
      <w:r>
        <w:rPr>
          <w:color w:val="00B050"/>
        </w:rPr>
        <w:t>.</w:t>
      </w:r>
    </w:p>
    <w:p w:rsidR="00C57113" w:rsidRDefault="00C57113" w:rsidP="00FD76F6">
      <w:pPr>
        <w:ind w:left="720"/>
        <w:rPr>
          <w:color w:val="00B050"/>
        </w:rPr>
      </w:pPr>
    </w:p>
    <w:p w:rsidR="00B064E8" w:rsidRDefault="008B0A1C" w:rsidP="00AE5E69">
      <w:pPr>
        <w:ind w:left="720"/>
      </w:pPr>
      <w:r>
        <w:t xml:space="preserve">In developing ARR weights, the HSCRC </w:t>
      </w:r>
      <w:r w:rsidR="00E118A3">
        <w:t>will seek to maintain a monotonic relationship of ARR weights across the severity levels for each APR-DRG (</w:t>
      </w:r>
      <w:r>
        <w:t xml:space="preserve">i.e., </w:t>
      </w:r>
      <w:r w:rsidR="006652B8">
        <w:t>i</w:t>
      </w:r>
      <w:r w:rsidR="00336FD3" w:rsidRPr="00DB1953">
        <w:t>f a SO</w:t>
      </w:r>
      <w:r>
        <w:t>I within an APR-DRG has a lower</w:t>
      </w:r>
      <w:r w:rsidR="00336FD3" w:rsidRPr="00DB1953">
        <w:t xml:space="preserve"> weight than a lower level SOI within that same APR-DRG, then the </w:t>
      </w:r>
      <w:r>
        <w:t xml:space="preserve">HSCRC will combine </w:t>
      </w:r>
      <w:r w:rsidR="00815F2A" w:rsidRPr="00DB1953">
        <w:t xml:space="preserve">applicable </w:t>
      </w:r>
      <w:r w:rsidR="00336FD3" w:rsidRPr="00DB1953">
        <w:t xml:space="preserve">SOI cells and </w:t>
      </w:r>
      <w:r>
        <w:t xml:space="preserve">develop a </w:t>
      </w:r>
      <w:r w:rsidR="00336FD3" w:rsidRPr="00DB1953">
        <w:t xml:space="preserve">common weight </w:t>
      </w:r>
      <w:r>
        <w:t xml:space="preserve">for the </w:t>
      </w:r>
      <w:r>
        <w:lastRenderedPageBreak/>
        <w:t xml:space="preserve">cells </w:t>
      </w:r>
      <w:r w:rsidR="00336FD3" w:rsidRPr="00DB1953">
        <w:t>using these combined data</w:t>
      </w:r>
      <w:r w:rsidR="00E118A3" w:rsidRPr="00DB1953">
        <w:t>)</w:t>
      </w:r>
      <w:r w:rsidR="00336FD3" w:rsidRPr="00DB1953">
        <w:t xml:space="preserve">. </w:t>
      </w:r>
      <w:r w:rsidR="00B064E8">
        <w:t>HSCRC will calculate the hospital-specific ARR case mix index (ARR-CMI) in the base year. See Attachment A for a sample calculation.</w:t>
      </w:r>
    </w:p>
    <w:p w:rsidR="00B064E8" w:rsidRDefault="00B064E8" w:rsidP="00AE5E69">
      <w:pPr>
        <w:ind w:left="720"/>
      </w:pPr>
    </w:p>
    <w:p w:rsidR="00AE5E69" w:rsidRDefault="00ED78C9" w:rsidP="00AE5E69">
      <w:pPr>
        <w:ind w:left="720"/>
      </w:pPr>
      <w:r>
        <w:t xml:space="preserve">Details </w:t>
      </w:r>
      <w:r w:rsidR="00E803A4">
        <w:t xml:space="preserve">are </w:t>
      </w:r>
      <w:r w:rsidRPr="005D39F3">
        <w:t>specified in the Operational Policy Guidelines document.</w:t>
      </w:r>
    </w:p>
    <w:p w:rsidR="00AE5E69" w:rsidRDefault="00AE5E69" w:rsidP="00AE5E69">
      <w:pPr>
        <w:ind w:left="720"/>
      </w:pPr>
    </w:p>
    <w:p w:rsidR="008E0B94" w:rsidRDefault="00E71E5D" w:rsidP="00AE5E69">
      <w:pPr>
        <w:ind w:left="720"/>
      </w:pPr>
      <w:r>
        <w:t xml:space="preserve">The HSCRC </w:t>
      </w:r>
      <w:r w:rsidR="008E0B94">
        <w:t xml:space="preserve">will </w:t>
      </w:r>
      <w:r>
        <w:t xml:space="preserve">monitor for </w:t>
      </w:r>
      <w:r w:rsidR="008E0B94">
        <w:t xml:space="preserve">substantial changes in the proportion of </w:t>
      </w:r>
      <w:r w:rsidR="008E16AB">
        <w:t xml:space="preserve">certain populations utilizing services at each </w:t>
      </w:r>
      <w:r w:rsidR="00CB2693">
        <w:t>H</w:t>
      </w:r>
      <w:r w:rsidR="008E16AB">
        <w:t xml:space="preserve">ospital. Populations </w:t>
      </w:r>
      <w:r w:rsidR="00CB2693">
        <w:t>include</w:t>
      </w:r>
      <w:r w:rsidR="008E16AB">
        <w:t xml:space="preserve">, the </w:t>
      </w:r>
      <w:r w:rsidR="008E0B94">
        <w:t xml:space="preserve">elderly, Medicaid </w:t>
      </w:r>
      <w:r w:rsidR="008E16AB">
        <w:t>as expected payer</w:t>
      </w:r>
      <w:r w:rsidR="008E0B94">
        <w:t xml:space="preserve">, and </w:t>
      </w:r>
      <w:r w:rsidR="008E16AB">
        <w:t xml:space="preserve">discharges </w:t>
      </w:r>
      <w:r w:rsidR="008E0B94">
        <w:t>with mental health</w:t>
      </w:r>
      <w:r w:rsidR="008E16AB">
        <w:t xml:space="preserve"> as a secondary diagnosis</w:t>
      </w:r>
      <w:r>
        <w:t xml:space="preserve">. </w:t>
      </w:r>
      <w:r w:rsidR="008E16AB">
        <w:t>As the</w:t>
      </w:r>
      <w:r w:rsidR="008E16AB" w:rsidRPr="005D39F3">
        <w:t>se</w:t>
      </w:r>
      <w:r w:rsidR="008E16AB">
        <w:t xml:space="preserve"> populations are associated with higher readmission rates, d</w:t>
      </w:r>
      <w:r>
        <w:t xml:space="preserve">emonstrated </w:t>
      </w:r>
      <w:r w:rsidR="008E16AB">
        <w:t>substantial</w:t>
      </w:r>
      <w:r>
        <w:t xml:space="preserve"> changes </w:t>
      </w:r>
      <w:r w:rsidR="008E0B94">
        <w:t xml:space="preserve">merit </w:t>
      </w:r>
      <w:r w:rsidR="008E16AB">
        <w:t xml:space="preserve">review by the HSCRC for potential </w:t>
      </w:r>
      <w:r w:rsidR="008E0B94">
        <w:t>adjustment.</w:t>
      </w:r>
    </w:p>
    <w:p w:rsidR="008B0A1C" w:rsidRDefault="008B0A1C" w:rsidP="005E3A54">
      <w:pPr>
        <w:ind w:left="1080"/>
      </w:pPr>
    </w:p>
    <w:p w:rsidR="008B0A1C" w:rsidRDefault="0022178D" w:rsidP="008B0A1C">
      <w:pPr>
        <w:pStyle w:val="Level2"/>
        <w:numPr>
          <w:ilvl w:val="0"/>
          <w:numId w:val="29"/>
        </w:numPr>
        <w:rPr>
          <w:b/>
        </w:rPr>
      </w:pPr>
      <w:r>
        <w:rPr>
          <w:b/>
        </w:rPr>
        <w:t xml:space="preserve">Calculation of </w:t>
      </w:r>
      <w:r w:rsidR="008B0A1C">
        <w:rPr>
          <w:b/>
        </w:rPr>
        <w:t xml:space="preserve">Hospital's </w:t>
      </w:r>
      <w:r w:rsidR="008B0A1C" w:rsidRPr="00FD76F6">
        <w:rPr>
          <w:b/>
        </w:rPr>
        <w:t>ARR-</w:t>
      </w:r>
      <w:r w:rsidR="008B0A1C">
        <w:rPr>
          <w:b/>
        </w:rPr>
        <w:t>CPE</w:t>
      </w:r>
    </w:p>
    <w:p w:rsidR="008B0A1C" w:rsidRPr="00FD76F6" w:rsidRDefault="008B0A1C" w:rsidP="008B0A1C">
      <w:pPr>
        <w:pStyle w:val="Level2"/>
        <w:ind w:left="720"/>
        <w:rPr>
          <w:b/>
        </w:rPr>
      </w:pPr>
    </w:p>
    <w:p w:rsidR="008B0A1C" w:rsidRPr="008646B8" w:rsidRDefault="008B0A1C" w:rsidP="008B0A1C">
      <w:pPr>
        <w:pStyle w:val="Level2"/>
        <w:ind w:left="720"/>
      </w:pPr>
      <w:r>
        <w:t xml:space="preserve">The HSCRC will calculate an approved ARR-CPE </w:t>
      </w:r>
      <w:r w:rsidR="006C2AC5">
        <w:t xml:space="preserve">for each Hospital </w:t>
      </w:r>
      <w:r>
        <w:t xml:space="preserve">using the following steps </w:t>
      </w:r>
      <w:r w:rsidRPr="008646B8">
        <w:t xml:space="preserve">(see Attachment </w:t>
      </w:r>
      <w:r w:rsidR="00E803A4" w:rsidRPr="008646B8">
        <w:t>B</w:t>
      </w:r>
      <w:r w:rsidRPr="008646B8">
        <w:t xml:space="preserve"> for sample calculation):</w:t>
      </w:r>
    </w:p>
    <w:p w:rsidR="008B0A1C" w:rsidRPr="008646B8" w:rsidRDefault="008B0A1C" w:rsidP="008B0A1C">
      <w:pPr>
        <w:pStyle w:val="Level2"/>
        <w:ind w:left="720"/>
      </w:pPr>
    </w:p>
    <w:p w:rsidR="008B0A1C" w:rsidRPr="008646B8" w:rsidRDefault="008B0A1C" w:rsidP="00CB5E60">
      <w:pPr>
        <w:pStyle w:val="ListParagraph"/>
        <w:numPr>
          <w:ilvl w:val="0"/>
          <w:numId w:val="43"/>
        </w:numPr>
      </w:pPr>
      <w:r w:rsidRPr="008646B8">
        <w:t xml:space="preserve">Calculate the </w:t>
      </w:r>
      <w:r w:rsidR="00B064E8" w:rsidRPr="008646B8">
        <w:t xml:space="preserve">hospital-specific </w:t>
      </w:r>
      <w:r w:rsidRPr="008646B8">
        <w:t>ARR</w:t>
      </w:r>
      <w:r w:rsidR="00E44FAD" w:rsidRPr="008646B8">
        <w:t xml:space="preserve">-CMI </w:t>
      </w:r>
      <w:r w:rsidRPr="008646B8">
        <w:t xml:space="preserve">using statewide weights </w:t>
      </w:r>
      <w:r w:rsidR="009B7740" w:rsidRPr="008646B8">
        <w:t xml:space="preserve">as described </w:t>
      </w:r>
      <w:r w:rsidRPr="008646B8">
        <w:t>in Section I</w:t>
      </w:r>
      <w:r w:rsidR="00D9103D" w:rsidRPr="008646B8">
        <w:t>I</w:t>
      </w:r>
      <w:r w:rsidRPr="008646B8">
        <w:t xml:space="preserve">I </w:t>
      </w:r>
      <w:r w:rsidR="00473859" w:rsidRPr="008646B8">
        <w:t xml:space="preserve">Paragraph </w:t>
      </w:r>
      <w:r w:rsidRPr="008646B8">
        <w:t>C</w:t>
      </w:r>
      <w:r w:rsidR="00473859" w:rsidRPr="008646B8">
        <w:t xml:space="preserve"> </w:t>
      </w:r>
      <w:r w:rsidRPr="008646B8">
        <w:t xml:space="preserve">applied </w:t>
      </w:r>
      <w:r w:rsidR="006C2AC5" w:rsidRPr="008646B8">
        <w:t>to initial admissions.</w:t>
      </w:r>
      <w:r w:rsidRPr="008646B8">
        <w:t xml:space="preserve"> This will be the base period ARR</w:t>
      </w:r>
      <w:r w:rsidR="006C2AC5" w:rsidRPr="008646B8">
        <w:t>-</w:t>
      </w:r>
      <w:r w:rsidRPr="008646B8">
        <w:t>CMI;</w:t>
      </w:r>
    </w:p>
    <w:p w:rsidR="008B0A1C" w:rsidRPr="008646B8" w:rsidRDefault="00ED78C9" w:rsidP="00CB5E60">
      <w:pPr>
        <w:pStyle w:val="ListParagraph"/>
        <w:numPr>
          <w:ilvl w:val="0"/>
          <w:numId w:val="43"/>
        </w:numPr>
      </w:pPr>
      <w:r w:rsidRPr="008646B8">
        <w:t xml:space="preserve">Determine total included revenue </w:t>
      </w:r>
      <w:r w:rsidR="008B0A1C" w:rsidRPr="008646B8">
        <w:t>consistent with curr</w:t>
      </w:r>
      <w:r w:rsidR="00D9103D" w:rsidRPr="008646B8">
        <w:t>ent methodology for the Charge P</w:t>
      </w:r>
      <w:r w:rsidR="008B0A1C" w:rsidRPr="008646B8">
        <w:t>er Case;</w:t>
      </w:r>
    </w:p>
    <w:p w:rsidR="008B0A1C" w:rsidRPr="008646B8" w:rsidRDefault="006C2AC5" w:rsidP="00CB5E60">
      <w:pPr>
        <w:pStyle w:val="ListParagraph"/>
        <w:numPr>
          <w:ilvl w:val="0"/>
          <w:numId w:val="43"/>
        </w:numPr>
      </w:pPr>
      <w:r w:rsidRPr="008646B8">
        <w:t>Consolidate included cases into ARR-EOCs as defined in Section I</w:t>
      </w:r>
      <w:r w:rsidR="00D9103D" w:rsidRPr="008646B8">
        <w:t>I</w:t>
      </w:r>
      <w:r w:rsidRPr="008646B8">
        <w:t xml:space="preserve">I Paragraph B of this agreement. </w:t>
      </w:r>
      <w:r w:rsidR="00ED78C9" w:rsidRPr="008646B8">
        <w:t xml:space="preserve">Count </w:t>
      </w:r>
      <w:r w:rsidR="00496E64" w:rsidRPr="008646B8">
        <w:t xml:space="preserve">the </w:t>
      </w:r>
      <w:r w:rsidRPr="008646B8">
        <w:t>ARR-EOC</w:t>
      </w:r>
      <w:r w:rsidR="00496E64" w:rsidRPr="008646B8">
        <w:t>s</w:t>
      </w:r>
      <w:r w:rsidR="008B0A1C" w:rsidRPr="008646B8">
        <w:t>;</w:t>
      </w:r>
    </w:p>
    <w:p w:rsidR="008B0A1C" w:rsidRDefault="008B0A1C" w:rsidP="00CB5E60">
      <w:pPr>
        <w:pStyle w:val="ListParagraph"/>
        <w:numPr>
          <w:ilvl w:val="0"/>
          <w:numId w:val="43"/>
        </w:numPr>
      </w:pPr>
      <w:r>
        <w:t xml:space="preserve">The ARR-CPE will be the total </w:t>
      </w:r>
      <w:r w:rsidR="00473859">
        <w:t xml:space="preserve">included revenue </w:t>
      </w:r>
      <w:r w:rsidR="009B7740">
        <w:t xml:space="preserve">calculated </w:t>
      </w:r>
      <w:r>
        <w:t xml:space="preserve">in </w:t>
      </w:r>
      <w:r w:rsidR="00E44FAD">
        <w:t>S</w:t>
      </w:r>
      <w:r>
        <w:t xml:space="preserve">tep </w:t>
      </w:r>
      <w:r w:rsidR="00ED78C9">
        <w:t>b.</w:t>
      </w:r>
      <w:r>
        <w:t xml:space="preserve"> divided by the count of episodes in </w:t>
      </w:r>
      <w:r w:rsidR="00E44FAD">
        <w:t>S</w:t>
      </w:r>
      <w:r>
        <w:t xml:space="preserve">tep </w:t>
      </w:r>
      <w:r w:rsidR="00ED78C9">
        <w:t>c.</w:t>
      </w:r>
    </w:p>
    <w:p w:rsidR="00705C50" w:rsidRDefault="00705C50" w:rsidP="00705C50">
      <w:pPr>
        <w:pStyle w:val="Level2"/>
        <w:ind w:left="720"/>
        <w:rPr>
          <w:b/>
        </w:rPr>
      </w:pPr>
    </w:p>
    <w:p w:rsidR="008E0B94" w:rsidRPr="0008527E" w:rsidRDefault="008E0B94" w:rsidP="00FD76F6">
      <w:pPr>
        <w:pStyle w:val="Level2"/>
        <w:numPr>
          <w:ilvl w:val="0"/>
          <w:numId w:val="29"/>
        </w:numPr>
        <w:rPr>
          <w:b/>
        </w:rPr>
      </w:pPr>
      <w:r w:rsidRPr="0008527E">
        <w:rPr>
          <w:b/>
        </w:rPr>
        <w:t xml:space="preserve">Compliance </w:t>
      </w:r>
      <w:r w:rsidR="0022178D">
        <w:rPr>
          <w:b/>
        </w:rPr>
        <w:t>U</w:t>
      </w:r>
      <w:r w:rsidRPr="0008527E">
        <w:rPr>
          <w:b/>
        </w:rPr>
        <w:t>nder the ARR</w:t>
      </w:r>
      <w:r w:rsidR="00705C50">
        <w:rPr>
          <w:b/>
        </w:rPr>
        <w:t>-CPE</w:t>
      </w:r>
    </w:p>
    <w:p w:rsidR="008E0B94" w:rsidRDefault="008E0B94" w:rsidP="00FD76F6">
      <w:pPr>
        <w:widowControl w:val="0"/>
        <w:ind w:left="720"/>
      </w:pPr>
    </w:p>
    <w:p w:rsidR="00727BB6" w:rsidRDefault="00727BB6" w:rsidP="00727BB6">
      <w:pPr>
        <w:ind w:left="720"/>
      </w:pPr>
      <w:r w:rsidRPr="00657672">
        <w:t>For the first year of the agreement, the corridor for the EOC will be expanded from 1</w:t>
      </w:r>
      <w:r w:rsidR="00136EAF">
        <w:t xml:space="preserve"> percent</w:t>
      </w:r>
      <w:r w:rsidRPr="00657672">
        <w:t xml:space="preserve"> to 2</w:t>
      </w:r>
      <w:r w:rsidR="00136EAF">
        <w:t xml:space="preserve"> percent</w:t>
      </w:r>
      <w:r w:rsidRPr="00657672">
        <w:t xml:space="preserve"> for overcharges and remain at the current</w:t>
      </w:r>
      <w:r w:rsidR="00AC1165">
        <w:t xml:space="preserve"> policy of 2</w:t>
      </w:r>
      <w:r w:rsidR="00136EAF">
        <w:t xml:space="preserve"> percent</w:t>
      </w:r>
      <w:r w:rsidR="00AC1165">
        <w:t xml:space="preserve"> for undercharges.</w:t>
      </w:r>
      <w:r w:rsidRPr="00657672">
        <w:t xml:space="preserve"> </w:t>
      </w:r>
      <w:r w:rsidRPr="00657672" w:rsidDel="009B7740">
        <w:t xml:space="preserve">In recognition of the added complexity of managing to an </w:t>
      </w:r>
      <w:r w:rsidR="00136EAF" w:rsidDel="009B7740">
        <w:t>ARR-CPE</w:t>
      </w:r>
      <w:r w:rsidRPr="00657672" w:rsidDel="009B7740">
        <w:t xml:space="preserve"> target, the corridor for overcharges will be expanded for t</w:t>
      </w:r>
      <w:r w:rsidR="00AC1165" w:rsidDel="009B7740">
        <w:t>he first year of the agreement.</w:t>
      </w:r>
      <w:r w:rsidRPr="00657672" w:rsidDel="009B7740">
        <w:t xml:space="preserve"> </w:t>
      </w:r>
      <w:r w:rsidRPr="00657672">
        <w:t>The HSCRC staff and Hospital staff will monitor</w:t>
      </w:r>
      <w:r w:rsidR="009B7740">
        <w:t xml:space="preserve"> compliance</w:t>
      </w:r>
      <w:r w:rsidRPr="00657672">
        <w:t xml:space="preserve"> to the target during the first year and reassess at the end of year 1 whether future years will require an expanded corridor.</w:t>
      </w:r>
    </w:p>
    <w:p w:rsidR="00727BB6" w:rsidRDefault="00727BB6" w:rsidP="00727BB6">
      <w:pPr>
        <w:ind w:left="720"/>
      </w:pPr>
    </w:p>
    <w:p w:rsidR="00EE6F4F" w:rsidRDefault="0059107B" w:rsidP="00727BB6">
      <w:pPr>
        <w:ind w:left="720"/>
      </w:pPr>
      <w:r>
        <w:t xml:space="preserve">Calculation of </w:t>
      </w:r>
      <w:r w:rsidR="00EE6F4F">
        <w:t>compliance at the end of the rate year:</w:t>
      </w:r>
    </w:p>
    <w:p w:rsidR="008646B8" w:rsidRDefault="008646B8" w:rsidP="00727BB6">
      <w:pPr>
        <w:ind w:left="720"/>
      </w:pPr>
    </w:p>
    <w:p w:rsidR="00EE6F4F" w:rsidRDefault="00EE6F4F" w:rsidP="00CB5E60">
      <w:pPr>
        <w:pStyle w:val="ListParagraph"/>
        <w:numPr>
          <w:ilvl w:val="1"/>
          <w:numId w:val="8"/>
        </w:numPr>
        <w:ind w:left="1080"/>
      </w:pPr>
      <w:r>
        <w:t>Calculate actual included revenue</w:t>
      </w:r>
      <w:r w:rsidR="009B7740">
        <w:t>:</w:t>
      </w:r>
      <w:r>
        <w:t xml:space="preserve">  Actual inpatient charges less trim revenue and excluded revenue;</w:t>
      </w:r>
    </w:p>
    <w:p w:rsidR="00EE6F4F" w:rsidRDefault="00EE6F4F" w:rsidP="00CB5E60">
      <w:pPr>
        <w:pStyle w:val="ListParagraph"/>
        <w:numPr>
          <w:ilvl w:val="1"/>
          <w:numId w:val="8"/>
        </w:numPr>
        <w:ind w:left="1080"/>
      </w:pPr>
      <w:r>
        <w:t>Calculate actual included cases</w:t>
      </w:r>
      <w:r w:rsidR="009B7740">
        <w:t>:</w:t>
      </w:r>
      <w:r>
        <w:t xml:space="preserve">  Actual inpatient cases less exclusions and readmissions.</w:t>
      </w:r>
    </w:p>
    <w:p w:rsidR="00EE6F4F" w:rsidRDefault="00EE6F4F" w:rsidP="00CB5E60">
      <w:pPr>
        <w:pStyle w:val="ListParagraph"/>
        <w:numPr>
          <w:ilvl w:val="1"/>
          <w:numId w:val="8"/>
        </w:numPr>
        <w:ind w:left="1080"/>
      </w:pPr>
      <w:r>
        <w:t>Actual ARR-</w:t>
      </w:r>
      <w:r w:rsidR="00136EAF">
        <w:t>CPE</w:t>
      </w:r>
      <w:r>
        <w:t xml:space="preserve"> will be included revenue calculated in </w:t>
      </w:r>
      <w:r w:rsidR="009B7740">
        <w:t>Step</w:t>
      </w:r>
      <w:r w:rsidR="003E4B4C">
        <w:t xml:space="preserve"> </w:t>
      </w:r>
      <w:r>
        <w:t xml:space="preserve">a above divided by included cases as calculated in </w:t>
      </w:r>
      <w:r w:rsidR="009B7740">
        <w:t xml:space="preserve">Step </w:t>
      </w:r>
      <w:r>
        <w:t>b above;</w:t>
      </w:r>
    </w:p>
    <w:p w:rsidR="00EE6F4F" w:rsidRDefault="00EE6F4F" w:rsidP="00CB5E60">
      <w:pPr>
        <w:pStyle w:val="ListParagraph"/>
        <w:numPr>
          <w:ilvl w:val="1"/>
          <w:numId w:val="8"/>
        </w:numPr>
        <w:ind w:left="1080"/>
      </w:pPr>
      <w:r>
        <w:lastRenderedPageBreak/>
        <w:t>Calculate case mix for ARR-</w:t>
      </w:r>
      <w:r w:rsidR="00136EAF">
        <w:t>CPE</w:t>
      </w:r>
      <w:r>
        <w:t xml:space="preserve"> </w:t>
      </w:r>
      <w:r w:rsidR="009B7740">
        <w:t xml:space="preserve"> by applying the</w:t>
      </w:r>
      <w:r>
        <w:t xml:space="preserve"> statewide weights </w:t>
      </w:r>
      <w:r w:rsidR="009B7740">
        <w:t xml:space="preserve"> (described in  Section II Paragraph</w:t>
      </w:r>
      <w:r>
        <w:t xml:space="preserve"> </w:t>
      </w:r>
      <w:r w:rsidR="009B7740">
        <w:t>C</w:t>
      </w:r>
      <w:r>
        <w:t xml:space="preserve"> above</w:t>
      </w:r>
      <w:r w:rsidR="009B7740">
        <w:t>)</w:t>
      </w:r>
      <w:r>
        <w:t xml:space="preserve">  to initial and only admissions for the current period.  This will be the current ARR-CMI;</w:t>
      </w:r>
    </w:p>
    <w:p w:rsidR="00EE6F4F" w:rsidRDefault="00B130BB" w:rsidP="00CB5E60">
      <w:pPr>
        <w:pStyle w:val="ListParagraph"/>
        <w:numPr>
          <w:ilvl w:val="1"/>
          <w:numId w:val="8"/>
        </w:numPr>
        <w:ind w:left="1080"/>
      </w:pPr>
      <w:r>
        <w:t>Calculate the approved included revenue</w:t>
      </w:r>
      <w:r w:rsidR="009B7740">
        <w:t>:</w:t>
      </w:r>
      <w:r>
        <w:t xml:space="preserve"> </w:t>
      </w:r>
      <w:r w:rsidR="009B7740">
        <w:t>A</w:t>
      </w:r>
      <w:r>
        <w:t>pproved ARR-CPE x (current period ARR-CMI/base period ARR-CMI) x actual included cases;</w:t>
      </w:r>
    </w:p>
    <w:p w:rsidR="008E0B94" w:rsidRDefault="008E0B94" w:rsidP="00FD76F6">
      <w:pPr>
        <w:widowControl w:val="0"/>
        <w:ind w:left="720"/>
      </w:pPr>
    </w:p>
    <w:p w:rsidR="008E0B94" w:rsidRPr="00FD76F6" w:rsidRDefault="00AC1165" w:rsidP="00FD76F6">
      <w:pPr>
        <w:pStyle w:val="Level2"/>
        <w:numPr>
          <w:ilvl w:val="0"/>
          <w:numId w:val="29"/>
        </w:numPr>
        <w:rPr>
          <w:b/>
        </w:rPr>
      </w:pPr>
      <w:r>
        <w:rPr>
          <w:b/>
        </w:rPr>
        <w:t>Volume and Price Adjustment</w:t>
      </w:r>
    </w:p>
    <w:p w:rsidR="007B782F" w:rsidRPr="0008527E" w:rsidRDefault="007B782F" w:rsidP="00FD76F6">
      <w:pPr>
        <w:pStyle w:val="Level2"/>
        <w:ind w:left="720"/>
        <w:rPr>
          <w:b/>
        </w:rPr>
      </w:pPr>
    </w:p>
    <w:p w:rsidR="008B0670" w:rsidRDefault="008E0B94" w:rsidP="00FD76F6">
      <w:pPr>
        <w:ind w:left="720"/>
      </w:pPr>
      <w:r>
        <w:t xml:space="preserve">A volume and price adjustment will be performed for </w:t>
      </w:r>
      <w:r w:rsidR="008646B8">
        <w:t>the H</w:t>
      </w:r>
      <w:r>
        <w:t>ospital</w:t>
      </w:r>
      <w:r w:rsidR="00AC1165">
        <w:t xml:space="preserve"> each rate year.</w:t>
      </w:r>
      <w:r>
        <w:t xml:space="preserve"> If the gross revenue charged by </w:t>
      </w:r>
      <w:r w:rsidR="00DA5628">
        <w:t>the</w:t>
      </w:r>
      <w:r w:rsidR="000E1990">
        <w:t xml:space="preserve"> </w:t>
      </w:r>
      <w:r>
        <w:t>Hospital exceed</w:t>
      </w:r>
      <w:r w:rsidR="000E1990">
        <w:t>s</w:t>
      </w:r>
      <w:r>
        <w:t xml:space="preserve"> the approved revenue, the difference between the gross revenue charged and the approved revenue will be subtracted from the revenue that would otherwise have been approved for the Hospital</w:t>
      </w:r>
      <w:r w:rsidR="00AC1165">
        <w:t xml:space="preserve"> for the subsequent year.</w:t>
      </w:r>
      <w:r>
        <w:t xml:space="preserve"> Conversely, if the gross revenue charged is less than the approved revenue, the difference will be added to the revenue for the subsequent year, except that undercharges below the corridor specified in </w:t>
      </w:r>
      <w:r w:rsidR="0081511A" w:rsidRPr="008646B8">
        <w:t>Section III P</w:t>
      </w:r>
      <w:r w:rsidRPr="008646B8">
        <w:t xml:space="preserve">aragraph </w:t>
      </w:r>
      <w:r w:rsidR="0081511A" w:rsidRPr="008646B8">
        <w:t>E</w:t>
      </w:r>
      <w:r>
        <w:t xml:space="preserve"> above will not be so included.</w:t>
      </w:r>
      <w:r w:rsidR="00437862" w:rsidRPr="00437862">
        <w:t xml:space="preserve"> </w:t>
      </w:r>
      <w:r w:rsidR="008646B8">
        <w:t>This volume and price adjustment</w:t>
      </w:r>
      <w:r w:rsidR="002A0AFD">
        <w:t xml:space="preserve"> </w:t>
      </w:r>
      <w:r w:rsidR="008646B8">
        <w:t>is a</w:t>
      </w:r>
      <w:r w:rsidR="002A0AFD">
        <w:t xml:space="preserve"> one-time adjustment and, therefore, will be reverse</w:t>
      </w:r>
      <w:r w:rsidR="008646B8">
        <w:t>d</w:t>
      </w:r>
      <w:r w:rsidR="002A0AFD">
        <w:t xml:space="preserve"> in the subsequent year. </w:t>
      </w:r>
    </w:p>
    <w:p w:rsidR="008B0670" w:rsidRDefault="008B0670" w:rsidP="00FD76F6">
      <w:pPr>
        <w:ind w:left="720"/>
      </w:pPr>
    </w:p>
    <w:p w:rsidR="00437862" w:rsidRDefault="00437862" w:rsidP="00FD76F6">
      <w:pPr>
        <w:ind w:left="720"/>
      </w:pPr>
      <w:r>
        <w:t>A volume adjustment consistent with approved Commission policy</w:t>
      </w:r>
      <w:r w:rsidR="00616C1B">
        <w:t xml:space="preserve"> will be applied to</w:t>
      </w:r>
      <w:r w:rsidR="000E1990">
        <w:t xml:space="preserve"> initial and only readmissions.</w:t>
      </w:r>
      <w:r w:rsidR="00616C1B">
        <w:t xml:space="preserve"> </w:t>
      </w:r>
      <w:r w:rsidR="00AC41BA">
        <w:t>R</w:t>
      </w:r>
      <w:r w:rsidR="00616C1B">
        <w:t xml:space="preserve">eadmissions will be </w:t>
      </w:r>
      <w:r w:rsidR="00AC41BA">
        <w:t>excluded from the</w:t>
      </w:r>
      <w:r w:rsidR="00616C1B">
        <w:t xml:space="preserve"> volume adjustment.</w:t>
      </w:r>
      <w:r w:rsidR="00760354">
        <w:t xml:space="preserve"> </w:t>
      </w:r>
      <w:r w:rsidR="00D7289C">
        <w:t xml:space="preserve">See </w:t>
      </w:r>
      <w:r w:rsidR="00D7289C" w:rsidRPr="008646B8">
        <w:t xml:space="preserve">Attachment </w:t>
      </w:r>
      <w:r w:rsidR="00E803A4" w:rsidRPr="008646B8">
        <w:t>C</w:t>
      </w:r>
      <w:r w:rsidR="00D7289C">
        <w:t xml:space="preserve"> for sample calculation.</w:t>
      </w:r>
    </w:p>
    <w:p w:rsidR="000152B9" w:rsidRDefault="000152B9" w:rsidP="00FD76F6">
      <w:pPr>
        <w:pStyle w:val="Level2"/>
        <w:ind w:left="720"/>
        <w:rPr>
          <w:b/>
        </w:rPr>
      </w:pPr>
    </w:p>
    <w:p w:rsidR="008E0B94" w:rsidRPr="0008527E" w:rsidRDefault="008E0B94" w:rsidP="00FD76F6">
      <w:pPr>
        <w:pStyle w:val="Level2"/>
        <w:numPr>
          <w:ilvl w:val="0"/>
          <w:numId w:val="29"/>
        </w:numPr>
        <w:rPr>
          <w:b/>
        </w:rPr>
      </w:pPr>
      <w:r w:rsidRPr="0008527E">
        <w:rPr>
          <w:b/>
        </w:rPr>
        <w:t xml:space="preserve">Annual Update Adjustments </w:t>
      </w:r>
    </w:p>
    <w:p w:rsidR="007B782F" w:rsidRDefault="007B782F" w:rsidP="00FD76F6">
      <w:pPr>
        <w:widowControl w:val="0"/>
        <w:ind w:left="720"/>
      </w:pPr>
    </w:p>
    <w:p w:rsidR="008E0B94" w:rsidRDefault="0081511A" w:rsidP="00FD76F6">
      <w:pPr>
        <w:widowControl w:val="0"/>
        <w:ind w:left="720"/>
      </w:pPr>
      <w:r>
        <w:t xml:space="preserve">The HSCRC will apply </w:t>
      </w:r>
      <w:r w:rsidR="00D9103D">
        <w:t>annual update</w:t>
      </w:r>
      <w:r>
        <w:t xml:space="preserve"> adjustments consistent with CPC methodology. For example, each </w:t>
      </w:r>
      <w:r w:rsidR="00570EBF">
        <w:t>Hospitals</w:t>
      </w:r>
      <w:r w:rsidR="00524FEB">
        <w:t>’</w:t>
      </w:r>
      <w:r w:rsidR="00570EBF">
        <w:t xml:space="preserve"> </w:t>
      </w:r>
      <w:r w:rsidR="00D9103D">
        <w:t xml:space="preserve">approved total revenue </w:t>
      </w:r>
      <w:r w:rsidR="00570EBF">
        <w:t>shall be adjusted for</w:t>
      </w:r>
      <w:r w:rsidR="008E0B94">
        <w:t>:</w:t>
      </w:r>
    </w:p>
    <w:p w:rsidR="008E0B94" w:rsidRDefault="008E0B94" w:rsidP="00FD76F6">
      <w:pPr>
        <w:widowControl w:val="0"/>
        <w:ind w:left="2160"/>
      </w:pPr>
    </w:p>
    <w:p w:rsidR="008E0B94" w:rsidRDefault="00BB0C88" w:rsidP="00CB5E60">
      <w:pPr>
        <w:pStyle w:val="Level3"/>
        <w:numPr>
          <w:ilvl w:val="0"/>
          <w:numId w:val="44"/>
        </w:numPr>
        <w:spacing w:after="120"/>
      </w:pPr>
      <w:r>
        <w:t>T</w:t>
      </w:r>
      <w:r w:rsidR="008E0B94">
        <w:t xml:space="preserve">he annual update factor approved by the Commission for </w:t>
      </w:r>
      <w:r w:rsidR="00D9103D">
        <w:t>the Hospital</w:t>
      </w:r>
      <w:r w:rsidR="008E0B94">
        <w:t>;</w:t>
      </w:r>
    </w:p>
    <w:p w:rsidR="008E0B94" w:rsidRDefault="00BB0C88" w:rsidP="00CB5E60">
      <w:pPr>
        <w:pStyle w:val="Level3"/>
        <w:numPr>
          <w:ilvl w:val="0"/>
          <w:numId w:val="44"/>
        </w:numPr>
        <w:spacing w:after="120"/>
      </w:pPr>
      <w:r>
        <w:t>R</w:t>
      </w:r>
      <w:r w:rsidR="008E0B94">
        <w:t>eversal of any previous retroactive adjustments;</w:t>
      </w:r>
    </w:p>
    <w:p w:rsidR="008E0B94" w:rsidRDefault="00BB0C88" w:rsidP="00CB5E60">
      <w:pPr>
        <w:pStyle w:val="Level3"/>
        <w:numPr>
          <w:ilvl w:val="0"/>
          <w:numId w:val="44"/>
        </w:numPr>
        <w:spacing w:after="120"/>
      </w:pPr>
      <w:r>
        <w:t>C</w:t>
      </w:r>
      <w:r w:rsidR="008E0B94">
        <w:t xml:space="preserve">hanges to </w:t>
      </w:r>
      <w:r w:rsidR="00D9103D">
        <w:t xml:space="preserve">each </w:t>
      </w:r>
      <w:r w:rsidR="008E0B94">
        <w:t>Hospital</w:t>
      </w:r>
      <w:r w:rsidR="00D9103D">
        <w:t>'</w:t>
      </w:r>
      <w:r w:rsidR="008E0B94">
        <w:t xml:space="preserve">s markup due to changes in mix of payers or changes in approved differential </w:t>
      </w:r>
      <w:r>
        <w:t>a</w:t>
      </w:r>
      <w:r w:rsidR="008E0B94">
        <w:t>mounts and approved bad debt provision;</w:t>
      </w:r>
    </w:p>
    <w:p w:rsidR="008E0B94" w:rsidRDefault="00BB0C88" w:rsidP="00CB5E60">
      <w:pPr>
        <w:pStyle w:val="Level3"/>
        <w:numPr>
          <w:ilvl w:val="0"/>
          <w:numId w:val="44"/>
        </w:numPr>
        <w:spacing w:after="120"/>
      </w:pPr>
      <w:r>
        <w:t>V</w:t>
      </w:r>
      <w:r w:rsidR="008E0B94">
        <w:t>olume</w:t>
      </w:r>
      <w:r w:rsidR="00570EBF">
        <w:t xml:space="preserve"> </w:t>
      </w:r>
      <w:r w:rsidR="008E0B94">
        <w:t>and price adjustments as spe</w:t>
      </w:r>
      <w:r w:rsidR="003F0B30">
        <w:t xml:space="preserve">cified in </w:t>
      </w:r>
      <w:r w:rsidR="00D9103D" w:rsidRPr="008646B8">
        <w:t>Section III P</w:t>
      </w:r>
      <w:r w:rsidR="003F0B30" w:rsidRPr="008646B8">
        <w:t xml:space="preserve">aragraph </w:t>
      </w:r>
      <w:r w:rsidR="00D9103D" w:rsidRPr="008646B8">
        <w:t>F</w:t>
      </w:r>
      <w:r w:rsidR="003F0B30">
        <w:t>;</w:t>
      </w:r>
    </w:p>
    <w:p w:rsidR="005553D7" w:rsidRDefault="00BB0C88" w:rsidP="00CB5E60">
      <w:pPr>
        <w:pStyle w:val="Level3"/>
        <w:numPr>
          <w:ilvl w:val="0"/>
          <w:numId w:val="44"/>
        </w:numPr>
        <w:spacing w:after="120"/>
      </w:pPr>
      <w:r>
        <w:t>A</w:t>
      </w:r>
      <w:r w:rsidR="005553D7">
        <w:t>djustment for quality scaling (QBR and MHAC</w:t>
      </w:r>
      <w:r w:rsidR="005553D7" w:rsidRPr="007B782F">
        <w:t>)</w:t>
      </w:r>
      <w:r w:rsidR="003F0B30" w:rsidRPr="007B782F">
        <w:t xml:space="preserve"> and ROC scaling;</w:t>
      </w:r>
      <w:r>
        <w:t xml:space="preserve"> and</w:t>
      </w:r>
    </w:p>
    <w:p w:rsidR="00141DD6" w:rsidRDefault="00BB0C88" w:rsidP="00CB5E60">
      <w:pPr>
        <w:pStyle w:val="Level3"/>
        <w:numPr>
          <w:ilvl w:val="0"/>
          <w:numId w:val="44"/>
        </w:numPr>
      </w:pPr>
      <w:r>
        <w:t>O</w:t>
      </w:r>
      <w:r w:rsidR="005553D7">
        <w:t>ther adjustment</w:t>
      </w:r>
      <w:r w:rsidR="003F0B30">
        <w:t>s</w:t>
      </w:r>
      <w:r w:rsidR="005553D7">
        <w:t xml:space="preserve"> consistent with CPC methodology</w:t>
      </w:r>
      <w:r w:rsidR="003F0B30">
        <w:t>.</w:t>
      </w:r>
    </w:p>
    <w:p w:rsidR="00AE7E4B" w:rsidRPr="00141DD6" w:rsidRDefault="00AE7E4B" w:rsidP="005553D7">
      <w:pPr>
        <w:spacing w:after="200" w:line="276" w:lineRule="auto"/>
        <w:rPr>
          <w:b/>
        </w:rPr>
      </w:pPr>
    </w:p>
    <w:p w:rsidR="008E0B94" w:rsidRDefault="008E0B94" w:rsidP="00141DD6">
      <w:pPr>
        <w:pStyle w:val="ListParagraph"/>
        <w:numPr>
          <w:ilvl w:val="0"/>
          <w:numId w:val="28"/>
        </w:numPr>
        <w:spacing w:after="200" w:line="276" w:lineRule="auto"/>
        <w:ind w:left="360"/>
        <w:rPr>
          <w:b/>
        </w:rPr>
      </w:pPr>
      <w:r w:rsidRPr="00141DD6">
        <w:rPr>
          <w:b/>
        </w:rPr>
        <w:t>Other Terms</w:t>
      </w:r>
      <w:r w:rsidR="00AE7E4B">
        <w:rPr>
          <w:b/>
        </w:rPr>
        <w:t xml:space="preserve">, </w:t>
      </w:r>
      <w:r w:rsidR="00AE7E4B" w:rsidRPr="00141DD6">
        <w:rPr>
          <w:b/>
        </w:rPr>
        <w:t>Potential Modifications, and Cancellation Provisions</w:t>
      </w:r>
    </w:p>
    <w:p w:rsidR="00141DD6" w:rsidRPr="00141DD6" w:rsidRDefault="00141DD6" w:rsidP="00141DD6">
      <w:pPr>
        <w:pStyle w:val="ListParagraph"/>
        <w:spacing w:after="200" w:line="276" w:lineRule="auto"/>
        <w:ind w:left="360"/>
        <w:rPr>
          <w:b/>
        </w:rPr>
      </w:pPr>
    </w:p>
    <w:p w:rsidR="008E0B94" w:rsidRPr="00141DD6" w:rsidRDefault="008E0B94" w:rsidP="00141DD6">
      <w:pPr>
        <w:pStyle w:val="ListParagraph"/>
        <w:numPr>
          <w:ilvl w:val="0"/>
          <w:numId w:val="34"/>
        </w:numPr>
        <w:rPr>
          <w:b/>
        </w:rPr>
      </w:pPr>
      <w:r w:rsidRPr="00141DD6">
        <w:rPr>
          <w:b/>
        </w:rPr>
        <w:t>Special Provision for Transition</w:t>
      </w:r>
    </w:p>
    <w:p w:rsidR="008E0B94" w:rsidRPr="00870CB7" w:rsidRDefault="008E0B94" w:rsidP="00141DD6">
      <w:pPr>
        <w:ind w:left="720"/>
      </w:pPr>
    </w:p>
    <w:p w:rsidR="00524FEB" w:rsidRDefault="00524FEB" w:rsidP="00141DD6">
      <w:pPr>
        <w:ind w:left="720"/>
      </w:pPr>
      <w:r w:rsidRPr="00F331BC">
        <w:t xml:space="preserve">The Commission will provide </w:t>
      </w:r>
      <w:r>
        <w:t xml:space="preserve">each </w:t>
      </w:r>
      <w:r w:rsidRPr="00F331BC">
        <w:t>H</w:t>
      </w:r>
      <w:r w:rsidR="00E44FAD">
        <w:t>ospital up to an additional 0.5 percent</w:t>
      </w:r>
      <w:r w:rsidRPr="00F331BC">
        <w:t xml:space="preserve"> of </w:t>
      </w:r>
      <w:r w:rsidR="009B6A01">
        <w:t xml:space="preserve">included </w:t>
      </w:r>
      <w:r w:rsidRPr="00F331BC">
        <w:t xml:space="preserve">inpatient revenue in rates (the “Seed Funding Provision”) to help cover the costs associated with the development of improved discharge planning and care coordination </w:t>
      </w:r>
      <w:r w:rsidRPr="00F331BC">
        <w:lastRenderedPageBreak/>
        <w:t>infrastructure for a period of two years. At the end of the two year period, the Seed Funding Provision will be removed from rates</w:t>
      </w:r>
      <w:r w:rsidR="00A278C4">
        <w:t>,</w:t>
      </w:r>
      <w:r w:rsidRPr="00F331BC">
        <w:t xml:space="preserve"> and a commensurate one-time decrease to rates will be applied over the subsequent period</w:t>
      </w:r>
      <w:r w:rsidR="002A0AFD">
        <w:t xml:space="preserve"> not less than two years</w:t>
      </w:r>
      <w:r w:rsidRPr="00F331BC">
        <w:t>.</w:t>
      </w:r>
    </w:p>
    <w:p w:rsidR="007B782F" w:rsidRPr="00870CB7" w:rsidRDefault="007B782F" w:rsidP="00141DD6">
      <w:pPr>
        <w:ind w:left="720"/>
      </w:pPr>
    </w:p>
    <w:p w:rsidR="00760354" w:rsidRPr="00870CB7" w:rsidRDefault="003F0B30" w:rsidP="00141DD6">
      <w:pPr>
        <w:ind w:left="720"/>
      </w:pPr>
      <w:r w:rsidRPr="00870CB7">
        <w:t xml:space="preserve">By signing this </w:t>
      </w:r>
      <w:r w:rsidR="00F45A41" w:rsidRPr="00870CB7">
        <w:t xml:space="preserve">ARR </w:t>
      </w:r>
      <w:r w:rsidRPr="00870CB7">
        <w:t xml:space="preserve">agreement, </w:t>
      </w:r>
      <w:r w:rsidR="000E1990">
        <w:t>each H</w:t>
      </w:r>
      <w:r w:rsidRPr="00870CB7">
        <w:t xml:space="preserve">ospital </w:t>
      </w:r>
      <w:r w:rsidR="009F497C" w:rsidRPr="00870CB7">
        <w:t>agree</w:t>
      </w:r>
      <w:r w:rsidR="000E1990">
        <w:t>s</w:t>
      </w:r>
      <w:r w:rsidR="009F497C" w:rsidRPr="00870CB7">
        <w:t xml:space="preserve"> to devote the Seed Funding Provision toward the financing of costs associated with the planned interventions, necessary infrastructure</w:t>
      </w:r>
      <w:r w:rsidR="00365E5A">
        <w:t>,</w:t>
      </w:r>
      <w:r w:rsidR="009F497C" w:rsidRPr="00870CB7">
        <w:t xml:space="preserve"> and monitoring activities. </w:t>
      </w:r>
    </w:p>
    <w:p w:rsidR="00A8176F" w:rsidRPr="00870CB7" w:rsidRDefault="00A8176F" w:rsidP="00141DD6">
      <w:pPr>
        <w:ind w:left="720"/>
      </w:pPr>
    </w:p>
    <w:p w:rsidR="00A8176F" w:rsidRDefault="00223965" w:rsidP="00141DD6">
      <w:pPr>
        <w:ind w:left="720"/>
      </w:pPr>
      <w:r>
        <w:t xml:space="preserve">The </w:t>
      </w:r>
      <w:r w:rsidR="00570EBF" w:rsidRPr="00870CB7">
        <w:t>Hospital</w:t>
      </w:r>
      <w:r>
        <w:t>/Hospital System</w:t>
      </w:r>
      <w:r w:rsidR="00570EBF" w:rsidRPr="00870CB7">
        <w:t xml:space="preserve"> </w:t>
      </w:r>
      <w:r w:rsidR="00A8176F" w:rsidRPr="00870CB7">
        <w:t>reserve</w:t>
      </w:r>
      <w:r>
        <w:t>s</w:t>
      </w:r>
      <w:r w:rsidR="00A8176F" w:rsidRPr="00870CB7">
        <w:t xml:space="preserve"> the right to request continuation of the Seed Funding</w:t>
      </w:r>
      <w:r w:rsidR="00AC1165">
        <w:t xml:space="preserve"> provision.</w:t>
      </w:r>
      <w:r w:rsidR="00570EBF" w:rsidRPr="00870CB7">
        <w:t xml:space="preserve"> To justify this request, the Hospital</w:t>
      </w:r>
      <w:r>
        <w:t>/Hospital System</w:t>
      </w:r>
      <w:r w:rsidR="00570EBF" w:rsidRPr="00870CB7">
        <w:t xml:space="preserve"> may seek to quantify overall system cost savings that can reasonably be attributed to the initiation of this ARR </w:t>
      </w:r>
      <w:r w:rsidR="00365E5A">
        <w:t>agreement</w:t>
      </w:r>
      <w:r w:rsidR="00570EBF" w:rsidRPr="00870CB7">
        <w:t>.</w:t>
      </w:r>
      <w:r w:rsidR="00365E5A">
        <w:t xml:space="preserve"> </w:t>
      </w:r>
      <w:r w:rsidR="00570EBF" w:rsidRPr="00870CB7">
        <w:t>The Hospital</w:t>
      </w:r>
      <w:r>
        <w:t>/Hospital System</w:t>
      </w:r>
      <w:r w:rsidR="00570EBF" w:rsidRPr="00870CB7">
        <w:t xml:space="preserve"> also reserve</w:t>
      </w:r>
      <w:r>
        <w:t>s</w:t>
      </w:r>
      <w:r w:rsidR="00570EBF" w:rsidRPr="00870CB7">
        <w:t xml:space="preserve"> the right to propose continuation of the Seed Funding provisions related to</w:t>
      </w:r>
      <w:r w:rsidR="00A8176F" w:rsidRPr="00870CB7">
        <w:t xml:space="preserve"> </w:t>
      </w:r>
      <w:r w:rsidR="00570EBF" w:rsidRPr="00870CB7">
        <w:t xml:space="preserve">infrastructure development costs associated with </w:t>
      </w:r>
      <w:r w:rsidR="003E4B4C">
        <w:t xml:space="preserve">other </w:t>
      </w:r>
      <w:r w:rsidR="00570EBF" w:rsidRPr="00870CB7">
        <w:t xml:space="preserve">Episode of Care/Bundled Payment initiatives designed to save cost and improve quality by improving </w:t>
      </w:r>
      <w:r w:rsidR="004E79EF">
        <w:t>their</w:t>
      </w:r>
      <w:r w:rsidR="00570EBF" w:rsidRPr="00870CB7">
        <w:t xml:space="preserve"> coordinated care infrastructure</w:t>
      </w:r>
      <w:r w:rsidR="004E79EF">
        <w:t>s</w:t>
      </w:r>
      <w:r w:rsidR="00570EBF" w:rsidRPr="00870CB7">
        <w:t>.</w:t>
      </w:r>
    </w:p>
    <w:p w:rsidR="0068593B" w:rsidRDefault="0068593B" w:rsidP="00141DD6">
      <w:pPr>
        <w:ind w:left="720"/>
      </w:pPr>
    </w:p>
    <w:p w:rsidR="0068593B" w:rsidRDefault="0068593B" w:rsidP="00141DD6">
      <w:pPr>
        <w:ind w:left="720"/>
      </w:pPr>
      <w:r>
        <w:t xml:space="preserve">In order to track the progress of the reduction in </w:t>
      </w:r>
      <w:r w:rsidR="000E1990">
        <w:t>r</w:t>
      </w:r>
      <w:r>
        <w:t>eadmissions, actual e</w:t>
      </w:r>
      <w:r w:rsidR="000E1990">
        <w:t>xpenditures, and system saving</w:t>
      </w:r>
      <w:r w:rsidR="00DF4BEA">
        <w:t>s</w:t>
      </w:r>
      <w:r>
        <w:t xml:space="preserve"> and to better identify the status of continuation of the Seed Funding, the Hospital</w:t>
      </w:r>
      <w:r w:rsidR="00223965">
        <w:t>/Hospital Systems</w:t>
      </w:r>
      <w:r>
        <w:t xml:space="preserve"> will meet with the HSCRC after six and twelve months of activity under the ARR agreement.</w:t>
      </w:r>
    </w:p>
    <w:p w:rsidR="00365E5A" w:rsidRDefault="00365E5A" w:rsidP="00141DD6">
      <w:pPr>
        <w:ind w:left="720"/>
      </w:pPr>
    </w:p>
    <w:p w:rsidR="00365E5A" w:rsidRPr="00365E5A" w:rsidRDefault="00365E5A" w:rsidP="00365E5A">
      <w:pPr>
        <w:pStyle w:val="ListParagraph"/>
        <w:numPr>
          <w:ilvl w:val="0"/>
          <w:numId w:val="46"/>
        </w:numPr>
        <w:ind w:left="1080"/>
        <w:rPr>
          <w:b/>
        </w:rPr>
      </w:pPr>
      <w:r w:rsidRPr="00365E5A">
        <w:rPr>
          <w:b/>
        </w:rPr>
        <w:t>Hospital/Hospital System ARR Interventions Budget</w:t>
      </w:r>
    </w:p>
    <w:p w:rsidR="00365E5A" w:rsidRDefault="00365E5A" w:rsidP="00365E5A">
      <w:pPr>
        <w:pStyle w:val="ListParagraph"/>
        <w:ind w:left="1080"/>
      </w:pPr>
    </w:p>
    <w:p w:rsidR="00365E5A" w:rsidRPr="00870CB7" w:rsidRDefault="00365E5A" w:rsidP="00365E5A">
      <w:pPr>
        <w:pStyle w:val="ListParagraph"/>
        <w:ind w:left="1080"/>
      </w:pPr>
      <w:r w:rsidRPr="00365E5A">
        <w:t xml:space="preserve">In </w:t>
      </w:r>
      <w:r w:rsidRPr="008646B8">
        <w:t>Attachment D</w:t>
      </w:r>
      <w:r>
        <w:t>, the Hospital/Hospital System is to</w:t>
      </w:r>
      <w:r w:rsidRPr="00870CB7">
        <w:t xml:space="preserve"> </w:t>
      </w:r>
      <w:r>
        <w:t>provide</w:t>
      </w:r>
      <w:r w:rsidRPr="00870CB7">
        <w:t xml:space="preserve"> a proposed budget of expenses and </w:t>
      </w:r>
      <w:r>
        <w:t xml:space="preserve">a </w:t>
      </w:r>
      <w:r w:rsidRPr="00870CB7">
        <w:t xml:space="preserve">description of planned interventions </w:t>
      </w:r>
      <w:r>
        <w:t>with</w:t>
      </w:r>
      <w:r w:rsidRPr="00870CB7">
        <w:t xml:space="preserve"> program monitoring/program evaluation activities.</w:t>
      </w:r>
    </w:p>
    <w:p w:rsidR="00A8176F" w:rsidRPr="00870CB7" w:rsidRDefault="00A8176F" w:rsidP="00141DD6">
      <w:pPr>
        <w:ind w:left="720"/>
      </w:pPr>
    </w:p>
    <w:p w:rsidR="008E0B94" w:rsidRPr="00141DD6" w:rsidRDefault="008E0B94" w:rsidP="00141DD6">
      <w:pPr>
        <w:pStyle w:val="ListParagraph"/>
        <w:numPr>
          <w:ilvl w:val="0"/>
          <w:numId w:val="34"/>
        </w:numPr>
        <w:rPr>
          <w:b/>
        </w:rPr>
      </w:pPr>
      <w:r w:rsidRPr="00141DD6">
        <w:rPr>
          <w:b/>
        </w:rPr>
        <w:t>Monitoring and Reporting Requirements</w:t>
      </w:r>
    </w:p>
    <w:p w:rsidR="008E0B94" w:rsidRPr="00870CB7" w:rsidRDefault="008E0B94" w:rsidP="008E0B94"/>
    <w:p w:rsidR="0085256E" w:rsidRPr="00CB5E60" w:rsidRDefault="0085256E" w:rsidP="00141DD6">
      <w:pPr>
        <w:pStyle w:val="ListParagraph"/>
        <w:numPr>
          <w:ilvl w:val="0"/>
          <w:numId w:val="36"/>
        </w:numPr>
        <w:contextualSpacing w:val="0"/>
        <w:rPr>
          <w:b/>
          <w:color w:val="000000"/>
        </w:rPr>
      </w:pPr>
      <w:r w:rsidRPr="00CB5E60">
        <w:rPr>
          <w:b/>
          <w:color w:val="000000"/>
        </w:rPr>
        <w:t>Hospital/</w:t>
      </w:r>
      <w:r w:rsidR="00223965">
        <w:rPr>
          <w:b/>
          <w:color w:val="000000"/>
        </w:rPr>
        <w:t xml:space="preserve">Hospital </w:t>
      </w:r>
      <w:r w:rsidRPr="00CB5E60">
        <w:rPr>
          <w:b/>
          <w:color w:val="000000"/>
        </w:rPr>
        <w:t>System Reporting to HSCRC</w:t>
      </w:r>
    </w:p>
    <w:p w:rsidR="0085256E" w:rsidRPr="00870CB7" w:rsidRDefault="0085256E" w:rsidP="00141DD6">
      <w:pPr>
        <w:pStyle w:val="ListParagraph"/>
        <w:ind w:left="1080"/>
        <w:rPr>
          <w:color w:val="000000"/>
        </w:rPr>
      </w:pPr>
    </w:p>
    <w:p w:rsidR="0085256E" w:rsidRDefault="0085256E" w:rsidP="00C93552">
      <w:pPr>
        <w:ind w:left="1080"/>
      </w:pPr>
      <w:r w:rsidRPr="00870CB7">
        <w:rPr>
          <w:color w:val="000000"/>
        </w:rPr>
        <w:t xml:space="preserve">On a quarterly basis, the </w:t>
      </w:r>
      <w:r w:rsidR="00DF4BEA">
        <w:rPr>
          <w:color w:val="000000"/>
        </w:rPr>
        <w:t>H</w:t>
      </w:r>
      <w:r w:rsidRPr="00870CB7">
        <w:rPr>
          <w:color w:val="000000"/>
        </w:rPr>
        <w:t>ospital/</w:t>
      </w:r>
      <w:r w:rsidR="00DF4BEA">
        <w:rPr>
          <w:color w:val="000000"/>
        </w:rPr>
        <w:t>H</w:t>
      </w:r>
      <w:r w:rsidR="00AC1165">
        <w:rPr>
          <w:color w:val="000000"/>
        </w:rPr>
        <w:t xml:space="preserve">ospital </w:t>
      </w:r>
      <w:r w:rsidR="00DF4BEA">
        <w:rPr>
          <w:color w:val="000000"/>
        </w:rPr>
        <w:t>S</w:t>
      </w:r>
      <w:r w:rsidRPr="00870CB7">
        <w:rPr>
          <w:color w:val="000000"/>
        </w:rPr>
        <w:t xml:space="preserve">ystem shall supply the HSCRC with data on a number of metrics to track the progress of ARR interventions. </w:t>
      </w:r>
      <w:r w:rsidR="00A278C4">
        <w:rPr>
          <w:color w:val="000000"/>
        </w:rPr>
        <w:t xml:space="preserve">The HSCRC will provide the </w:t>
      </w:r>
      <w:r w:rsidR="00C93552">
        <w:rPr>
          <w:color w:val="000000"/>
        </w:rPr>
        <w:t xml:space="preserve">quarterly reporting specifications </w:t>
      </w:r>
      <w:r w:rsidR="00A278C4">
        <w:rPr>
          <w:color w:val="000000"/>
        </w:rPr>
        <w:t xml:space="preserve">and report due dates </w:t>
      </w:r>
      <w:r w:rsidR="00A278C4" w:rsidRPr="005D39F3">
        <w:t>in the Operati</w:t>
      </w:r>
      <w:r w:rsidR="00A278C4">
        <w:t>onal Policy Guidelines document</w:t>
      </w:r>
      <w:r w:rsidR="00C93552">
        <w:rPr>
          <w:color w:val="000000"/>
        </w:rPr>
        <w:t>.</w:t>
      </w:r>
    </w:p>
    <w:p w:rsidR="0085256E" w:rsidRPr="00870CB7" w:rsidRDefault="0085256E" w:rsidP="00141DD6">
      <w:pPr>
        <w:ind w:left="1080"/>
        <w:rPr>
          <w:color w:val="000000"/>
        </w:rPr>
      </w:pPr>
    </w:p>
    <w:p w:rsidR="00A71C40" w:rsidRPr="00870CB7" w:rsidRDefault="00365E5A" w:rsidP="00141DD6">
      <w:pPr>
        <w:ind w:left="1080"/>
      </w:pPr>
      <w:r w:rsidRPr="00870CB7">
        <w:t xml:space="preserve">The </w:t>
      </w:r>
      <w:r>
        <w:t>H</w:t>
      </w:r>
      <w:r w:rsidRPr="00870CB7">
        <w:t>ospital</w:t>
      </w:r>
      <w:r>
        <w:t>/Hospital System</w:t>
      </w:r>
      <w:r w:rsidRPr="00870CB7">
        <w:t xml:space="preserve"> shall also submit an annual report summarizing trends in the </w:t>
      </w:r>
      <w:r>
        <w:t xml:space="preserve">reported </w:t>
      </w:r>
      <w:r w:rsidRPr="00870CB7">
        <w:t xml:space="preserve">metrics and generally describing the </w:t>
      </w:r>
      <w:r>
        <w:t xml:space="preserve">overall impact of the </w:t>
      </w:r>
      <w:r w:rsidRPr="00870CB7">
        <w:t>ARR program</w:t>
      </w:r>
      <w:r>
        <w:t xml:space="preserve"> for the H</w:t>
      </w:r>
      <w:r w:rsidRPr="00870CB7">
        <w:t>ospital</w:t>
      </w:r>
      <w:r>
        <w:t>/Hospital System.</w:t>
      </w:r>
      <w:r w:rsidRPr="00870CB7">
        <w:t xml:space="preserve"> </w:t>
      </w:r>
      <w:r>
        <w:t xml:space="preserve">The annual report shall provide a </w:t>
      </w:r>
      <w:r w:rsidRPr="00870CB7">
        <w:t xml:space="preserve">precise summary of actual expenditures on personnel and/or interventions and infrastructure dedicated to reducing </w:t>
      </w:r>
      <w:r>
        <w:t xml:space="preserve">readmission </w:t>
      </w:r>
      <w:r w:rsidRPr="00870CB7">
        <w:t>should be included in the Hospital</w:t>
      </w:r>
      <w:r>
        <w:t>'</w:t>
      </w:r>
      <w:r w:rsidRPr="00870CB7">
        <w:t>s</w:t>
      </w:r>
      <w:r>
        <w:t>/Hospital Systems.</w:t>
      </w:r>
      <w:r w:rsidR="00A278C4">
        <w:t xml:space="preserve"> </w:t>
      </w:r>
      <w:r w:rsidR="00A278C4">
        <w:rPr>
          <w:color w:val="000000"/>
        </w:rPr>
        <w:t xml:space="preserve">The HSCRC will provide the annual reporting specifications and report due dates </w:t>
      </w:r>
      <w:r w:rsidR="00A278C4" w:rsidRPr="005D39F3">
        <w:t>in the Operati</w:t>
      </w:r>
      <w:r w:rsidR="00A278C4">
        <w:t>onal Policy Guidelines document</w:t>
      </w:r>
      <w:r w:rsidR="00A278C4">
        <w:rPr>
          <w:color w:val="000000"/>
        </w:rPr>
        <w:t>.</w:t>
      </w:r>
    </w:p>
    <w:p w:rsidR="0085256E" w:rsidRPr="00870CB7" w:rsidRDefault="0085256E" w:rsidP="00141DD6">
      <w:pPr>
        <w:ind w:left="1080"/>
        <w:rPr>
          <w:color w:val="000000"/>
        </w:rPr>
      </w:pPr>
    </w:p>
    <w:p w:rsidR="0085256E" w:rsidRPr="00CB5E60" w:rsidRDefault="0085256E" w:rsidP="00CB5E60">
      <w:pPr>
        <w:pStyle w:val="ListParagraph"/>
        <w:numPr>
          <w:ilvl w:val="0"/>
          <w:numId w:val="36"/>
        </w:numPr>
        <w:contextualSpacing w:val="0"/>
        <w:rPr>
          <w:b/>
          <w:color w:val="000000"/>
        </w:rPr>
      </w:pPr>
      <w:r w:rsidRPr="00CB5E60">
        <w:rPr>
          <w:b/>
          <w:color w:val="000000"/>
        </w:rPr>
        <w:t>HSCRC Monitoring</w:t>
      </w:r>
      <w:r w:rsidR="00CB5E60">
        <w:rPr>
          <w:b/>
          <w:color w:val="000000"/>
        </w:rPr>
        <w:t xml:space="preserve"> and Program Evaluation</w:t>
      </w:r>
    </w:p>
    <w:p w:rsidR="0085256E" w:rsidRPr="00870CB7" w:rsidRDefault="0085256E" w:rsidP="00141DD6">
      <w:pPr>
        <w:pStyle w:val="ListParagraph"/>
        <w:ind w:left="1080"/>
        <w:rPr>
          <w:color w:val="000000"/>
        </w:rPr>
      </w:pPr>
    </w:p>
    <w:p w:rsidR="00895DE9" w:rsidRPr="00141DD6" w:rsidRDefault="00402892" w:rsidP="00136EAF">
      <w:pPr>
        <w:ind w:left="1080"/>
      </w:pPr>
      <w:r>
        <w:rPr>
          <w:color w:val="000000"/>
        </w:rPr>
        <w:t xml:space="preserve">The </w:t>
      </w:r>
      <w:r w:rsidR="0085256E" w:rsidRPr="00870CB7">
        <w:rPr>
          <w:color w:val="000000"/>
        </w:rPr>
        <w:t>HSCRC will monitor certain measures to</w:t>
      </w:r>
      <w:r w:rsidR="00136EAF">
        <w:rPr>
          <w:color w:val="000000"/>
        </w:rPr>
        <w:t xml:space="preserve"> track the impact of ARR. These </w:t>
      </w:r>
      <w:r w:rsidR="0085256E" w:rsidRPr="00870CB7">
        <w:rPr>
          <w:color w:val="000000"/>
        </w:rPr>
        <w:t xml:space="preserve">include, but are not limited to, </w:t>
      </w:r>
      <w:r w:rsidR="00136EAF">
        <w:rPr>
          <w:color w:val="000000"/>
        </w:rPr>
        <w:t xml:space="preserve">metrics outlined in the </w:t>
      </w:r>
      <w:r w:rsidRPr="005D39F3">
        <w:t>Operational Policy Guidelines</w:t>
      </w:r>
      <w:r w:rsidR="00136EAF">
        <w:t>.</w:t>
      </w:r>
    </w:p>
    <w:p w:rsidR="00F31477" w:rsidRPr="00141DD6" w:rsidRDefault="00F31477" w:rsidP="00141DD6">
      <w:pPr>
        <w:pStyle w:val="ListParagraph"/>
        <w:ind w:left="1080"/>
        <w:contextualSpacing w:val="0"/>
      </w:pPr>
    </w:p>
    <w:p w:rsidR="00CB5E60" w:rsidRDefault="0085256E" w:rsidP="00141DD6">
      <w:pPr>
        <w:ind w:left="1080"/>
      </w:pPr>
      <w:r w:rsidRPr="00870CB7">
        <w:t xml:space="preserve">HSCRC staff will examine trends in these identified </w:t>
      </w:r>
      <w:r w:rsidR="00CB5E60">
        <w:t xml:space="preserve">metrics. </w:t>
      </w:r>
      <w:r w:rsidR="00F31477" w:rsidRPr="00870CB7">
        <w:t>Unanticipated changes in these metrics may be cause for modification of the ARR agreement with the Hospital</w:t>
      </w:r>
      <w:r w:rsidR="00223965">
        <w:t>/Hospital System</w:t>
      </w:r>
      <w:r w:rsidR="00F31477" w:rsidRPr="00870CB7">
        <w:t>.</w:t>
      </w:r>
    </w:p>
    <w:p w:rsidR="00CB5E60" w:rsidRDefault="00CB5E60" w:rsidP="00141DD6">
      <w:pPr>
        <w:ind w:left="1080"/>
      </w:pPr>
    </w:p>
    <w:p w:rsidR="0085256E" w:rsidRPr="00870CB7" w:rsidRDefault="00CB5E60" w:rsidP="00141DD6">
      <w:pPr>
        <w:ind w:left="1080"/>
      </w:pPr>
      <w:r w:rsidRPr="00870CB7">
        <w:t xml:space="preserve">After the first 12 months of the ARR </w:t>
      </w:r>
      <w:r w:rsidR="00223965">
        <w:t>agreement</w:t>
      </w:r>
      <w:r w:rsidRPr="00870CB7">
        <w:t xml:space="preserve"> (but no later than 18 months after initiation of </w:t>
      </w:r>
      <w:r w:rsidR="00A278C4">
        <w:t>the</w:t>
      </w:r>
      <w:r w:rsidR="00A278C4" w:rsidRPr="00870CB7">
        <w:t xml:space="preserve"> </w:t>
      </w:r>
      <w:r w:rsidRPr="00870CB7">
        <w:t xml:space="preserve">program), the </w:t>
      </w:r>
      <w:r>
        <w:t xml:space="preserve">HSCRC </w:t>
      </w:r>
      <w:r w:rsidRPr="00870CB7">
        <w:t>staff will undertake an evaluation of the success of ARR</w:t>
      </w:r>
      <w:r w:rsidR="00495546">
        <w:t>.</w:t>
      </w:r>
      <w:r w:rsidRPr="00870CB7">
        <w:t xml:space="preserve"> Success will be evaluated in the context of how well the pilot contributes to the goal of improving the overall value of care provided at the </w:t>
      </w:r>
      <w:r w:rsidR="00223965">
        <w:t>ARR h</w:t>
      </w:r>
      <w:r w:rsidRPr="00870CB7">
        <w:t>ospital</w:t>
      </w:r>
      <w:r>
        <w:t>s</w:t>
      </w:r>
      <w:r w:rsidRPr="00870CB7">
        <w:t xml:space="preserve"> (lower cost and better clinical effectiveness/quality) at both the institution and system level</w:t>
      </w:r>
      <w:r w:rsidR="00A278C4">
        <w:t>s</w:t>
      </w:r>
      <w:r>
        <w:t>.</w:t>
      </w:r>
      <w:r w:rsidRPr="00870CB7">
        <w:t xml:space="preserve"> Particular focus will be applied to an analysis of utilization trends post-ARR implementation (</w:t>
      </w:r>
      <w:r w:rsidR="00402892">
        <w:t>e</w:t>
      </w:r>
      <w:r>
        <w:t>.</w:t>
      </w:r>
      <w:r w:rsidR="00402892">
        <w:t>g</w:t>
      </w:r>
      <w:r>
        <w:t xml:space="preserve">., </w:t>
      </w:r>
      <w:r w:rsidRPr="00870CB7">
        <w:t xml:space="preserve">the utilization metrics </w:t>
      </w:r>
      <w:r>
        <w:t>outlined above</w:t>
      </w:r>
      <w:r w:rsidRPr="00870CB7">
        <w:t xml:space="preserve">). </w:t>
      </w:r>
      <w:r>
        <w:t>HSCRC s</w:t>
      </w:r>
      <w:r w:rsidRPr="00870CB7">
        <w:t xml:space="preserve">taff will report the results of this evaluation to the Commission and the </w:t>
      </w:r>
      <w:r w:rsidR="00AE32DC">
        <w:t>H</w:t>
      </w:r>
      <w:r w:rsidRPr="00870CB7">
        <w:t>ospital</w:t>
      </w:r>
      <w:r w:rsidR="00AE32DC">
        <w:t>/Hospital System</w:t>
      </w:r>
      <w:r w:rsidRPr="00870CB7">
        <w:t xml:space="preserve"> and discuss any appropriate mid-course modifications with the </w:t>
      </w:r>
      <w:r w:rsidR="00AE32DC">
        <w:t>H</w:t>
      </w:r>
      <w:r w:rsidRPr="00870CB7">
        <w:t>ospital</w:t>
      </w:r>
      <w:r w:rsidR="00AE32DC">
        <w:t>/Hospital System</w:t>
      </w:r>
      <w:r w:rsidRPr="00870CB7">
        <w:t xml:space="preserve"> (if any) at that time.</w:t>
      </w:r>
      <w:r w:rsidR="00F31477" w:rsidRPr="00870CB7">
        <w:t xml:space="preserve"> </w:t>
      </w:r>
    </w:p>
    <w:p w:rsidR="00BB0C88" w:rsidRPr="00870CB7" w:rsidRDefault="00BB0C88" w:rsidP="00141DD6">
      <w:pPr>
        <w:ind w:left="1080"/>
      </w:pPr>
    </w:p>
    <w:p w:rsidR="00AE7E4B" w:rsidRPr="00141DD6" w:rsidRDefault="006A6929" w:rsidP="00AE7E4B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Other R</w:t>
      </w:r>
      <w:r w:rsidR="00AE7E4B" w:rsidRPr="00141DD6">
        <w:rPr>
          <w:b/>
        </w:rPr>
        <w:t>equirements</w:t>
      </w:r>
    </w:p>
    <w:p w:rsidR="00AE7E4B" w:rsidRDefault="00AE7E4B" w:rsidP="00AE7E4B">
      <w:pPr>
        <w:ind w:left="720"/>
      </w:pPr>
    </w:p>
    <w:p w:rsidR="00AE7E4B" w:rsidRPr="00141DD6" w:rsidRDefault="00AE7E4B" w:rsidP="00AE7E4B">
      <w:pPr>
        <w:ind w:left="720"/>
      </w:pPr>
      <w:r w:rsidRPr="00141DD6">
        <w:t>Under this agreement, the Hospital</w:t>
      </w:r>
      <w:r w:rsidR="00223965">
        <w:t>/Hospital System</w:t>
      </w:r>
      <w:r w:rsidRPr="00141DD6">
        <w:t xml:space="preserve"> must continue to charge HSCRC approved unit rates f</w:t>
      </w:r>
      <w:r w:rsidR="00402892">
        <w:t>or facility services rendered.</w:t>
      </w:r>
    </w:p>
    <w:p w:rsidR="00AE7E4B" w:rsidRPr="00141DD6" w:rsidRDefault="00AE7E4B" w:rsidP="00AE7E4B">
      <w:pPr>
        <w:ind w:left="720"/>
      </w:pPr>
    </w:p>
    <w:p w:rsidR="008E0B94" w:rsidRPr="00141DD6" w:rsidRDefault="00361EA3" w:rsidP="00141DD6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 xml:space="preserve">Policy Modifications and </w:t>
      </w:r>
      <w:r w:rsidR="00056FC5">
        <w:rPr>
          <w:b/>
        </w:rPr>
        <w:t>Exclusions</w:t>
      </w:r>
    </w:p>
    <w:p w:rsidR="008E0B94" w:rsidRPr="00870CB7" w:rsidRDefault="008E0B94" w:rsidP="00141DD6">
      <w:pPr>
        <w:ind w:left="720"/>
      </w:pPr>
    </w:p>
    <w:p w:rsidR="00361EA3" w:rsidRPr="00361EA3" w:rsidRDefault="008E0B94" w:rsidP="00361EA3">
      <w:pPr>
        <w:pStyle w:val="ListParagraph"/>
        <w:numPr>
          <w:ilvl w:val="0"/>
          <w:numId w:val="45"/>
        </w:numPr>
        <w:rPr>
          <w:b/>
        </w:rPr>
      </w:pPr>
      <w:r w:rsidRPr="00361EA3">
        <w:rPr>
          <w:b/>
        </w:rPr>
        <w:t xml:space="preserve">Modifications to the ROC Calculation </w:t>
      </w:r>
    </w:p>
    <w:p w:rsidR="002A0AFD" w:rsidRDefault="002A0AFD" w:rsidP="00361EA3">
      <w:pPr>
        <w:pStyle w:val="ListParagraph"/>
        <w:ind w:left="1080"/>
      </w:pPr>
    </w:p>
    <w:p w:rsidR="008E0B94" w:rsidRPr="00870CB7" w:rsidRDefault="00BA24B6" w:rsidP="00361EA3">
      <w:pPr>
        <w:pStyle w:val="ListParagraph"/>
        <w:ind w:left="1080"/>
      </w:pPr>
      <w:r w:rsidRPr="00870CB7">
        <w:t>Because this agreement substantially alters the measurements upon which hospitals</w:t>
      </w:r>
      <w:r>
        <w:t>' adjusted</w:t>
      </w:r>
      <w:r w:rsidRPr="00870CB7">
        <w:t xml:space="preserve"> </w:t>
      </w:r>
      <w:r>
        <w:t xml:space="preserve">charges </w:t>
      </w:r>
      <w:r w:rsidRPr="00870CB7">
        <w:t xml:space="preserve">are compared within the State, the </w:t>
      </w:r>
      <w:r>
        <w:t>HSCRC staff shall convene a workgroup in year 1 to review technical issues related to the ROC and ARR.</w:t>
      </w:r>
    </w:p>
    <w:p w:rsidR="00F31477" w:rsidRPr="00870CB7" w:rsidRDefault="00F31477" w:rsidP="00BA24B6">
      <w:pPr>
        <w:ind w:left="1080"/>
      </w:pPr>
    </w:p>
    <w:p w:rsidR="00361EA3" w:rsidRPr="00361EA3" w:rsidRDefault="008E0B94" w:rsidP="00361EA3">
      <w:pPr>
        <w:pStyle w:val="ListParagraph"/>
        <w:numPr>
          <w:ilvl w:val="0"/>
          <w:numId w:val="45"/>
        </w:numPr>
        <w:rPr>
          <w:b/>
        </w:rPr>
      </w:pPr>
      <w:r w:rsidRPr="00361EA3">
        <w:rPr>
          <w:b/>
        </w:rPr>
        <w:t xml:space="preserve">Modifications to the </w:t>
      </w:r>
      <w:r w:rsidR="00361EA3">
        <w:rPr>
          <w:b/>
        </w:rPr>
        <w:t>C</w:t>
      </w:r>
      <w:r w:rsidRPr="00361EA3">
        <w:rPr>
          <w:b/>
        </w:rPr>
        <w:t xml:space="preserve">ase </w:t>
      </w:r>
      <w:r w:rsidR="00361EA3">
        <w:rPr>
          <w:b/>
        </w:rPr>
        <w:t>M</w:t>
      </w:r>
      <w:r w:rsidRPr="00361EA3">
        <w:rPr>
          <w:b/>
        </w:rPr>
        <w:t xml:space="preserve">ix </w:t>
      </w:r>
      <w:r w:rsidR="00361EA3">
        <w:rPr>
          <w:b/>
        </w:rPr>
        <w:t>C</w:t>
      </w:r>
      <w:r w:rsidRPr="00361EA3">
        <w:rPr>
          <w:b/>
        </w:rPr>
        <w:t>alculation</w:t>
      </w:r>
      <w:r w:rsidR="00361EA3">
        <w:rPr>
          <w:b/>
        </w:rPr>
        <w:t xml:space="preserve"> for Purposes of the Case Mix Governor</w:t>
      </w:r>
    </w:p>
    <w:p w:rsidR="00361EA3" w:rsidRDefault="00361EA3" w:rsidP="00361EA3">
      <w:pPr>
        <w:pStyle w:val="ListParagraph"/>
        <w:ind w:left="1080"/>
      </w:pPr>
    </w:p>
    <w:p w:rsidR="008F3C0D" w:rsidRPr="00870CB7" w:rsidRDefault="00223965" w:rsidP="00361EA3">
      <w:pPr>
        <w:pStyle w:val="ListParagraph"/>
        <w:ind w:left="1080"/>
      </w:pPr>
      <w:r>
        <w:t>I</w:t>
      </w:r>
      <w:r w:rsidRPr="00870CB7">
        <w:t xml:space="preserve">f </w:t>
      </w:r>
      <w:r>
        <w:t>the HSCRC determines</w:t>
      </w:r>
      <w:r w:rsidRPr="00870CB7">
        <w:t xml:space="preserve"> that </w:t>
      </w:r>
      <w:r>
        <w:t>the H</w:t>
      </w:r>
      <w:r w:rsidRPr="00870CB7">
        <w:t>ospital is treated unfairly for purposes of the application of the case mix governor</w:t>
      </w:r>
      <w:r>
        <w:t xml:space="preserve"> due to the </w:t>
      </w:r>
      <w:r w:rsidR="00AE32DC">
        <w:t xml:space="preserve">implementation of the </w:t>
      </w:r>
      <w:r>
        <w:t xml:space="preserve">ARR </w:t>
      </w:r>
      <w:r w:rsidR="00AE32DC">
        <w:t>methodology</w:t>
      </w:r>
      <w:r>
        <w:t>, HSCRC s</w:t>
      </w:r>
      <w:r w:rsidR="008E0B94" w:rsidRPr="00870CB7">
        <w:t xml:space="preserve">taff </w:t>
      </w:r>
      <w:r w:rsidR="00DB1953" w:rsidRPr="00870CB7">
        <w:t>may seek to</w:t>
      </w:r>
      <w:r w:rsidR="008E0B94" w:rsidRPr="00870CB7">
        <w:t xml:space="preserve"> devise a methodology to </w:t>
      </w:r>
      <w:r w:rsidR="008F3C0D" w:rsidRPr="00870CB7">
        <w:t xml:space="preserve">eliminate </w:t>
      </w:r>
      <w:r>
        <w:t xml:space="preserve">the </w:t>
      </w:r>
      <w:r w:rsidR="008E0B94" w:rsidRPr="00870CB7">
        <w:t xml:space="preserve">negative impacts </w:t>
      </w:r>
      <w:r>
        <w:t xml:space="preserve">to </w:t>
      </w:r>
      <w:r w:rsidR="00AE32DC">
        <w:t>the</w:t>
      </w:r>
      <w:r>
        <w:t xml:space="preserve"> H</w:t>
      </w:r>
      <w:r w:rsidRPr="00870CB7">
        <w:t xml:space="preserve">ospital’s case mix calculation </w:t>
      </w:r>
      <w:r>
        <w:t xml:space="preserve">that are </w:t>
      </w:r>
      <w:r w:rsidR="008E0B94" w:rsidRPr="00870CB7">
        <w:t xml:space="preserve">associated with the </w:t>
      </w:r>
      <w:r>
        <w:t>Hospital</w:t>
      </w:r>
      <w:r w:rsidR="00AE32DC" w:rsidRPr="00870CB7">
        <w:t>’</w:t>
      </w:r>
      <w:r>
        <w:t xml:space="preserve">s </w:t>
      </w:r>
      <w:r w:rsidR="008E0B94" w:rsidRPr="00870CB7">
        <w:t xml:space="preserve">ARR </w:t>
      </w:r>
      <w:r>
        <w:t xml:space="preserve">initiatives. </w:t>
      </w:r>
    </w:p>
    <w:p w:rsidR="00DB1953" w:rsidRPr="00870CB7" w:rsidRDefault="00DB1953" w:rsidP="00141DD6">
      <w:pPr>
        <w:ind w:left="720"/>
      </w:pPr>
    </w:p>
    <w:p w:rsidR="00361EA3" w:rsidRPr="00361EA3" w:rsidRDefault="00361EA3" w:rsidP="00361EA3">
      <w:pPr>
        <w:pStyle w:val="ListParagraph"/>
        <w:numPr>
          <w:ilvl w:val="0"/>
          <w:numId w:val="45"/>
        </w:numPr>
        <w:rPr>
          <w:b/>
        </w:rPr>
      </w:pPr>
      <w:r w:rsidRPr="00361EA3">
        <w:rPr>
          <w:b/>
        </w:rPr>
        <w:t>Statewide Readmissions Exclusion</w:t>
      </w:r>
    </w:p>
    <w:p w:rsidR="00361EA3" w:rsidRDefault="00361EA3" w:rsidP="00361EA3">
      <w:pPr>
        <w:pStyle w:val="ListParagraph"/>
        <w:ind w:left="1080"/>
      </w:pPr>
    </w:p>
    <w:p w:rsidR="008F3C0D" w:rsidRPr="00870CB7" w:rsidRDefault="00AE32DC" w:rsidP="00361EA3">
      <w:pPr>
        <w:pStyle w:val="ListParagraph"/>
        <w:ind w:left="1080"/>
      </w:pPr>
      <w:r>
        <w:t xml:space="preserve">The </w:t>
      </w:r>
      <w:r w:rsidR="008F3C0D" w:rsidRPr="00870CB7">
        <w:t>Hospital</w:t>
      </w:r>
      <w:r>
        <w:t xml:space="preserve">/Hospital System </w:t>
      </w:r>
      <w:r w:rsidR="00056FC5">
        <w:t>under this agreement</w:t>
      </w:r>
      <w:r w:rsidR="008F3C0D" w:rsidRPr="00870CB7">
        <w:t xml:space="preserve"> will be exempt from any </w:t>
      </w:r>
      <w:r>
        <w:t>s</w:t>
      </w:r>
      <w:r w:rsidR="008F3C0D" w:rsidRPr="00870CB7">
        <w:t xml:space="preserve">tatewide </w:t>
      </w:r>
      <w:r>
        <w:t>r</w:t>
      </w:r>
      <w:r w:rsidR="008F3C0D" w:rsidRPr="00870CB7">
        <w:t>eadmission policy.</w:t>
      </w:r>
    </w:p>
    <w:p w:rsidR="008F3C0D" w:rsidRPr="00870CB7" w:rsidRDefault="008F3C0D" w:rsidP="00141DD6">
      <w:pPr>
        <w:ind w:left="720"/>
      </w:pPr>
    </w:p>
    <w:p w:rsidR="00361EA3" w:rsidRDefault="00361EA3" w:rsidP="00056FC5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 xml:space="preserve">ARR Agreement Modifications </w:t>
      </w:r>
    </w:p>
    <w:p w:rsidR="00361EA3" w:rsidRDefault="00361EA3" w:rsidP="00361EA3">
      <w:pPr>
        <w:pStyle w:val="ListParagraph"/>
        <w:rPr>
          <w:b/>
        </w:rPr>
      </w:pPr>
    </w:p>
    <w:p w:rsidR="008E0B94" w:rsidRPr="00141DD6" w:rsidRDefault="008E0B94" w:rsidP="00361EA3">
      <w:pPr>
        <w:pStyle w:val="ListParagraph"/>
        <w:numPr>
          <w:ilvl w:val="1"/>
          <w:numId w:val="34"/>
        </w:numPr>
        <w:ind w:left="1080"/>
        <w:rPr>
          <w:b/>
        </w:rPr>
      </w:pPr>
      <w:r w:rsidRPr="00141DD6">
        <w:rPr>
          <w:b/>
        </w:rPr>
        <w:t xml:space="preserve">Possible </w:t>
      </w:r>
      <w:r w:rsidR="00056FC5">
        <w:rPr>
          <w:b/>
        </w:rPr>
        <w:t xml:space="preserve">Agreement </w:t>
      </w:r>
      <w:r w:rsidRPr="00141DD6">
        <w:rPr>
          <w:b/>
        </w:rPr>
        <w:t>Modifications to Allow for Better Alignment of Incentives</w:t>
      </w:r>
    </w:p>
    <w:p w:rsidR="008E0B94" w:rsidRPr="00870CB7" w:rsidRDefault="008E0B94" w:rsidP="00141DD6">
      <w:pPr>
        <w:ind w:left="720"/>
      </w:pPr>
    </w:p>
    <w:p w:rsidR="00361EA3" w:rsidRDefault="008E0B94" w:rsidP="00361EA3">
      <w:pPr>
        <w:ind w:left="1080"/>
      </w:pPr>
      <w:r w:rsidRPr="00870CB7">
        <w:t xml:space="preserve">Under healthcare reform, a number of approaches have been </w:t>
      </w:r>
      <w:r w:rsidR="00F31477" w:rsidRPr="00870CB7">
        <w:t>suggested</w:t>
      </w:r>
      <w:r w:rsidR="00CB5E60">
        <w:t xml:space="preserve"> to contain healthcare costs. </w:t>
      </w:r>
      <w:r w:rsidRPr="00870CB7">
        <w:t>For example, bundling serv</w:t>
      </w:r>
      <w:r w:rsidR="00F31477" w:rsidRPr="00870CB7">
        <w:t>ices under a single payment has</w:t>
      </w:r>
      <w:r w:rsidRPr="00870CB7">
        <w:t xml:space="preserve"> been identified prominently as one method for aligning incentives for the efficient d</w:t>
      </w:r>
      <w:r w:rsidR="00CB5E60">
        <w:t>elivery of healthcare services.</w:t>
      </w:r>
      <w:r w:rsidRPr="00870CB7">
        <w:t xml:space="preserve"> The methodology outlined within this </w:t>
      </w:r>
      <w:r w:rsidR="00056FC5">
        <w:t xml:space="preserve">agreement </w:t>
      </w:r>
      <w:r w:rsidRPr="00870CB7">
        <w:t xml:space="preserve">is a first step in bundling </w:t>
      </w:r>
      <w:r w:rsidR="00F31477" w:rsidRPr="00870CB7">
        <w:t xml:space="preserve">services </w:t>
      </w:r>
      <w:r w:rsidRPr="00870CB7">
        <w:t>by providing a single payment for an episode of care, regardless of additional readmissions that occur after the initial admission into a hospital. Because healthcare reform efforts are progressing rapidly, the parties to this agreement may mutually agree to modify its terms to expand the services included within th</w:t>
      </w:r>
      <w:r w:rsidR="005F29C4" w:rsidRPr="00870CB7">
        <w:t>is</w:t>
      </w:r>
      <w:r w:rsidR="00AE32DC">
        <w:t xml:space="preserve"> methodology.</w:t>
      </w:r>
      <w:r w:rsidRPr="00870CB7">
        <w:t xml:space="preserve"> Potential changes include, but are not limited to, the inclusion of hospital outpatient and emergency department services; post-acute care services; additional days within the readmission window; and gain-sharing with physicians.</w:t>
      </w:r>
    </w:p>
    <w:p w:rsidR="00361EA3" w:rsidRDefault="00361EA3" w:rsidP="00361EA3">
      <w:pPr>
        <w:ind w:left="1080"/>
      </w:pPr>
    </w:p>
    <w:p w:rsidR="00361EA3" w:rsidRPr="00361EA3" w:rsidRDefault="00361EA3" w:rsidP="00361EA3">
      <w:pPr>
        <w:pStyle w:val="ListParagraph"/>
        <w:numPr>
          <w:ilvl w:val="1"/>
          <w:numId w:val="34"/>
        </w:numPr>
        <w:ind w:left="1080"/>
        <w:rPr>
          <w:b/>
        </w:rPr>
      </w:pPr>
      <w:r w:rsidRPr="00361EA3">
        <w:rPr>
          <w:b/>
        </w:rPr>
        <w:t>Other Agreement Modifications</w:t>
      </w:r>
    </w:p>
    <w:p w:rsidR="00361EA3" w:rsidRDefault="00361EA3" w:rsidP="00361EA3">
      <w:pPr>
        <w:ind w:left="1080"/>
      </w:pPr>
    </w:p>
    <w:p w:rsidR="00361EA3" w:rsidRPr="00870CB7" w:rsidRDefault="00AE32DC" w:rsidP="00361EA3">
      <w:pPr>
        <w:ind w:left="1080"/>
      </w:pPr>
      <w:r>
        <w:t xml:space="preserve">The </w:t>
      </w:r>
      <w:r w:rsidR="00361EA3" w:rsidRPr="00870CB7">
        <w:t>Hospital</w:t>
      </w:r>
      <w:r>
        <w:t>/Hospital System</w:t>
      </w:r>
      <w:r w:rsidR="00361EA3">
        <w:t xml:space="preserve"> under this agreement</w:t>
      </w:r>
      <w:r w:rsidR="00361EA3" w:rsidRPr="00870CB7">
        <w:t xml:space="preserve"> reserve the right to </w:t>
      </w:r>
      <w:r w:rsidR="00A278C4">
        <w:t>seek modification</w:t>
      </w:r>
      <w:r w:rsidR="00A278C4" w:rsidRPr="00870CB7">
        <w:t xml:space="preserve"> </w:t>
      </w:r>
      <w:r w:rsidR="00A278C4">
        <w:t xml:space="preserve">to </w:t>
      </w:r>
      <w:r w:rsidR="00361EA3" w:rsidRPr="00870CB7">
        <w:t xml:space="preserve">the agreement due to unanticipated circumstances beyond the control of the </w:t>
      </w:r>
      <w:r w:rsidR="00361EA3">
        <w:t>H</w:t>
      </w:r>
      <w:r w:rsidR="00361EA3" w:rsidRPr="00870CB7">
        <w:t>ospital including but not limited to the following:</w:t>
      </w:r>
    </w:p>
    <w:p w:rsidR="00361EA3" w:rsidRPr="00870CB7" w:rsidRDefault="00361EA3" w:rsidP="00361EA3">
      <w:pPr>
        <w:ind w:left="1080"/>
      </w:pPr>
    </w:p>
    <w:p w:rsidR="00361EA3" w:rsidRDefault="00361EA3" w:rsidP="00361EA3">
      <w:pPr>
        <w:pStyle w:val="ListParagraph"/>
        <w:numPr>
          <w:ilvl w:val="0"/>
          <w:numId w:val="21"/>
        </w:numPr>
        <w:ind w:left="1440"/>
        <w:contextualSpacing w:val="0"/>
      </w:pPr>
      <w:r w:rsidRPr="00870CB7">
        <w:t xml:space="preserve">Closure of either an acute care or </w:t>
      </w:r>
      <w:r>
        <w:t xml:space="preserve">psychiatric </w:t>
      </w:r>
      <w:r w:rsidRPr="00870CB7">
        <w:t>facility within its primary services area</w:t>
      </w:r>
      <w:r>
        <w:t>;</w:t>
      </w:r>
    </w:p>
    <w:p w:rsidR="00361EA3" w:rsidRPr="00870CB7" w:rsidRDefault="00361EA3" w:rsidP="00361EA3">
      <w:pPr>
        <w:pStyle w:val="ListParagraph"/>
        <w:ind w:left="1440"/>
        <w:contextualSpacing w:val="0"/>
      </w:pPr>
    </w:p>
    <w:p w:rsidR="00361EA3" w:rsidRPr="00870CB7" w:rsidRDefault="00361EA3" w:rsidP="00361EA3">
      <w:pPr>
        <w:pStyle w:val="ListParagraph"/>
        <w:numPr>
          <w:ilvl w:val="0"/>
          <w:numId w:val="21"/>
        </w:numPr>
        <w:ind w:left="1440"/>
        <w:contextualSpacing w:val="0"/>
      </w:pPr>
      <w:r w:rsidRPr="00870CB7">
        <w:t xml:space="preserve">Significant change in services offered at either an acute care or </w:t>
      </w:r>
      <w:r w:rsidR="00AE32DC">
        <w:t xml:space="preserve">psychiatric </w:t>
      </w:r>
      <w:r w:rsidRPr="00870CB7">
        <w:t>facility within its primary services area</w:t>
      </w:r>
      <w:r>
        <w:t>;</w:t>
      </w:r>
    </w:p>
    <w:p w:rsidR="00361EA3" w:rsidRDefault="00361EA3" w:rsidP="00361EA3">
      <w:pPr>
        <w:pStyle w:val="ListParagraph"/>
        <w:ind w:left="1440"/>
        <w:contextualSpacing w:val="0"/>
      </w:pPr>
    </w:p>
    <w:p w:rsidR="00361EA3" w:rsidRPr="00870CB7" w:rsidRDefault="00361EA3" w:rsidP="00361EA3">
      <w:pPr>
        <w:pStyle w:val="ListParagraph"/>
        <w:numPr>
          <w:ilvl w:val="0"/>
          <w:numId w:val="21"/>
        </w:numPr>
        <w:ind w:left="1440"/>
        <w:contextualSpacing w:val="0"/>
      </w:pPr>
      <w:r w:rsidRPr="00870CB7">
        <w:t>Influenza epidemic, major natural or terrorist disaster in the area which results in a larger than usual number of hospital admissions</w:t>
      </w:r>
      <w:r>
        <w:t>;</w:t>
      </w:r>
    </w:p>
    <w:p w:rsidR="00361EA3" w:rsidRDefault="00361EA3" w:rsidP="00361EA3">
      <w:pPr>
        <w:pStyle w:val="ListParagraph"/>
        <w:ind w:left="1440"/>
      </w:pPr>
    </w:p>
    <w:p w:rsidR="00361EA3" w:rsidRPr="007B782F" w:rsidRDefault="00361EA3" w:rsidP="00361EA3">
      <w:pPr>
        <w:pStyle w:val="ListParagraph"/>
        <w:numPr>
          <w:ilvl w:val="0"/>
          <w:numId w:val="21"/>
        </w:numPr>
        <w:ind w:left="1440"/>
      </w:pPr>
      <w:r w:rsidRPr="00870CB7">
        <w:t>Expansion of Medicaid volumes due to modifications in eligibility re</w:t>
      </w:r>
      <w:r w:rsidRPr="007B782F">
        <w:t>quirements or market factors</w:t>
      </w:r>
      <w:r>
        <w:t>.</w:t>
      </w:r>
    </w:p>
    <w:p w:rsidR="00361EA3" w:rsidRDefault="00361EA3" w:rsidP="00361EA3">
      <w:pPr>
        <w:ind w:left="1440"/>
      </w:pPr>
    </w:p>
    <w:p w:rsidR="00361EA3" w:rsidRDefault="00361EA3" w:rsidP="00AE32DC">
      <w:pPr>
        <w:ind w:left="1080"/>
      </w:pPr>
      <w:r w:rsidRPr="00A71C40">
        <w:t xml:space="preserve">Any such request for modification must be presented and discussed with HSCRC staff.  The staff have the final authority to </w:t>
      </w:r>
      <w:r w:rsidR="00A278C4">
        <w:t>approve</w:t>
      </w:r>
      <w:r w:rsidR="00A278C4" w:rsidRPr="00A71C40">
        <w:t xml:space="preserve"> </w:t>
      </w:r>
      <w:r>
        <w:t xml:space="preserve">or reject </w:t>
      </w:r>
      <w:r w:rsidRPr="00A71C40">
        <w:t>such modifications.</w:t>
      </w:r>
    </w:p>
    <w:p w:rsidR="00361EA3" w:rsidRPr="00141DD6" w:rsidRDefault="00361EA3" w:rsidP="00361EA3">
      <w:pPr>
        <w:ind w:left="1440"/>
      </w:pPr>
    </w:p>
    <w:p w:rsidR="005C3F5A" w:rsidRDefault="00361EA3" w:rsidP="00056FC5">
      <w:pPr>
        <w:pStyle w:val="ListParagraph"/>
        <w:widowControl w:val="0"/>
        <w:numPr>
          <w:ilvl w:val="0"/>
          <w:numId w:val="34"/>
        </w:numPr>
        <w:rPr>
          <w:b/>
        </w:rPr>
      </w:pPr>
      <w:r>
        <w:rPr>
          <w:b/>
        </w:rPr>
        <w:t xml:space="preserve">ARR Agreement </w:t>
      </w:r>
      <w:r w:rsidR="005C3F5A" w:rsidRPr="00141DD6">
        <w:rPr>
          <w:b/>
        </w:rPr>
        <w:t>Cancellation</w:t>
      </w:r>
      <w:r w:rsidR="007B782F" w:rsidRPr="00141DD6">
        <w:rPr>
          <w:b/>
        </w:rPr>
        <w:t xml:space="preserve"> Provisions</w:t>
      </w:r>
    </w:p>
    <w:p w:rsidR="00141DD6" w:rsidRPr="00141DD6" w:rsidRDefault="00141DD6" w:rsidP="00141DD6">
      <w:pPr>
        <w:pStyle w:val="ListParagraph"/>
        <w:widowControl w:val="0"/>
        <w:rPr>
          <w:b/>
        </w:rPr>
      </w:pPr>
    </w:p>
    <w:p w:rsidR="00A278C4" w:rsidRPr="00361EA3" w:rsidRDefault="00D62051" w:rsidP="00A278C4">
      <w:pPr>
        <w:pStyle w:val="ListParagraph"/>
        <w:numPr>
          <w:ilvl w:val="1"/>
          <w:numId w:val="34"/>
        </w:numPr>
        <w:ind w:left="1080"/>
        <w:rPr>
          <w:b/>
        </w:rPr>
      </w:pPr>
      <w:r>
        <w:rPr>
          <w:b/>
        </w:rPr>
        <w:t>Year 1 Cancellation Provision</w:t>
      </w:r>
    </w:p>
    <w:p w:rsidR="00A278C4" w:rsidRDefault="00A278C4" w:rsidP="00141DD6">
      <w:pPr>
        <w:widowControl w:val="0"/>
        <w:ind w:left="720"/>
      </w:pPr>
    </w:p>
    <w:p w:rsidR="00A278C4" w:rsidRDefault="00A278C4" w:rsidP="00A278C4">
      <w:pPr>
        <w:widowControl w:val="0"/>
        <w:ind w:left="1080"/>
      </w:pPr>
      <w:r>
        <w:t>In recognition that the Hospital/Hospital System may enter into this agreement prior to the HSCRC issuing ARR weights</w:t>
      </w:r>
      <w:r w:rsidR="00D62051">
        <w:t xml:space="preserve">, either party </w:t>
      </w:r>
      <w:r>
        <w:t xml:space="preserve">may cancel this agreement, with or </w:t>
      </w:r>
      <w:r>
        <w:lastRenderedPageBreak/>
        <w:t xml:space="preserve">without cause, within 30 days of the HSCRC issuing </w:t>
      </w:r>
      <w:r w:rsidR="00D62051">
        <w:t xml:space="preserve">the first year's </w:t>
      </w:r>
      <w:r>
        <w:t>ARR weights.</w:t>
      </w:r>
    </w:p>
    <w:p w:rsidR="00A278C4" w:rsidRDefault="00A278C4" w:rsidP="00141DD6">
      <w:pPr>
        <w:widowControl w:val="0"/>
        <w:ind w:left="720"/>
      </w:pPr>
    </w:p>
    <w:p w:rsidR="00A278C4" w:rsidRPr="00361EA3" w:rsidRDefault="00D62051" w:rsidP="00A278C4">
      <w:pPr>
        <w:pStyle w:val="ListParagraph"/>
        <w:numPr>
          <w:ilvl w:val="1"/>
          <w:numId w:val="34"/>
        </w:numPr>
        <w:ind w:left="1080"/>
        <w:rPr>
          <w:b/>
        </w:rPr>
      </w:pPr>
      <w:r>
        <w:rPr>
          <w:b/>
        </w:rPr>
        <w:t xml:space="preserve">Hospital/Hospital System </w:t>
      </w:r>
      <w:r w:rsidR="00A278C4">
        <w:rPr>
          <w:b/>
        </w:rPr>
        <w:t>Cancellation Provision at the End of the Cont</w:t>
      </w:r>
      <w:r w:rsidR="003639E4">
        <w:rPr>
          <w:b/>
        </w:rPr>
        <w:t>r</w:t>
      </w:r>
      <w:r w:rsidR="00A278C4">
        <w:rPr>
          <w:b/>
        </w:rPr>
        <w:t>act Period</w:t>
      </w:r>
    </w:p>
    <w:p w:rsidR="00A278C4" w:rsidRDefault="00A278C4" w:rsidP="00141DD6">
      <w:pPr>
        <w:widowControl w:val="0"/>
        <w:ind w:left="720"/>
      </w:pPr>
    </w:p>
    <w:p w:rsidR="00C46C81" w:rsidRDefault="00085A8D" w:rsidP="00C46C81">
      <w:pPr>
        <w:widowControl w:val="0"/>
        <w:ind w:left="1080"/>
      </w:pPr>
      <w:r w:rsidRPr="00870CB7">
        <w:t xml:space="preserve">This </w:t>
      </w:r>
      <w:r w:rsidR="00056FC5">
        <w:t>agreement</w:t>
      </w:r>
      <w:r w:rsidRPr="00870CB7">
        <w:t xml:space="preserve"> may be cancelled by the Hospital</w:t>
      </w:r>
      <w:r w:rsidR="00361EA3">
        <w:t>/Hospital System</w:t>
      </w:r>
      <w:r w:rsidRPr="00870CB7">
        <w:t xml:space="preserve"> at the end </w:t>
      </w:r>
      <w:r w:rsidR="00361EA3">
        <w:t xml:space="preserve">of the </w:t>
      </w:r>
      <w:r w:rsidR="00A278C4">
        <w:t xml:space="preserve">contract period </w:t>
      </w:r>
      <w:r w:rsidRPr="00870CB7">
        <w:t xml:space="preserve">by giving the Commission 60 days </w:t>
      </w:r>
      <w:r w:rsidR="00D62051">
        <w:t xml:space="preserve">prior </w:t>
      </w:r>
      <w:r w:rsidRPr="00870CB7">
        <w:t>written notice of intent t</w:t>
      </w:r>
      <w:r w:rsidR="00056FC5">
        <w:t>o cancel with or without cause.</w:t>
      </w:r>
      <w:r w:rsidRPr="00870CB7">
        <w:t xml:space="preserve"> </w:t>
      </w:r>
    </w:p>
    <w:p w:rsidR="00C46C81" w:rsidRDefault="00C46C81" w:rsidP="00C46C81">
      <w:pPr>
        <w:widowControl w:val="0"/>
        <w:ind w:left="1080"/>
      </w:pPr>
    </w:p>
    <w:p w:rsidR="00D62051" w:rsidRPr="00361EA3" w:rsidRDefault="00D62051" w:rsidP="00D62051">
      <w:pPr>
        <w:pStyle w:val="ListParagraph"/>
        <w:numPr>
          <w:ilvl w:val="1"/>
          <w:numId w:val="34"/>
        </w:numPr>
        <w:ind w:left="1080"/>
        <w:rPr>
          <w:b/>
        </w:rPr>
      </w:pPr>
      <w:r>
        <w:rPr>
          <w:b/>
        </w:rPr>
        <w:t>Commission Cancellation Provision with Cause</w:t>
      </w:r>
    </w:p>
    <w:p w:rsidR="00C46C81" w:rsidRDefault="00C46C81" w:rsidP="00C46C81">
      <w:pPr>
        <w:widowControl w:val="0"/>
        <w:ind w:left="1080"/>
      </w:pPr>
    </w:p>
    <w:p w:rsidR="00C46C81" w:rsidRDefault="00085A8D" w:rsidP="00C46C81">
      <w:pPr>
        <w:widowControl w:val="0"/>
        <w:ind w:left="1080"/>
      </w:pPr>
      <w:r w:rsidRPr="00870CB7">
        <w:t xml:space="preserve">The Commission reserves the right to cancel this </w:t>
      </w:r>
      <w:r w:rsidR="00D62051">
        <w:t>a</w:t>
      </w:r>
      <w:r w:rsidR="00D62051" w:rsidRPr="00870CB7">
        <w:t>greement</w:t>
      </w:r>
      <w:r w:rsidRPr="00870CB7">
        <w:t xml:space="preserve">, with </w:t>
      </w:r>
      <w:r w:rsidRPr="00141DD6">
        <w:t>cause, at any time.</w:t>
      </w:r>
    </w:p>
    <w:p w:rsidR="00A8512E" w:rsidRPr="00141DD6" w:rsidRDefault="00A8512E" w:rsidP="00141DD6">
      <w:pPr>
        <w:widowControl w:val="0"/>
        <w:ind w:left="720"/>
      </w:pPr>
    </w:p>
    <w:p w:rsidR="008E0B94" w:rsidRPr="00141DD6" w:rsidRDefault="008E0B94" w:rsidP="00141DD6">
      <w:pPr>
        <w:pStyle w:val="ListParagraph"/>
        <w:numPr>
          <w:ilvl w:val="0"/>
          <w:numId w:val="28"/>
        </w:numPr>
        <w:ind w:left="360"/>
        <w:rPr>
          <w:b/>
        </w:rPr>
      </w:pPr>
      <w:r w:rsidRPr="00141DD6">
        <w:rPr>
          <w:b/>
        </w:rPr>
        <w:t>Definition of Terms</w:t>
      </w:r>
    </w:p>
    <w:p w:rsidR="00783E57" w:rsidRPr="00141DD6" w:rsidRDefault="00783E57" w:rsidP="00141DD6"/>
    <w:p w:rsidR="00056FC5" w:rsidRDefault="00056FC5" w:rsidP="00056FC5">
      <w:pPr>
        <w:ind w:left="360"/>
        <w:rPr>
          <w:b/>
        </w:rPr>
      </w:pPr>
      <w:r w:rsidRPr="00D21C96">
        <w:rPr>
          <w:b/>
        </w:rPr>
        <w:t>Annual Update:</w:t>
      </w:r>
      <w:r>
        <w:rPr>
          <w:b/>
        </w:rPr>
        <w:t xml:space="preserve"> </w:t>
      </w:r>
      <w:r w:rsidRPr="002C4D6B">
        <w:t>The annual increase to Maryland hospital rate</w:t>
      </w:r>
      <w:r w:rsidR="00B130BB">
        <w:t>s</w:t>
      </w:r>
      <w:r w:rsidRPr="002C4D6B">
        <w:t xml:space="preserve"> for the upcoming HSCRC rate year as approved by the Commission including all applicable adjustments to rates.</w:t>
      </w:r>
    </w:p>
    <w:p w:rsidR="00056FC5" w:rsidRPr="002C045C" w:rsidRDefault="00056FC5" w:rsidP="002C045C">
      <w:pPr>
        <w:ind w:left="360"/>
        <w:rPr>
          <w:b/>
        </w:rPr>
      </w:pPr>
    </w:p>
    <w:p w:rsidR="002C045C" w:rsidRPr="00AE32DC" w:rsidRDefault="002C045C" w:rsidP="002C045C">
      <w:pPr>
        <w:autoSpaceDE w:val="0"/>
        <w:autoSpaceDN w:val="0"/>
        <w:adjustRightInd w:val="0"/>
        <w:ind w:left="360"/>
      </w:pPr>
      <w:r w:rsidRPr="00AE32DC">
        <w:rPr>
          <w:b/>
        </w:rPr>
        <w:t>All Patient Refined Diagnoses Related Groups (APR-DRG):</w:t>
      </w:r>
      <w:r w:rsidRPr="00AE32DC">
        <w:t xml:space="preserve"> The grouping system used by the HSCRC for inpatient services. </w:t>
      </w:r>
      <w:r w:rsidRPr="00AE32DC">
        <w:rPr>
          <w:rFonts w:eastAsiaTheme="minorHAnsi"/>
        </w:rPr>
        <w:t>The Diagnosis Related Groups (DRGs) are a patient classification scheme which provides a means of relating the type of patients a hospital treats (i.e., its case mix) to the costs incurred by the hospital. The All Patient Refined DRGs (APR-DRG) incorporate severity of illness subclasses into the DRGs.</w:t>
      </w:r>
    </w:p>
    <w:p w:rsidR="002C045C" w:rsidRPr="00AE32DC" w:rsidRDefault="002C045C" w:rsidP="002C045C">
      <w:pPr>
        <w:ind w:left="360"/>
        <w:rPr>
          <w:b/>
        </w:rPr>
      </w:pPr>
    </w:p>
    <w:p w:rsidR="00A8512E" w:rsidRPr="00AE32DC" w:rsidRDefault="00A8512E" w:rsidP="00141DD6">
      <w:pPr>
        <w:ind w:left="360"/>
      </w:pPr>
      <w:r w:rsidRPr="00AE32DC">
        <w:rPr>
          <w:b/>
        </w:rPr>
        <w:t>Admission-Readmission</w:t>
      </w:r>
      <w:r w:rsidR="0022178D" w:rsidRPr="00AE32DC">
        <w:rPr>
          <w:b/>
        </w:rPr>
        <w:t xml:space="preserve"> Revenue</w:t>
      </w:r>
      <w:r w:rsidR="002C045C" w:rsidRPr="00AE32DC">
        <w:rPr>
          <w:b/>
        </w:rPr>
        <w:t xml:space="preserve"> (ARR):</w:t>
      </w:r>
      <w:r w:rsidR="002C045C" w:rsidRPr="00AE32DC">
        <w:t xml:space="preserve"> A</w:t>
      </w:r>
      <w:r w:rsidR="00495546">
        <w:t xml:space="preserve"> voluntary</w:t>
      </w:r>
      <w:r w:rsidR="002C045C" w:rsidRPr="00AE32DC">
        <w:t xml:space="preserve"> revenue constraint program</w:t>
      </w:r>
      <w:r w:rsidR="00495546">
        <w:t xml:space="preserve"> (described in this agreement)</w:t>
      </w:r>
      <w:r w:rsidR="002C045C" w:rsidRPr="00AE32DC">
        <w:t xml:space="preserve"> developed by the HSCRC which provides hospitals with a financial incentive to more effectively coordinate care and reduce unnecessary readmissions to their facilities.</w:t>
      </w:r>
    </w:p>
    <w:p w:rsidR="00A8512E" w:rsidRDefault="00A8512E" w:rsidP="00141DD6">
      <w:pPr>
        <w:ind w:left="360"/>
        <w:rPr>
          <w:b/>
        </w:rPr>
      </w:pPr>
    </w:p>
    <w:p w:rsidR="00130B72" w:rsidRDefault="00130B72" w:rsidP="00141DD6">
      <w:pPr>
        <w:ind w:left="360"/>
        <w:rPr>
          <w:b/>
        </w:rPr>
      </w:pPr>
      <w:r w:rsidRPr="00130B72">
        <w:rPr>
          <w:b/>
        </w:rPr>
        <w:t>Admission-Readmission Revenue Operational Policy Guidelines</w:t>
      </w:r>
      <w:r w:rsidRPr="00AE32DC">
        <w:rPr>
          <w:b/>
        </w:rPr>
        <w:t>:</w:t>
      </w:r>
      <w:r w:rsidRPr="00AE32DC">
        <w:t xml:space="preserve"> A document prepared by the HSCRC staff with input from representatives of the hospital industry, providing definitions, examples and explanations of how the ARR methodology will be </w:t>
      </w:r>
      <w:proofErr w:type="spellStart"/>
      <w:r w:rsidRPr="00AE32DC">
        <w:t>operationalized</w:t>
      </w:r>
      <w:proofErr w:type="spellEnd"/>
      <w:r w:rsidRPr="00AE32DC">
        <w:t xml:space="preserve">. The document includes definitions of the 30 day ARR-EOC covered by this agreement, </w:t>
      </w:r>
      <w:r w:rsidR="00D62051">
        <w:t xml:space="preserve">a </w:t>
      </w:r>
      <w:r w:rsidRPr="00AE32DC">
        <w:t>list and examples of cases excluded from this agreement (unless otherwise noted in this Agreement), and a discussion of other operational issues associated with ARR.</w:t>
      </w:r>
      <w:r w:rsidR="00D62051">
        <w:t xml:space="preserve"> The HSCRC will update the Operational Policy Guidelines to document updates and revisions to the ARR methodology.  </w:t>
      </w:r>
    </w:p>
    <w:p w:rsidR="00130B72" w:rsidRPr="00AE32DC" w:rsidRDefault="00130B72" w:rsidP="00141DD6">
      <w:pPr>
        <w:ind w:left="360"/>
        <w:rPr>
          <w:b/>
        </w:rPr>
      </w:pPr>
    </w:p>
    <w:p w:rsidR="00E803A4" w:rsidRPr="00AE32DC" w:rsidRDefault="00E803A4" w:rsidP="00141DD6">
      <w:pPr>
        <w:ind w:left="360"/>
        <w:rPr>
          <w:b/>
        </w:rPr>
      </w:pPr>
      <w:r w:rsidRPr="00AE32DC">
        <w:rPr>
          <w:b/>
        </w:rPr>
        <w:t>ARR Case Mix Index (ARR-CMI):</w:t>
      </w:r>
      <w:r w:rsidRPr="00AE32DC">
        <w:t xml:space="preserve"> The case mix index </w:t>
      </w:r>
      <w:r w:rsidR="00B130BB" w:rsidRPr="00AE32DC">
        <w:t>calculated</w:t>
      </w:r>
      <w:r w:rsidRPr="00AE32DC">
        <w:t xml:space="preserve"> for ARR hospitals using the bundled episodes.</w:t>
      </w:r>
    </w:p>
    <w:p w:rsidR="00E803A4" w:rsidRPr="00AE32DC" w:rsidRDefault="00E803A4" w:rsidP="00141DD6">
      <w:pPr>
        <w:ind w:left="360"/>
        <w:rPr>
          <w:b/>
        </w:rPr>
      </w:pPr>
    </w:p>
    <w:p w:rsidR="00056FC5" w:rsidRDefault="00056FC5" w:rsidP="00141DD6">
      <w:pPr>
        <w:ind w:left="360"/>
        <w:rPr>
          <w:b/>
        </w:rPr>
      </w:pPr>
      <w:r w:rsidRPr="00AE32DC">
        <w:rPr>
          <w:b/>
        </w:rPr>
        <w:t xml:space="preserve">ARR Charge </w:t>
      </w:r>
      <w:r w:rsidR="0022178D" w:rsidRPr="00AE32DC">
        <w:rPr>
          <w:b/>
        </w:rPr>
        <w:t>P</w:t>
      </w:r>
      <w:r w:rsidRPr="00AE32DC">
        <w:rPr>
          <w:b/>
        </w:rPr>
        <w:t xml:space="preserve">er Episode (ARR-CPE): </w:t>
      </w:r>
      <w:r w:rsidRPr="00AE32DC">
        <w:t xml:space="preserve">An ARR hospital’s approved revenue constraint </w:t>
      </w:r>
      <w:r w:rsidR="00AE1B0D" w:rsidRPr="00AE32DC">
        <w:t>as determined by dividing approved included revenue by the count of ARR Episodes of Care</w:t>
      </w:r>
      <w:r w:rsidRPr="00AE32DC">
        <w:t>.</w:t>
      </w:r>
    </w:p>
    <w:p w:rsidR="00056FC5" w:rsidRDefault="00056FC5" w:rsidP="00141DD6">
      <w:pPr>
        <w:ind w:left="360"/>
        <w:rPr>
          <w:b/>
        </w:rPr>
      </w:pPr>
    </w:p>
    <w:p w:rsidR="001F313E" w:rsidRDefault="00AE32DC" w:rsidP="001F313E">
      <w:pPr>
        <w:ind w:left="360"/>
      </w:pPr>
      <w:r>
        <w:rPr>
          <w:b/>
        </w:rPr>
        <w:lastRenderedPageBreak/>
        <w:t>A</w:t>
      </w:r>
      <w:r w:rsidRPr="00AE32DC">
        <w:rPr>
          <w:b/>
        </w:rPr>
        <w:t xml:space="preserve">RR </w:t>
      </w:r>
      <w:r>
        <w:rPr>
          <w:b/>
        </w:rPr>
        <w:t xml:space="preserve">Episode of Care </w:t>
      </w:r>
      <w:r w:rsidRPr="00AE32DC">
        <w:rPr>
          <w:b/>
        </w:rPr>
        <w:t>(ARR-</w:t>
      </w:r>
      <w:r>
        <w:rPr>
          <w:b/>
        </w:rPr>
        <w:t>EOC</w:t>
      </w:r>
      <w:r w:rsidRPr="00AE32DC">
        <w:rPr>
          <w:b/>
        </w:rPr>
        <w:t xml:space="preserve">): </w:t>
      </w:r>
      <w:r w:rsidRPr="00AE32DC">
        <w:t xml:space="preserve">An </w:t>
      </w:r>
      <w:r w:rsidR="001F313E">
        <w:t xml:space="preserve">episode of care, defined for purposes of this ARR agreement, includes an initial admission of a patient and any subsequent readmissions to the same facility, or linked system hospitals, </w:t>
      </w:r>
      <w:r w:rsidR="001F313E" w:rsidRPr="007B782F">
        <w:t>within 30 days of the discharge of the initial admission of the same patient</w:t>
      </w:r>
      <w:r w:rsidR="001F313E">
        <w:t xml:space="preserve">. </w:t>
      </w:r>
    </w:p>
    <w:p w:rsidR="00AE32DC" w:rsidRDefault="00AE32DC" w:rsidP="00141DD6">
      <w:pPr>
        <w:ind w:left="360"/>
      </w:pPr>
    </w:p>
    <w:p w:rsidR="00056FC5" w:rsidRDefault="00056FC5" w:rsidP="00141DD6">
      <w:pPr>
        <w:ind w:left="360"/>
        <w:rPr>
          <w:b/>
        </w:rPr>
      </w:pPr>
      <w:r w:rsidRPr="00D21C96">
        <w:rPr>
          <w:b/>
        </w:rPr>
        <w:t>Base Period:</w:t>
      </w:r>
      <w:r>
        <w:rPr>
          <w:b/>
        </w:rPr>
        <w:t xml:space="preserve"> </w:t>
      </w:r>
      <w:r w:rsidRPr="002C4D6B">
        <w:t xml:space="preserve">The rate year immediately preceding the first year of the ARR pilot program (or in this case the </w:t>
      </w:r>
      <w:r>
        <w:t xml:space="preserve">initial </w:t>
      </w:r>
      <w:r w:rsidRPr="002C4D6B">
        <w:t>base period cover</w:t>
      </w:r>
      <w:r>
        <w:t>s</w:t>
      </w:r>
      <w:r w:rsidRPr="002C4D6B">
        <w:t xml:space="preserve"> the period from </w:t>
      </w:r>
      <w:r>
        <w:t>July 1</w:t>
      </w:r>
      <w:r w:rsidRPr="002C4D6B">
        <w:t xml:space="preserve">, 2010 through </w:t>
      </w:r>
      <w:r>
        <w:t>June 3</w:t>
      </w:r>
      <w:r w:rsidR="0093619A">
        <w:t>0</w:t>
      </w:r>
      <w:r>
        <w:t>, 2011 with a lead month of June 2010 to capture Initial Admissions resulting in a Re-admission within 30 days</w:t>
      </w:r>
      <w:r w:rsidRPr="002C4D6B">
        <w:t>).</w:t>
      </w:r>
    </w:p>
    <w:p w:rsidR="00056FC5" w:rsidRDefault="00056FC5" w:rsidP="00141DD6">
      <w:pPr>
        <w:ind w:left="360"/>
        <w:rPr>
          <w:b/>
        </w:rPr>
      </w:pPr>
    </w:p>
    <w:p w:rsidR="00056FC5" w:rsidRDefault="00056FC5" w:rsidP="00056FC5">
      <w:pPr>
        <w:ind w:left="360"/>
      </w:pPr>
      <w:r w:rsidRPr="00743D81">
        <w:rPr>
          <w:b/>
        </w:rPr>
        <w:t>Categorical Exclusions</w:t>
      </w:r>
      <w:r w:rsidRPr="002C045C">
        <w:rPr>
          <w:b/>
        </w:rPr>
        <w:t>:</w:t>
      </w:r>
      <w:r>
        <w:t xml:space="preserve"> Inpatient cases excluded from the CPC per existing Commission policy.</w:t>
      </w:r>
    </w:p>
    <w:p w:rsidR="00AE1B0D" w:rsidRDefault="00AE1B0D" w:rsidP="00056FC5">
      <w:pPr>
        <w:ind w:left="360"/>
      </w:pPr>
    </w:p>
    <w:p w:rsidR="00AE1B0D" w:rsidRDefault="00AE1B0D" w:rsidP="00056FC5">
      <w:pPr>
        <w:ind w:left="360"/>
      </w:pPr>
      <w:r w:rsidRPr="00AE32DC">
        <w:rPr>
          <w:b/>
        </w:rPr>
        <w:t>Charge Per Case</w:t>
      </w:r>
      <w:r w:rsidR="00130B72">
        <w:rPr>
          <w:b/>
        </w:rPr>
        <w:t xml:space="preserve"> (CPC)</w:t>
      </w:r>
      <w:r w:rsidRPr="00AE32DC">
        <w:rPr>
          <w:b/>
        </w:rPr>
        <w:t xml:space="preserve">: </w:t>
      </w:r>
      <w:r w:rsidRPr="00AE32DC">
        <w:t>The Commission-approved charge constraint methodology focusing on individual inpatient cases.</w:t>
      </w:r>
    </w:p>
    <w:p w:rsidR="00056FC5" w:rsidRPr="00AE32DC" w:rsidRDefault="00056FC5" w:rsidP="00056FC5">
      <w:pPr>
        <w:ind w:left="360"/>
        <w:rPr>
          <w:b/>
        </w:rPr>
      </w:pPr>
    </w:p>
    <w:p w:rsidR="00471D98" w:rsidRPr="00AE32DC" w:rsidRDefault="00783E57" w:rsidP="00141DD6">
      <w:pPr>
        <w:ind w:left="360"/>
        <w:rPr>
          <w:b/>
        </w:rPr>
      </w:pPr>
      <w:r w:rsidRPr="00AE32DC">
        <w:rPr>
          <w:b/>
        </w:rPr>
        <w:t>Initial Admission</w:t>
      </w:r>
      <w:r w:rsidR="006652B8" w:rsidRPr="00AE32DC">
        <w:rPr>
          <w:b/>
        </w:rPr>
        <w:t xml:space="preserve"> </w:t>
      </w:r>
      <w:r w:rsidR="00056FC5" w:rsidRPr="00AE32DC">
        <w:rPr>
          <w:b/>
        </w:rPr>
        <w:t>(IA</w:t>
      </w:r>
      <w:r w:rsidR="006652B8" w:rsidRPr="00AE32DC">
        <w:rPr>
          <w:b/>
        </w:rPr>
        <w:t>)</w:t>
      </w:r>
      <w:r w:rsidRPr="00AE32DC">
        <w:rPr>
          <w:b/>
        </w:rPr>
        <w:t>:</w:t>
      </w:r>
      <w:r w:rsidRPr="00AE32DC">
        <w:t xml:space="preserve"> The initial ho</w:t>
      </w:r>
      <w:r w:rsidR="00471D98" w:rsidRPr="00AE32DC">
        <w:t>spitalization of a patient is th</w:t>
      </w:r>
      <w:r w:rsidR="002C045C" w:rsidRPr="00AE32DC">
        <w:t xml:space="preserve">e admission that begins the ARR-EOC </w:t>
      </w:r>
      <w:r w:rsidR="00471D98" w:rsidRPr="00AE32DC">
        <w:t xml:space="preserve">(over a 30 day window) for subsequent readmissions of that same patient to the same hospital within 30 days from the discharge of that initial hospitalization. </w:t>
      </w:r>
      <w:r w:rsidR="002C045C" w:rsidRPr="00AE32DC">
        <w:t>In this agreement, all references to initial admissions include both only admissions and initial admissions.</w:t>
      </w:r>
    </w:p>
    <w:p w:rsidR="000152B9" w:rsidRPr="00AE32DC" w:rsidRDefault="000152B9" w:rsidP="00141DD6">
      <w:pPr>
        <w:ind w:left="360"/>
        <w:rPr>
          <w:b/>
        </w:rPr>
      </w:pPr>
    </w:p>
    <w:p w:rsidR="00056FC5" w:rsidRPr="00AE32DC" w:rsidRDefault="00056FC5" w:rsidP="00056FC5">
      <w:pPr>
        <w:ind w:left="360"/>
      </w:pPr>
      <w:r w:rsidRPr="00AE32DC">
        <w:rPr>
          <w:b/>
        </w:rPr>
        <w:t>Intra-Hospital Readmissions:</w:t>
      </w:r>
      <w:r w:rsidRPr="00AE32DC">
        <w:t xml:space="preserve"> Cases originally treated at </w:t>
      </w:r>
      <w:r w:rsidR="00AE1B0D" w:rsidRPr="00AE32DC">
        <w:t xml:space="preserve">an </w:t>
      </w:r>
      <w:r w:rsidRPr="00AE32DC">
        <w:t>ARR Hospital and subsequently readmitted to that same Hospital within the identified 30 day window.</w:t>
      </w:r>
    </w:p>
    <w:p w:rsidR="00056FC5" w:rsidRPr="00AE32DC" w:rsidRDefault="00056FC5" w:rsidP="00056FC5">
      <w:pPr>
        <w:ind w:left="360"/>
        <w:rPr>
          <w:b/>
        </w:rPr>
      </w:pPr>
    </w:p>
    <w:p w:rsidR="00056FC5" w:rsidRPr="00AE32DC" w:rsidRDefault="00056FC5" w:rsidP="00056FC5">
      <w:pPr>
        <w:ind w:left="360"/>
        <w:rPr>
          <w:b/>
        </w:rPr>
      </w:pPr>
      <w:r w:rsidRPr="00AE32DC">
        <w:rPr>
          <w:b/>
        </w:rPr>
        <w:t>Intra-System Readmissions:</w:t>
      </w:r>
      <w:r w:rsidRPr="00AE32DC">
        <w:t xml:space="preserve"> Cases originally treated at </w:t>
      </w:r>
      <w:r w:rsidR="00AE1B0D" w:rsidRPr="00AE32DC">
        <w:t>a Hospital in an ARR</w:t>
      </w:r>
      <w:r w:rsidRPr="00AE32DC">
        <w:t xml:space="preserve"> Hospital System </w:t>
      </w:r>
      <w:r w:rsidR="00AE1B0D" w:rsidRPr="00AE32DC">
        <w:t xml:space="preserve">and </w:t>
      </w:r>
      <w:r w:rsidRPr="00AE32DC">
        <w:t xml:space="preserve">subsequently readmitted to another Hospital in that same </w:t>
      </w:r>
      <w:r w:rsidR="00AE1B0D" w:rsidRPr="00AE32DC">
        <w:t xml:space="preserve">ARR </w:t>
      </w:r>
      <w:r w:rsidRPr="00AE32DC">
        <w:t>Hospital System within the identified 30 day window.</w:t>
      </w:r>
    </w:p>
    <w:p w:rsidR="00056FC5" w:rsidRPr="00AE32DC" w:rsidRDefault="00056FC5" w:rsidP="00056FC5">
      <w:pPr>
        <w:ind w:left="360"/>
        <w:rPr>
          <w:b/>
        </w:rPr>
      </w:pPr>
    </w:p>
    <w:p w:rsidR="00056FC5" w:rsidRPr="00AE32DC" w:rsidRDefault="00056FC5" w:rsidP="00056FC5">
      <w:pPr>
        <w:ind w:left="360"/>
      </w:pPr>
      <w:r w:rsidRPr="00AE32DC">
        <w:rPr>
          <w:b/>
        </w:rPr>
        <w:t>Inter-Hospital Readmissions:</w:t>
      </w:r>
      <w:r w:rsidRPr="00AE32DC">
        <w:t xml:space="preserve"> Cases originally treated at </w:t>
      </w:r>
      <w:r w:rsidR="00AE1B0D" w:rsidRPr="00AE32DC">
        <w:t xml:space="preserve">an </w:t>
      </w:r>
      <w:r w:rsidRPr="00AE32DC">
        <w:t xml:space="preserve">ARR </w:t>
      </w:r>
      <w:r w:rsidR="00AE1B0D" w:rsidRPr="00AE32DC">
        <w:t>H</w:t>
      </w:r>
      <w:r w:rsidRPr="00AE32DC">
        <w:t>ospital but later readmitted to another facility within the identified 30 day window.</w:t>
      </w:r>
    </w:p>
    <w:p w:rsidR="00056FC5" w:rsidRPr="00AE32DC" w:rsidRDefault="00056FC5" w:rsidP="00141DD6">
      <w:pPr>
        <w:ind w:left="360"/>
        <w:rPr>
          <w:b/>
        </w:rPr>
      </w:pPr>
    </w:p>
    <w:p w:rsidR="00AE1B0D" w:rsidRPr="00AE1B0D" w:rsidRDefault="00AE1B0D" w:rsidP="00141DD6">
      <w:pPr>
        <w:ind w:left="360"/>
      </w:pPr>
      <w:r w:rsidRPr="00AE32DC">
        <w:rPr>
          <w:b/>
        </w:rPr>
        <w:t xml:space="preserve">Linked System Hospital: </w:t>
      </w:r>
      <w:r w:rsidRPr="00AE32DC">
        <w:t>Hospitals within a multi-hospital system that are treated as a single entity for determining ARR-EOCs.</w:t>
      </w:r>
    </w:p>
    <w:p w:rsidR="00AE1B0D" w:rsidRDefault="00AE1B0D" w:rsidP="00141DD6">
      <w:pPr>
        <w:ind w:left="360"/>
        <w:rPr>
          <w:b/>
        </w:rPr>
      </w:pPr>
    </w:p>
    <w:p w:rsidR="0008608C" w:rsidRPr="00AE32DC" w:rsidRDefault="0008608C" w:rsidP="00141DD6">
      <w:pPr>
        <w:ind w:left="360"/>
      </w:pPr>
      <w:r w:rsidRPr="00AE32DC">
        <w:rPr>
          <w:b/>
        </w:rPr>
        <w:t>Maryland Hospital Acquired Conditions Initiative</w:t>
      </w:r>
      <w:r w:rsidR="00E803A4" w:rsidRPr="00AE32DC">
        <w:rPr>
          <w:b/>
        </w:rPr>
        <w:t xml:space="preserve"> (MHAC)</w:t>
      </w:r>
      <w:r w:rsidRPr="00AE32DC">
        <w:rPr>
          <w:b/>
        </w:rPr>
        <w:t xml:space="preserve">: </w:t>
      </w:r>
      <w:r w:rsidRPr="00AE32DC">
        <w:t>The HSCRC’s Hospital Acquired Condition</w:t>
      </w:r>
      <w:r w:rsidR="00E803A4" w:rsidRPr="00AE32DC">
        <w:t>s</w:t>
      </w:r>
      <w:r w:rsidRPr="00AE32DC">
        <w:t xml:space="preserve"> measurement methodology that compares a hospital’s risk-adjusted actual rate of </w:t>
      </w:r>
      <w:r w:rsidR="00E803A4" w:rsidRPr="00AE32DC">
        <w:t>hospital acquired conditions</w:t>
      </w:r>
      <w:r w:rsidRPr="00AE32DC">
        <w:t xml:space="preserve"> to an expected or predicted rate based on State-wide experience.</w:t>
      </w:r>
    </w:p>
    <w:p w:rsidR="0008608C" w:rsidRPr="00AE32DC" w:rsidRDefault="0008608C" w:rsidP="00141DD6">
      <w:pPr>
        <w:ind w:left="360"/>
        <w:rPr>
          <w:b/>
        </w:rPr>
      </w:pPr>
    </w:p>
    <w:p w:rsidR="0008608C" w:rsidRPr="00AE32DC" w:rsidRDefault="0008608C" w:rsidP="00141DD6">
      <w:pPr>
        <w:ind w:left="360"/>
        <w:rPr>
          <w:b/>
        </w:rPr>
      </w:pPr>
      <w:r w:rsidRPr="00AE32DC">
        <w:rPr>
          <w:b/>
        </w:rPr>
        <w:t xml:space="preserve">Measurement Period: </w:t>
      </w:r>
      <w:r w:rsidRPr="00AE32DC">
        <w:t>The current rate year (or rate year immediately following the Base Period) which will</w:t>
      </w:r>
      <w:r w:rsidR="0022178D" w:rsidRPr="00AE32DC">
        <w:t xml:space="preserve"> be the basis for measuring ARR </w:t>
      </w:r>
      <w:r w:rsidRPr="00AE32DC">
        <w:t>performance.</w:t>
      </w:r>
    </w:p>
    <w:p w:rsidR="0008608C" w:rsidRPr="00AE32DC" w:rsidRDefault="0008608C" w:rsidP="00141DD6">
      <w:pPr>
        <w:ind w:left="360"/>
        <w:rPr>
          <w:b/>
        </w:rPr>
      </w:pPr>
    </w:p>
    <w:p w:rsidR="00471D98" w:rsidRPr="00D21C96" w:rsidRDefault="00471D98" w:rsidP="00141DD6">
      <w:pPr>
        <w:ind w:left="360"/>
        <w:rPr>
          <w:b/>
        </w:rPr>
      </w:pPr>
      <w:r w:rsidRPr="00AE32DC">
        <w:rPr>
          <w:b/>
        </w:rPr>
        <w:lastRenderedPageBreak/>
        <w:t>Only Admission</w:t>
      </w:r>
      <w:r w:rsidR="002C045C" w:rsidRPr="00AE32DC">
        <w:rPr>
          <w:b/>
        </w:rPr>
        <w:t xml:space="preserve"> (OA</w:t>
      </w:r>
      <w:r w:rsidR="006652B8" w:rsidRPr="00AE32DC">
        <w:rPr>
          <w:b/>
        </w:rPr>
        <w:t>)</w:t>
      </w:r>
      <w:r w:rsidRPr="00AE32DC">
        <w:rPr>
          <w:b/>
        </w:rPr>
        <w:t xml:space="preserve">: </w:t>
      </w:r>
      <w:r w:rsidRPr="00AE32DC">
        <w:t xml:space="preserve">An </w:t>
      </w:r>
      <w:r w:rsidR="0022178D" w:rsidRPr="00AE32DC">
        <w:t xml:space="preserve">initial </w:t>
      </w:r>
      <w:r w:rsidRPr="00AE32DC">
        <w:t>admission that does not have a subsequent readmission within the readmission window</w:t>
      </w:r>
      <w:r w:rsidR="002C045C" w:rsidRPr="00AE32DC">
        <w:t>. In this agreement, all references to initial admissions include both only admissions and initial admissions.</w:t>
      </w:r>
    </w:p>
    <w:p w:rsidR="00783E57" w:rsidRDefault="00783E57" w:rsidP="00141DD6">
      <w:pPr>
        <w:ind w:left="360"/>
      </w:pPr>
    </w:p>
    <w:p w:rsidR="0008608C" w:rsidRDefault="0008608C" w:rsidP="00141DD6">
      <w:pPr>
        <w:ind w:left="360"/>
      </w:pPr>
      <w:r>
        <w:rPr>
          <w:b/>
        </w:rPr>
        <w:t xml:space="preserve">Price </w:t>
      </w:r>
      <w:r w:rsidRPr="00D21C96">
        <w:rPr>
          <w:b/>
        </w:rPr>
        <w:t>Compliance</w:t>
      </w:r>
      <w:r>
        <w:rPr>
          <w:b/>
        </w:rPr>
        <w:t xml:space="preserve"> and Volume Adjustments</w:t>
      </w:r>
      <w:r w:rsidRPr="00D21C96">
        <w:rPr>
          <w:b/>
        </w:rPr>
        <w:t>:</w:t>
      </w:r>
      <w:r>
        <w:rPr>
          <w:b/>
        </w:rPr>
        <w:t xml:space="preserve"> </w:t>
      </w:r>
      <w:r w:rsidRPr="00974880">
        <w:t>Application of the Commission’s normal one-time price and volume adjustments (after accounting for the impact of readmission volume changes).</w:t>
      </w:r>
    </w:p>
    <w:p w:rsidR="0008608C" w:rsidRDefault="0008608C" w:rsidP="00141DD6">
      <w:pPr>
        <w:ind w:left="360"/>
        <w:rPr>
          <w:b/>
        </w:rPr>
      </w:pPr>
    </w:p>
    <w:p w:rsidR="0008608C" w:rsidRPr="00AE32DC" w:rsidRDefault="0008608C" w:rsidP="00141DD6">
      <w:pPr>
        <w:ind w:left="360"/>
      </w:pPr>
      <w:r w:rsidRPr="00AE32DC">
        <w:rPr>
          <w:b/>
        </w:rPr>
        <w:t xml:space="preserve">Quality-Based Reimbursement: </w:t>
      </w:r>
      <w:r w:rsidR="00BF7E0F">
        <w:t>The HSCRC’s p</w:t>
      </w:r>
      <w:r w:rsidRPr="00AE32DC">
        <w:t>ay-for-</w:t>
      </w:r>
      <w:r w:rsidR="00BF7E0F">
        <w:t>p</w:t>
      </w:r>
      <w:r w:rsidRPr="00AE32DC">
        <w:t>erformance initiative link</w:t>
      </w:r>
      <w:r w:rsidR="00BF7E0F">
        <w:t>ing</w:t>
      </w:r>
      <w:r w:rsidRPr="00AE32DC">
        <w:t xml:space="preserve"> hospital </w:t>
      </w:r>
      <w:r w:rsidR="00BF7E0F">
        <w:t xml:space="preserve">payment with </w:t>
      </w:r>
      <w:r w:rsidRPr="00AE32DC">
        <w:t xml:space="preserve">performance (both relative and year-to-year) on a </w:t>
      </w:r>
      <w:r w:rsidR="00BF7E0F">
        <w:t xml:space="preserve">set </w:t>
      </w:r>
      <w:r w:rsidRPr="00AE32DC">
        <w:t xml:space="preserve">of processes of care </w:t>
      </w:r>
      <w:r w:rsidR="00BF7E0F">
        <w:t>and patient experience of care measures</w:t>
      </w:r>
      <w:r w:rsidRPr="00AE32DC">
        <w:t>.</w:t>
      </w:r>
    </w:p>
    <w:p w:rsidR="00E803A4" w:rsidRPr="00AE32DC" w:rsidRDefault="00E803A4" w:rsidP="00141DD6">
      <w:pPr>
        <w:ind w:left="360"/>
      </w:pPr>
    </w:p>
    <w:p w:rsidR="008E0B94" w:rsidRPr="00AE32DC" w:rsidRDefault="008E0B94" w:rsidP="00141DD6">
      <w:pPr>
        <w:ind w:left="360"/>
      </w:pPr>
      <w:r w:rsidRPr="00AE32DC">
        <w:rPr>
          <w:b/>
        </w:rPr>
        <w:t>Readmission</w:t>
      </w:r>
      <w:r w:rsidR="00471D98" w:rsidRPr="00AE32DC">
        <w:rPr>
          <w:b/>
        </w:rPr>
        <w:t>s</w:t>
      </w:r>
      <w:r w:rsidR="006652B8" w:rsidRPr="00AE32DC">
        <w:rPr>
          <w:b/>
        </w:rPr>
        <w:t xml:space="preserve"> (RA)</w:t>
      </w:r>
      <w:r w:rsidRPr="00AE32DC">
        <w:rPr>
          <w:b/>
        </w:rPr>
        <w:t>:</w:t>
      </w:r>
      <w:r w:rsidR="00471D98" w:rsidRPr="00AE32DC">
        <w:t xml:space="preserve"> </w:t>
      </w:r>
      <w:r w:rsidRPr="00AE32DC">
        <w:t xml:space="preserve">Readmissions </w:t>
      </w:r>
      <w:r w:rsidR="00E803A4" w:rsidRPr="00AE32DC">
        <w:t xml:space="preserve">or </w:t>
      </w:r>
      <w:proofErr w:type="spellStart"/>
      <w:r w:rsidR="00E803A4" w:rsidRPr="00AE32DC">
        <w:t>r</w:t>
      </w:r>
      <w:r w:rsidR="00471D98" w:rsidRPr="00AE32DC">
        <w:t>ehospitalizations</w:t>
      </w:r>
      <w:proofErr w:type="spellEnd"/>
      <w:r w:rsidR="00471D98" w:rsidRPr="00AE32DC">
        <w:t xml:space="preserve"> for the purposes of this </w:t>
      </w:r>
      <w:r w:rsidR="00E803A4" w:rsidRPr="00AE32DC">
        <w:t>a</w:t>
      </w:r>
      <w:r w:rsidR="00471D98" w:rsidRPr="00AE32DC">
        <w:t>greement, are those situations where a patient was previously initially admitted to the Hospital for inpatient treatment and then subsequently brought back and admitted again to th</w:t>
      </w:r>
      <w:r w:rsidR="00DB1953" w:rsidRPr="00AE32DC">
        <w:t>at</w:t>
      </w:r>
      <w:r w:rsidR="00471D98" w:rsidRPr="00AE32DC">
        <w:t xml:space="preserve"> </w:t>
      </w:r>
      <w:r w:rsidR="00DB1953" w:rsidRPr="00AE32DC">
        <w:t xml:space="preserve">same </w:t>
      </w:r>
      <w:r w:rsidR="00471D98" w:rsidRPr="00AE32DC">
        <w:t xml:space="preserve">Hospital </w:t>
      </w:r>
      <w:r w:rsidR="00E803A4" w:rsidRPr="00AE32DC">
        <w:t>(or to a linked system hospital</w:t>
      </w:r>
      <w:r w:rsidR="00DB1953" w:rsidRPr="00AE32DC">
        <w:t xml:space="preserve">) </w:t>
      </w:r>
      <w:r w:rsidR="00471D98" w:rsidRPr="00AE32DC">
        <w:t>within the 30 day readmission window</w:t>
      </w:r>
      <w:r w:rsidRPr="00AE32DC">
        <w:t xml:space="preserve">.  </w:t>
      </w:r>
    </w:p>
    <w:p w:rsidR="00E803A4" w:rsidRPr="00AE32DC" w:rsidRDefault="00E803A4" w:rsidP="00141DD6">
      <w:pPr>
        <w:ind w:left="360"/>
      </w:pPr>
    </w:p>
    <w:p w:rsidR="00365E5A" w:rsidRDefault="00365E5A" w:rsidP="00365E5A">
      <w:pPr>
        <w:ind w:left="360"/>
        <w:rPr>
          <w:b/>
        </w:rPr>
      </w:pPr>
      <w:r w:rsidRPr="00AE32DC">
        <w:rPr>
          <w:b/>
        </w:rPr>
        <w:t>Reasonableness of Charges (ROC):</w:t>
      </w:r>
      <w:r w:rsidRPr="00AE32DC">
        <w:t xml:space="preserve"> Commission policy that compares hospitals based on charges and subsequently scales hospital revenue based on the outcomes of the methodology.</w:t>
      </w:r>
    </w:p>
    <w:p w:rsidR="00365E5A" w:rsidRDefault="00365E5A" w:rsidP="00365E5A">
      <w:pPr>
        <w:ind w:left="360"/>
        <w:rPr>
          <w:b/>
        </w:rPr>
      </w:pPr>
    </w:p>
    <w:p w:rsidR="00365E5A" w:rsidRDefault="00365E5A" w:rsidP="00141DD6">
      <w:pPr>
        <w:ind w:left="360"/>
      </w:pPr>
      <w:r w:rsidRPr="00365E5A">
        <w:rPr>
          <w:b/>
        </w:rPr>
        <w:t>Seed Funding Provision:</w:t>
      </w:r>
      <w:r>
        <w:t xml:space="preserve"> Up to an additional 0.5 percent</w:t>
      </w:r>
      <w:r w:rsidRPr="00F331BC">
        <w:t xml:space="preserve"> of inpatient revenue in rates to help cover the costs associated with the development of improved discharge planning and care coordination infrastructure for a period of two years.</w:t>
      </w:r>
    </w:p>
    <w:p w:rsidR="00365E5A" w:rsidRDefault="00365E5A" w:rsidP="00141DD6">
      <w:pPr>
        <w:ind w:left="360"/>
      </w:pPr>
    </w:p>
    <w:p w:rsidR="002C045C" w:rsidRPr="00AE32DC" w:rsidRDefault="00365E5A" w:rsidP="00141DD6">
      <w:pPr>
        <w:ind w:left="360"/>
      </w:pPr>
      <w:r w:rsidRPr="00AE32DC">
        <w:rPr>
          <w:b/>
        </w:rPr>
        <w:t>Severity of Illness (SOI):</w:t>
      </w:r>
      <w:r w:rsidR="002C045C" w:rsidRPr="00AE32DC">
        <w:rPr>
          <w:b/>
        </w:rPr>
        <w:t xml:space="preserve"> </w:t>
      </w:r>
      <w:r w:rsidR="002C045C" w:rsidRPr="00AE32DC">
        <w:t xml:space="preserve">A function of to APR-DRG grouper that </w:t>
      </w:r>
      <w:r w:rsidR="00E803A4" w:rsidRPr="00AE32DC">
        <w:t>categorizes cases based on the severity of the case. HSCRC's case mix adjustment is based off of SOI.</w:t>
      </w:r>
    </w:p>
    <w:p w:rsidR="002C045C" w:rsidRPr="00AE32DC" w:rsidRDefault="002C045C" w:rsidP="00141DD6">
      <w:pPr>
        <w:ind w:left="360"/>
      </w:pPr>
    </w:p>
    <w:p w:rsidR="0008608C" w:rsidRDefault="0008608C" w:rsidP="007A0B8B">
      <w:pPr>
        <w:ind w:left="360"/>
      </w:pPr>
      <w:r w:rsidRPr="00AE32DC">
        <w:rPr>
          <w:b/>
        </w:rPr>
        <w:t>Zero or One-Day Stay Cases:</w:t>
      </w:r>
      <w:r w:rsidRPr="00AE32DC">
        <w:t xml:space="preserve"> Patients admitted and discharged by a hospital </w:t>
      </w:r>
      <w:r w:rsidR="006A0A1F">
        <w:t>with a length of stay less than or equal to one</w:t>
      </w:r>
      <w:r w:rsidRPr="00AE32DC">
        <w:t>.</w:t>
      </w:r>
    </w:p>
    <w:p w:rsidR="00AE32DC" w:rsidRDefault="00AE32DC" w:rsidP="0008608C">
      <w:pPr>
        <w:spacing w:after="200" w:line="276" w:lineRule="auto"/>
        <w:sectPr w:rsidR="00AE32DC" w:rsidSect="00FD76F6">
          <w:headerReference w:type="default" r:id="rId8"/>
          <w:footerReference w:type="default" r:id="rId9"/>
          <w:footerReference w:type="first" r:id="rId10"/>
          <w:pgSz w:w="12240" w:h="15840" w:code="1"/>
          <w:pgMar w:top="1708" w:right="1440" w:bottom="1440" w:left="1440" w:header="720" w:footer="720" w:gutter="0"/>
          <w:pgNumType w:start="1"/>
          <w:cols w:space="720"/>
          <w:docGrid w:linePitch="360"/>
        </w:sectPr>
      </w:pPr>
    </w:p>
    <w:p w:rsidR="00AE32DC" w:rsidRDefault="00AE32DC" w:rsidP="0008608C">
      <w:pPr>
        <w:spacing w:after="200" w:line="276" w:lineRule="auto"/>
      </w:pPr>
    </w:p>
    <w:p w:rsidR="008E0B94" w:rsidRDefault="008E0B94" w:rsidP="0008608C">
      <w:pPr>
        <w:spacing w:after="200" w:line="276" w:lineRule="auto"/>
      </w:pPr>
      <w:r>
        <w:t>In Witness Whereof, the Parties have executed this Agreement and have this date caused their respective signatures to be affixed hereto:</w:t>
      </w:r>
    </w:p>
    <w:p w:rsidR="006C1149" w:rsidRDefault="006C1149" w:rsidP="00141DD6">
      <w:pPr>
        <w:widowControl w:val="0"/>
        <w:ind w:left="360"/>
      </w:pPr>
    </w:p>
    <w:p w:rsidR="006C1149" w:rsidRDefault="006C1149" w:rsidP="00141DD6">
      <w:pPr>
        <w:widowControl w:val="0"/>
        <w:ind w:left="360"/>
      </w:pPr>
    </w:p>
    <w:p w:rsidR="006C1149" w:rsidRDefault="006C1149" w:rsidP="00141DD6">
      <w:pPr>
        <w:widowControl w:val="0"/>
        <w:ind w:left="360"/>
      </w:pPr>
    </w:p>
    <w:p w:rsidR="00056FC5" w:rsidRDefault="00056FC5" w:rsidP="00141DD6">
      <w:pPr>
        <w:widowControl w:val="0"/>
        <w:ind w:left="360"/>
      </w:pPr>
    </w:p>
    <w:p w:rsidR="006652B8" w:rsidRDefault="006652B8" w:rsidP="00141DD6">
      <w:pPr>
        <w:widowControl w:val="0"/>
        <w:spacing w:line="480" w:lineRule="auto"/>
        <w:ind w:left="360"/>
      </w:pPr>
    </w:p>
    <w:p w:rsidR="008E0B94" w:rsidRDefault="008E0B94" w:rsidP="001F313E">
      <w:pPr>
        <w:widowControl w:val="0"/>
      </w:pPr>
      <w:r>
        <w:t>Attest: ____________________________ by ______________________   _________</w:t>
      </w:r>
    </w:p>
    <w:p w:rsidR="008E0B94" w:rsidRDefault="008E0B94" w:rsidP="008E0B94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:rsidR="008E0B94" w:rsidRDefault="008E0B94" w:rsidP="008E0B94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Chief </w:t>
      </w:r>
      <w:r w:rsidR="003B3E16">
        <w:t>Financial Officer</w:t>
      </w:r>
    </w:p>
    <w:p w:rsidR="00323CEC" w:rsidRPr="004A571D" w:rsidRDefault="00323CEC" w:rsidP="008E0B94">
      <w:pPr>
        <w:widowControl w:val="0"/>
        <w:rPr>
          <w:color w:val="FF0000"/>
        </w:rPr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A571D" w:rsidRPr="004A571D">
        <w:rPr>
          <w:color w:val="FF0000"/>
        </w:rPr>
        <w:t>Hospital System Name</w:t>
      </w:r>
    </w:p>
    <w:p w:rsidR="008E0B94" w:rsidRDefault="008E0B94" w:rsidP="008E0B94">
      <w:pPr>
        <w:widowControl w:val="0"/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E0B94" w:rsidRDefault="008E0B94" w:rsidP="008E0B94">
      <w:pPr>
        <w:widowControl w:val="0"/>
        <w:spacing w:line="480" w:lineRule="auto"/>
      </w:pPr>
    </w:p>
    <w:p w:rsidR="008E0B94" w:rsidRDefault="008E0B94" w:rsidP="001F313E">
      <w:pPr>
        <w:widowControl w:val="0"/>
      </w:pPr>
      <w:r>
        <w:t>Attest: ____________________________ by ______________________   _________</w:t>
      </w:r>
    </w:p>
    <w:p w:rsidR="008E0B94" w:rsidRDefault="008E0B94" w:rsidP="008E0B94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152B9">
        <w:tab/>
      </w:r>
      <w:r w:rsidR="000152B9">
        <w:tab/>
      </w:r>
      <w:r>
        <w:tab/>
      </w:r>
      <w:r>
        <w:tab/>
        <w:t>(Date)</w:t>
      </w:r>
    </w:p>
    <w:p w:rsidR="008E0B94" w:rsidRDefault="008E0B94" w:rsidP="008E0B94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Executive Director</w:t>
      </w:r>
    </w:p>
    <w:p w:rsidR="008E0B94" w:rsidRDefault="00BB0C88" w:rsidP="008E0B94">
      <w:pPr>
        <w:widowControl w:val="0"/>
        <w:spacing w:line="480" w:lineRule="auto"/>
      </w:pPr>
      <w:r>
        <w:tab/>
      </w:r>
      <w:r>
        <w:tab/>
      </w:r>
      <w:r w:rsidR="008E0B94">
        <w:tab/>
      </w:r>
      <w:r w:rsidR="008E0B94">
        <w:tab/>
      </w:r>
      <w:r w:rsidR="008E0B94">
        <w:tab/>
      </w:r>
      <w:r w:rsidR="008E0B94">
        <w:tab/>
        <w:t xml:space="preserve"> Health Services Cost Review Commission</w:t>
      </w:r>
    </w:p>
    <w:p w:rsidR="0088606F" w:rsidRDefault="0088606F" w:rsidP="0047286B">
      <w:pPr>
        <w:spacing w:after="200" w:line="276" w:lineRule="auto"/>
        <w:jc w:val="center"/>
        <w:rPr>
          <w:b/>
          <w:sz w:val="32"/>
        </w:rPr>
        <w:sectPr w:rsidR="0088606F" w:rsidSect="00907028">
          <w:pgSz w:w="12240" w:h="15840" w:code="1"/>
          <w:pgMar w:top="1708" w:right="1440" w:bottom="1440" w:left="1440" w:header="720" w:footer="720" w:gutter="0"/>
          <w:cols w:space="720"/>
          <w:docGrid w:linePitch="360"/>
        </w:sectPr>
      </w:pPr>
    </w:p>
    <w:p w:rsidR="008353EB" w:rsidRPr="00907028" w:rsidRDefault="0088606F" w:rsidP="0047286B">
      <w:pPr>
        <w:spacing w:after="200" w:line="276" w:lineRule="auto"/>
        <w:jc w:val="center"/>
        <w:rPr>
          <w:b/>
          <w:sz w:val="28"/>
          <w:szCs w:val="28"/>
        </w:rPr>
      </w:pPr>
      <w:r w:rsidRPr="00907028">
        <w:rPr>
          <w:b/>
          <w:sz w:val="28"/>
          <w:szCs w:val="28"/>
        </w:rPr>
        <w:lastRenderedPageBreak/>
        <w:t>At</w:t>
      </w:r>
      <w:r w:rsidR="008353EB" w:rsidRPr="00907028">
        <w:rPr>
          <w:b/>
          <w:sz w:val="28"/>
          <w:szCs w:val="28"/>
        </w:rPr>
        <w:t>tachment A</w:t>
      </w:r>
    </w:p>
    <w:p w:rsidR="008353EB" w:rsidRDefault="000E2186" w:rsidP="008E0B94">
      <w:pPr>
        <w:jc w:val="center"/>
        <w:rPr>
          <w:b/>
          <w:sz w:val="32"/>
        </w:rPr>
      </w:pPr>
      <w:r w:rsidRPr="000E2186">
        <w:rPr>
          <w:noProof/>
        </w:rPr>
        <w:drawing>
          <wp:inline distT="0" distB="0" distL="0" distR="0">
            <wp:extent cx="6558720" cy="50436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345" cy="5051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EB" w:rsidRDefault="008353EB" w:rsidP="008E0B94">
      <w:pPr>
        <w:jc w:val="center"/>
        <w:rPr>
          <w:b/>
          <w:sz w:val="32"/>
        </w:rPr>
      </w:pPr>
    </w:p>
    <w:p w:rsidR="00631BB1" w:rsidRDefault="00631BB1" w:rsidP="008E0B94">
      <w:pPr>
        <w:jc w:val="center"/>
        <w:rPr>
          <w:b/>
          <w:sz w:val="32"/>
        </w:rPr>
      </w:pPr>
    </w:p>
    <w:p w:rsidR="004D27B6" w:rsidRDefault="004D27B6" w:rsidP="008E0B94">
      <w:pPr>
        <w:jc w:val="center"/>
        <w:rPr>
          <w:b/>
          <w:sz w:val="32"/>
        </w:rPr>
      </w:pPr>
    </w:p>
    <w:p w:rsidR="00E803A4" w:rsidRDefault="00E803A4" w:rsidP="008E0B94">
      <w:pPr>
        <w:jc w:val="center"/>
        <w:rPr>
          <w:b/>
          <w:sz w:val="32"/>
        </w:rPr>
        <w:sectPr w:rsidR="00E803A4" w:rsidSect="00907028">
          <w:pgSz w:w="12240" w:h="15840" w:code="1"/>
          <w:pgMar w:top="1708" w:right="1440" w:bottom="1440" w:left="1440" w:header="720" w:footer="720" w:gutter="0"/>
          <w:cols w:space="720"/>
          <w:docGrid w:linePitch="360"/>
        </w:sectPr>
      </w:pPr>
    </w:p>
    <w:p w:rsidR="00E803A4" w:rsidRPr="00907028" w:rsidRDefault="00E803A4" w:rsidP="00E803A4">
      <w:pPr>
        <w:jc w:val="center"/>
        <w:rPr>
          <w:b/>
          <w:sz w:val="28"/>
          <w:szCs w:val="28"/>
        </w:rPr>
      </w:pPr>
      <w:r w:rsidRPr="00907028">
        <w:rPr>
          <w:b/>
          <w:sz w:val="28"/>
          <w:szCs w:val="28"/>
        </w:rPr>
        <w:lastRenderedPageBreak/>
        <w:t xml:space="preserve">Attachment B </w:t>
      </w:r>
    </w:p>
    <w:p w:rsidR="00E803A4" w:rsidRDefault="00E803A4" w:rsidP="00E803A4">
      <w:pPr>
        <w:jc w:val="center"/>
        <w:rPr>
          <w:b/>
          <w:sz w:val="32"/>
        </w:rPr>
      </w:pPr>
      <w:r w:rsidRPr="008353EB">
        <w:rPr>
          <w:noProof/>
        </w:rPr>
        <w:drawing>
          <wp:inline distT="0" distB="0" distL="0" distR="0">
            <wp:extent cx="5100421" cy="7372952"/>
            <wp:effectExtent l="19050" t="0" r="4979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59" cy="738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3A4" w:rsidRDefault="00E803A4" w:rsidP="00E803A4">
      <w:pPr>
        <w:jc w:val="center"/>
        <w:rPr>
          <w:b/>
          <w:sz w:val="28"/>
          <w:szCs w:val="28"/>
        </w:rPr>
        <w:sectPr w:rsidR="00E803A4" w:rsidSect="00907028">
          <w:pgSz w:w="12240" w:h="15840" w:code="1"/>
          <w:pgMar w:top="1708" w:right="1440" w:bottom="1440" w:left="1440" w:header="720" w:footer="720" w:gutter="0"/>
          <w:cols w:space="720"/>
          <w:docGrid w:linePitch="360"/>
        </w:sectPr>
      </w:pPr>
    </w:p>
    <w:p w:rsidR="00631BB1" w:rsidRPr="00907028" w:rsidRDefault="008353EB" w:rsidP="008E0B9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7028">
        <w:rPr>
          <w:b/>
          <w:sz w:val="28"/>
          <w:szCs w:val="28"/>
        </w:rPr>
        <w:lastRenderedPageBreak/>
        <w:t xml:space="preserve">Attachment </w:t>
      </w:r>
      <w:r w:rsidR="00E803A4" w:rsidRPr="00907028">
        <w:rPr>
          <w:b/>
          <w:sz w:val="28"/>
          <w:szCs w:val="28"/>
        </w:rPr>
        <w:t>C</w:t>
      </w:r>
      <w:r w:rsidR="007B782F" w:rsidRPr="00907028">
        <w:rPr>
          <w:b/>
          <w:sz w:val="28"/>
          <w:szCs w:val="28"/>
        </w:rPr>
        <w:t xml:space="preserve"> </w:t>
      </w:r>
    </w:p>
    <w:p w:rsidR="00631BB1" w:rsidRDefault="00631BB1" w:rsidP="008E0B94">
      <w:pPr>
        <w:jc w:val="center"/>
        <w:rPr>
          <w:b/>
          <w:sz w:val="32"/>
        </w:rPr>
      </w:pPr>
      <w:r w:rsidRPr="00631BB1">
        <w:rPr>
          <w:noProof/>
        </w:rPr>
        <w:drawing>
          <wp:inline distT="0" distB="0" distL="0" distR="0">
            <wp:extent cx="4244975" cy="5852160"/>
            <wp:effectExtent l="1905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585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EB" w:rsidRDefault="008353EB" w:rsidP="008E0B94">
      <w:pPr>
        <w:jc w:val="center"/>
        <w:rPr>
          <w:b/>
          <w:sz w:val="32"/>
        </w:rPr>
      </w:pPr>
    </w:p>
    <w:p w:rsidR="00631BB1" w:rsidRDefault="00631BB1" w:rsidP="008E0B94">
      <w:pPr>
        <w:jc w:val="center"/>
        <w:rPr>
          <w:b/>
          <w:sz w:val="32"/>
        </w:rPr>
      </w:pPr>
    </w:p>
    <w:p w:rsidR="00631BB1" w:rsidRDefault="00631BB1" w:rsidP="008E0B94">
      <w:pPr>
        <w:jc w:val="center"/>
        <w:rPr>
          <w:b/>
          <w:sz w:val="32"/>
        </w:rPr>
      </w:pPr>
    </w:p>
    <w:p w:rsidR="0088606F" w:rsidRDefault="0088606F" w:rsidP="00631BB1">
      <w:pPr>
        <w:jc w:val="center"/>
        <w:rPr>
          <w:b/>
          <w:sz w:val="32"/>
        </w:rPr>
        <w:sectPr w:rsidR="0088606F" w:rsidSect="00907028">
          <w:pgSz w:w="12240" w:h="15840" w:code="1"/>
          <w:pgMar w:top="1708" w:right="1440" w:bottom="1440" w:left="1440" w:header="720" w:footer="720" w:gutter="0"/>
          <w:cols w:space="720"/>
          <w:docGrid w:linePitch="360"/>
        </w:sectPr>
      </w:pPr>
    </w:p>
    <w:p w:rsidR="00CB1467" w:rsidRDefault="00CB1467" w:rsidP="00C23C36"/>
    <w:p w:rsidR="00DD7539" w:rsidRDefault="00DD7539" w:rsidP="00DD7539">
      <w:pPr>
        <w:pStyle w:val="WP9Head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ARR Intervention Plan and Metrics Template</w:t>
      </w:r>
    </w:p>
    <w:p w:rsidR="00DD7539" w:rsidRDefault="00DD7539" w:rsidP="00DD7539">
      <w:pPr>
        <w:pStyle w:val="WP9Head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</w:pP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HSCRC staff developed this template to assist hospitals in organizing ARR intervention plans and to define the metrics associated with the each major intervention.</w:t>
      </w: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(Note to Hospital Systems: If there is variation in interventions for hospitals within the system, please provide this information for each hospital separately.)</w:t>
      </w:r>
    </w:p>
    <w:p w:rsidR="00DD7539" w:rsidRDefault="00DD7539" w:rsidP="00DD7539">
      <w:pPr>
        <w:rPr>
          <w:rFonts w:ascii="Arial Narrow" w:hAnsi="Arial Narrow"/>
          <w:b/>
          <w:sz w:val="28"/>
          <w:szCs w:val="28"/>
        </w:rPr>
      </w:pPr>
    </w:p>
    <w:p w:rsidR="00DD7539" w:rsidRDefault="00DD7539" w:rsidP="00DD7539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Hospital/System Name:</w:t>
      </w:r>
    </w:p>
    <w:p w:rsidR="00DD7539" w:rsidRDefault="00DD7539" w:rsidP="00DD7539">
      <w:pPr>
        <w:pStyle w:val="PlainText"/>
        <w:pBdr>
          <w:bottom w:val="single" w:sz="4" w:space="0" w:color="auto"/>
        </w:pBdr>
        <w:rPr>
          <w:rFonts w:ascii="Arial Narrow" w:hAnsi="Arial Narrow"/>
          <w:b/>
          <w:sz w:val="24"/>
          <w:szCs w:val="24"/>
        </w:rPr>
      </w:pPr>
    </w:p>
    <w:p w:rsidR="00DD7539" w:rsidRDefault="00DD7539" w:rsidP="00DD7539">
      <w:pPr>
        <w:pStyle w:val="PlainText"/>
        <w:pBdr>
          <w:bottom w:val="single" w:sz="4" w:space="0" w:color="auto"/>
        </w:pBdr>
        <w:spacing w:before="120" w:after="120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Copy and paste the following for each intervention.</w:t>
      </w:r>
    </w:p>
    <w:p w:rsidR="00DD7539" w:rsidRDefault="00DD7539" w:rsidP="00DD7539">
      <w:pPr>
        <w:pStyle w:val="PlainText"/>
        <w:spacing w:before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Intervention Name: </w:t>
      </w: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Brief Summary of the Intervention (2-3 sentences), </w:t>
      </w:r>
      <w:r>
        <w:rPr>
          <w:rFonts w:ascii="Arial Narrow" w:hAnsi="Arial Narrow"/>
          <w:b/>
          <w:bCs/>
          <w:sz w:val="22"/>
          <w:szCs w:val="22"/>
        </w:rPr>
        <w:t>rationale for selection: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Provide a description of the intervention including the problem(s) or process(</w:t>
      </w:r>
      <w:proofErr w:type="spellStart"/>
      <w:r>
        <w:rPr>
          <w:rFonts w:ascii="Arial Narrow" w:hAnsi="Arial Narrow"/>
          <w:sz w:val="24"/>
          <w:szCs w:val="24"/>
        </w:rPr>
        <w:t>es</w:t>
      </w:r>
      <w:proofErr w:type="spellEnd"/>
      <w:r>
        <w:rPr>
          <w:rFonts w:ascii="Arial Narrow" w:hAnsi="Arial Narrow"/>
          <w:sz w:val="24"/>
          <w:szCs w:val="24"/>
        </w:rPr>
        <w:t>) for which the intervention aims to address.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Target population: 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Describe the intended target of the intervention.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Intervention Implementation Status/Date: 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Indicate when the hospital/hospital initiated the intervention. For interventions not fully implemented, indicate percent of work toward implementation completion and estimated implementation date. 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Intervention Staffing FTEs: 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Specify dedicated or partially dedicated numbers by title/type of staff for this intervention.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DD7539" w:rsidRDefault="00DD7539" w:rsidP="00DD7539">
      <w:pPr>
        <w:pStyle w:val="PlainTex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Staff Title/Type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            FTEs Allocated Annually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0"/>
        <w:gridCol w:w="2448"/>
      </w:tblGrid>
      <w:tr w:rsidR="00DD7539" w:rsidTr="00DD753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39" w:rsidRDefault="00DD7539">
            <w:pPr>
              <w:pStyle w:val="PlainText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39" w:rsidRDefault="00DD7539">
            <w:pPr>
              <w:pStyle w:val="PlainText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7539" w:rsidTr="00DD753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39" w:rsidRDefault="00DD7539">
            <w:pPr>
              <w:pStyle w:val="PlainText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39" w:rsidRDefault="00DD7539">
            <w:pPr>
              <w:pStyle w:val="PlainText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7539" w:rsidTr="00DD753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39" w:rsidRDefault="00DD7539">
            <w:pPr>
              <w:pStyle w:val="PlainText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39" w:rsidRDefault="00DD7539">
            <w:pPr>
              <w:pStyle w:val="PlainText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7539" w:rsidTr="00DD753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39" w:rsidRDefault="00DD7539">
            <w:pPr>
              <w:pStyle w:val="PlainText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39" w:rsidRDefault="00DD7539">
            <w:pPr>
              <w:pStyle w:val="PlainText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7539" w:rsidTr="00DD753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39" w:rsidRDefault="00DD7539">
            <w:pPr>
              <w:pStyle w:val="PlainText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39" w:rsidRDefault="00DD7539">
            <w:pPr>
              <w:pStyle w:val="PlainText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DD7539" w:rsidRDefault="00DD7539" w:rsidP="00DD7539">
      <w:pPr>
        <w:pStyle w:val="PlainText"/>
        <w:rPr>
          <w:rFonts w:ascii="Arial Narrow" w:hAnsi="Arial Narrow"/>
          <w:b/>
          <w:sz w:val="22"/>
          <w:szCs w:val="22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Intervention Partners: 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Identify any partnerships with entities outside the hospital/hospital system.</w:t>
      </w:r>
    </w:p>
    <w:p w:rsidR="00DD7539" w:rsidRDefault="00DD7539" w:rsidP="00DD7539">
      <w:pPr>
        <w:pStyle w:val="PlainText"/>
        <w:rPr>
          <w:rFonts w:ascii="Arial Narrow" w:hAnsi="Arial Narrow"/>
          <w:b/>
          <w:sz w:val="22"/>
          <w:szCs w:val="22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Technologies Employed: 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Identify any technologies for which the intervention relies.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Metrics to Track Success of the Intervention: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Provide information about one or two specific</w:t>
      </w:r>
      <w:r>
        <w:rPr>
          <w:rStyle w:val="CommentReference"/>
          <w:rFonts w:ascii="Calibri" w:hAnsi="Calibri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metrics the hospital/system will use to establish a baseline and then use to track progress over time for each of the ARR interventions. The HSCRC notes that a metric may be used for more than one intervention. 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1 Name:</w:t>
      </w: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Rationale for Selection:</w:t>
      </w:r>
      <w:r>
        <w:rPr>
          <w:rFonts w:ascii="Arial Narrow" w:hAnsi="Arial Narrow"/>
          <w:sz w:val="24"/>
          <w:szCs w:val="24"/>
        </w:rPr>
        <w:t xml:space="preserve"> (specify relevance/importance for the measure in improving patient processes or outcome(s) and ultimately, reducing readmissions, and the intervention(s) to which this measure applies.) 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1 Numerator Definition: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1 Numerator Data Source(s):</w:t>
      </w: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1 Denominator Definition:</w:t>
      </w: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1 Denominator Data Source(s):</w:t>
      </w: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2 Name: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Rationale for Selection</w:t>
      </w:r>
      <w:r>
        <w:rPr>
          <w:rFonts w:ascii="Arial Narrow" w:hAnsi="Arial Narrow"/>
          <w:sz w:val="24"/>
          <w:szCs w:val="24"/>
        </w:rPr>
        <w:t xml:space="preserve"> (specify relevance/importance for the measure in improving patient processes or outcome(s) and ultimately, reducing readmissions, and the intervention(s) to which this measure applies.)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2 Numerator Definition:</w:t>
      </w:r>
    </w:p>
    <w:p w:rsidR="00DD7539" w:rsidRDefault="00DD7539" w:rsidP="00DD7539">
      <w:pPr>
        <w:pStyle w:val="PlainText"/>
        <w:rPr>
          <w:rFonts w:ascii="Arial Narrow" w:hAnsi="Arial Narrow"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2 Numerator Data Source(s):</w:t>
      </w: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2 Denominator Definition:</w:t>
      </w:r>
    </w:p>
    <w:p w:rsidR="00DD7539" w:rsidRDefault="00DD7539" w:rsidP="00DD7539">
      <w:pPr>
        <w:pStyle w:val="PlainText"/>
        <w:rPr>
          <w:rFonts w:ascii="Arial Narrow" w:hAnsi="Arial Narrow"/>
          <w:b/>
          <w:sz w:val="24"/>
          <w:szCs w:val="24"/>
        </w:rPr>
      </w:pPr>
    </w:p>
    <w:p w:rsidR="00131DDF" w:rsidRPr="00870CB7" w:rsidRDefault="00DD7539" w:rsidP="00DD7539">
      <w:r>
        <w:rPr>
          <w:rFonts w:ascii="Arial Narrow" w:hAnsi="Arial Narrow"/>
          <w:b/>
        </w:rPr>
        <w:t>Metric 2 Denominator Data Source(s):</w:t>
      </w:r>
    </w:p>
    <w:p w:rsidR="00131DDF" w:rsidRDefault="00131DDF" w:rsidP="00C23C36">
      <w:pPr>
        <w:rPr>
          <w:b/>
          <w:sz w:val="28"/>
          <w:szCs w:val="28"/>
        </w:rPr>
      </w:pPr>
    </w:p>
    <w:p w:rsidR="00CB297C" w:rsidRDefault="00CB297C" w:rsidP="00C23C36">
      <w:pPr>
        <w:rPr>
          <w:b/>
          <w:sz w:val="28"/>
          <w:szCs w:val="28"/>
        </w:rPr>
        <w:sectPr w:rsidR="00CB297C" w:rsidSect="00907028">
          <w:headerReference w:type="default" r:id="rId14"/>
          <w:pgSz w:w="12240" w:h="15840" w:code="1"/>
          <w:pgMar w:top="1820" w:right="1440" w:bottom="1440" w:left="1440" w:header="720" w:footer="720" w:gutter="0"/>
          <w:cols w:space="720"/>
          <w:docGrid w:linePitch="360"/>
        </w:sectPr>
      </w:pPr>
    </w:p>
    <w:p w:rsidR="00E71E5D" w:rsidRDefault="00E71E5D" w:rsidP="008E0B94">
      <w:pPr>
        <w:jc w:val="center"/>
        <w:rPr>
          <w:b/>
          <w:sz w:val="32"/>
        </w:rPr>
      </w:pPr>
    </w:p>
    <w:p w:rsidR="00907028" w:rsidRDefault="00907028" w:rsidP="00907028">
      <w:pPr>
        <w:pStyle w:val="ListParagraph"/>
        <w:ind w:left="0"/>
        <w:contextualSpacing w:val="0"/>
      </w:pPr>
      <w:r>
        <w:t xml:space="preserve">As agreed upon by the Hospitals and the HSCRC, the HSCRC will consider as a single entity for purposes of defining the ARR-EOCs specified hospitals within a multi-hospital system. </w:t>
      </w:r>
    </w:p>
    <w:p w:rsidR="00907028" w:rsidRDefault="00907028" w:rsidP="00907028">
      <w:pPr>
        <w:pStyle w:val="ListParagraph"/>
        <w:ind w:left="0"/>
        <w:contextualSpacing w:val="0"/>
      </w:pPr>
    </w:p>
    <w:p w:rsidR="00907028" w:rsidRDefault="00907028" w:rsidP="00907028">
      <w:pPr>
        <w:pStyle w:val="ListParagraph"/>
        <w:ind w:left="0"/>
        <w:contextualSpacing w:val="0"/>
      </w:pPr>
      <w:r w:rsidRPr="00907028">
        <w:rPr>
          <w:b/>
        </w:rPr>
        <w:t>Specify here the linked system hospitals and the agreement years to which the linking is applicable:</w:t>
      </w:r>
    </w:p>
    <w:p w:rsidR="00907028" w:rsidRDefault="00907028" w:rsidP="00907028">
      <w:pPr>
        <w:pStyle w:val="ListParagraph"/>
        <w:ind w:left="0"/>
        <w:contextualSpacing w:val="0"/>
      </w:pPr>
    </w:p>
    <w:tbl>
      <w:tblPr>
        <w:tblStyle w:val="TableGrid"/>
        <w:tblW w:w="0" w:type="auto"/>
        <w:tblLook w:val="04A0"/>
      </w:tblPr>
      <w:tblGrid>
        <w:gridCol w:w="2268"/>
        <w:gridCol w:w="1710"/>
        <w:gridCol w:w="1980"/>
        <w:gridCol w:w="3618"/>
      </w:tblGrid>
      <w:tr w:rsidR="00907028" w:rsidRPr="00907028" w:rsidTr="00907028">
        <w:tc>
          <w:tcPr>
            <w:tcW w:w="2268" w:type="dxa"/>
          </w:tcPr>
          <w:p w:rsidR="00907028" w:rsidRPr="00907028" w:rsidRDefault="00907028" w:rsidP="00907028">
            <w:pPr>
              <w:pStyle w:val="ListParagraph"/>
              <w:spacing w:before="20" w:after="20"/>
              <w:ind w:left="0"/>
              <w:contextualSpacing w:val="0"/>
              <w:rPr>
                <w:b/>
              </w:rPr>
            </w:pPr>
            <w:r w:rsidRPr="00907028">
              <w:rPr>
                <w:b/>
              </w:rPr>
              <w:t>Hospital</w:t>
            </w:r>
          </w:p>
        </w:tc>
        <w:tc>
          <w:tcPr>
            <w:tcW w:w="1710" w:type="dxa"/>
          </w:tcPr>
          <w:p w:rsidR="00907028" w:rsidRPr="00907028" w:rsidRDefault="00907028" w:rsidP="00907028">
            <w:pPr>
              <w:pStyle w:val="ListParagraph"/>
              <w:spacing w:before="20" w:after="20"/>
              <w:ind w:left="0"/>
              <w:contextualSpacing w:val="0"/>
              <w:rPr>
                <w:b/>
              </w:rPr>
            </w:pPr>
            <w:r w:rsidRPr="00907028">
              <w:rPr>
                <w:b/>
              </w:rPr>
              <w:t>Base Year</w:t>
            </w:r>
          </w:p>
        </w:tc>
        <w:tc>
          <w:tcPr>
            <w:tcW w:w="1980" w:type="dxa"/>
          </w:tcPr>
          <w:p w:rsidR="00907028" w:rsidRPr="00907028" w:rsidRDefault="00907028" w:rsidP="00907028">
            <w:pPr>
              <w:pStyle w:val="ListParagraph"/>
              <w:spacing w:before="20" w:after="20"/>
              <w:ind w:left="0"/>
              <w:contextualSpacing w:val="0"/>
              <w:rPr>
                <w:b/>
              </w:rPr>
            </w:pPr>
            <w:r w:rsidRPr="00907028">
              <w:rPr>
                <w:b/>
              </w:rPr>
              <w:t>ARR Agreement Year</w:t>
            </w:r>
          </w:p>
        </w:tc>
        <w:tc>
          <w:tcPr>
            <w:tcW w:w="3618" w:type="dxa"/>
          </w:tcPr>
          <w:p w:rsidR="00907028" w:rsidRPr="00907028" w:rsidRDefault="00907028" w:rsidP="00907028">
            <w:pPr>
              <w:pStyle w:val="ListParagraph"/>
              <w:spacing w:before="20" w:after="20"/>
              <w:ind w:left="0"/>
              <w:contextualSpacing w:val="0"/>
              <w:rPr>
                <w:b/>
              </w:rPr>
            </w:pPr>
            <w:r w:rsidRPr="00907028">
              <w:rPr>
                <w:b/>
              </w:rPr>
              <w:t>Notes</w:t>
            </w:r>
          </w:p>
        </w:tc>
      </w:tr>
      <w:tr w:rsidR="00907028" w:rsidTr="00907028">
        <w:tc>
          <w:tcPr>
            <w:tcW w:w="226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71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98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361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</w:tr>
      <w:tr w:rsidR="00907028" w:rsidTr="00907028">
        <w:tc>
          <w:tcPr>
            <w:tcW w:w="226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71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98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361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</w:tr>
      <w:tr w:rsidR="00907028" w:rsidTr="00907028">
        <w:tc>
          <w:tcPr>
            <w:tcW w:w="226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71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98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361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</w:tr>
      <w:tr w:rsidR="00907028" w:rsidTr="00907028">
        <w:tc>
          <w:tcPr>
            <w:tcW w:w="226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71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98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361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</w:tr>
      <w:tr w:rsidR="00907028" w:rsidTr="00907028">
        <w:tc>
          <w:tcPr>
            <w:tcW w:w="226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71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98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361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</w:tr>
      <w:tr w:rsidR="00907028" w:rsidTr="00907028">
        <w:tc>
          <w:tcPr>
            <w:tcW w:w="226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71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98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361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</w:tr>
      <w:tr w:rsidR="00907028" w:rsidTr="00907028">
        <w:tc>
          <w:tcPr>
            <w:tcW w:w="226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71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98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361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</w:tr>
      <w:tr w:rsidR="00907028" w:rsidTr="00907028">
        <w:tc>
          <w:tcPr>
            <w:tcW w:w="226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71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1980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  <w:tc>
          <w:tcPr>
            <w:tcW w:w="3618" w:type="dxa"/>
          </w:tcPr>
          <w:p w:rsidR="00907028" w:rsidRDefault="00907028" w:rsidP="00907028">
            <w:pPr>
              <w:pStyle w:val="ListParagraph"/>
              <w:spacing w:before="20" w:after="20"/>
              <w:ind w:left="0"/>
              <w:contextualSpacing w:val="0"/>
            </w:pPr>
          </w:p>
        </w:tc>
      </w:tr>
    </w:tbl>
    <w:p w:rsidR="00907028" w:rsidRDefault="00907028" w:rsidP="00907028">
      <w:pPr>
        <w:pStyle w:val="ListParagraph"/>
        <w:ind w:left="0"/>
        <w:contextualSpacing w:val="0"/>
      </w:pPr>
    </w:p>
    <w:p w:rsidR="00907028" w:rsidRPr="00907028" w:rsidRDefault="00907028" w:rsidP="00907028">
      <w:pPr>
        <w:pStyle w:val="ListParagraph"/>
        <w:ind w:left="0"/>
        <w:contextualSpacing w:val="0"/>
        <w:rPr>
          <w:b/>
        </w:rPr>
      </w:pPr>
      <w:r w:rsidRPr="00907028">
        <w:rPr>
          <w:b/>
        </w:rPr>
        <w:t xml:space="preserve">Provide a description of the methodology used to link patient records for linked system hospitals. </w:t>
      </w:r>
    </w:p>
    <w:p w:rsidR="00907028" w:rsidRDefault="00907028" w:rsidP="00907028">
      <w:pPr>
        <w:pStyle w:val="ListParagraph"/>
        <w:ind w:left="0"/>
        <w:contextualSpacing w:val="0"/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CB1467" w:rsidRDefault="00CB1467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CB1467" w:rsidRDefault="00CB1467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907028" w:rsidRDefault="00907028" w:rsidP="00907028">
      <w:pPr>
        <w:pStyle w:val="ListParagraph"/>
        <w:ind w:left="0"/>
        <w:contextualSpacing w:val="0"/>
      </w:pPr>
    </w:p>
    <w:p w:rsidR="00907028" w:rsidRDefault="00907028" w:rsidP="00907028">
      <w:pPr>
        <w:pStyle w:val="ListParagraph"/>
        <w:ind w:left="0"/>
        <w:contextualSpacing w:val="0"/>
        <w:rPr>
          <w:b/>
        </w:rPr>
      </w:pPr>
      <w:r>
        <w:t xml:space="preserve">If the System Hospitals </w:t>
      </w:r>
      <w:r w:rsidRPr="00870CB7">
        <w:t xml:space="preserve">do not </w:t>
      </w:r>
      <w:r>
        <w:t xml:space="preserve">yet </w:t>
      </w:r>
      <w:r w:rsidRPr="00870CB7">
        <w:t xml:space="preserve">have the ability to </w:t>
      </w:r>
      <w:r>
        <w:t xml:space="preserve">track intra-system readmissions, </w:t>
      </w:r>
      <w:r w:rsidRPr="00907028">
        <w:rPr>
          <w:b/>
        </w:rPr>
        <w:t>describe here the planned method to establish tracking intra-system readmissions in year 1 and subsequent years</w:t>
      </w:r>
      <w:r>
        <w:rPr>
          <w:b/>
        </w:rPr>
        <w:t xml:space="preserve"> (include expected base year and first ARR year)</w:t>
      </w:r>
      <w:r w:rsidRPr="00907028">
        <w:rPr>
          <w:b/>
        </w:rPr>
        <w:t>.</w:t>
      </w:r>
    </w:p>
    <w:p w:rsidR="00907028" w:rsidRDefault="00907028" w:rsidP="00907028">
      <w:pPr>
        <w:pStyle w:val="ListParagraph"/>
        <w:ind w:left="0"/>
        <w:contextualSpacing w:val="0"/>
        <w:rPr>
          <w:b/>
        </w:rPr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CB1467" w:rsidRDefault="00CB1467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p w:rsidR="00907028" w:rsidRDefault="00907028" w:rsidP="0090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</w:pPr>
    </w:p>
    <w:sectPr w:rsidR="00907028" w:rsidSect="00907028">
      <w:headerReference w:type="default" r:id="rId15"/>
      <w:pgSz w:w="12240" w:h="15840" w:code="1"/>
      <w:pgMar w:top="17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2B" w:rsidRDefault="00AF052B" w:rsidP="00DC052B">
      <w:r>
        <w:separator/>
      </w:r>
    </w:p>
  </w:endnote>
  <w:endnote w:type="continuationSeparator" w:id="0">
    <w:p w:rsidR="00AF052B" w:rsidRDefault="00AF052B" w:rsidP="00DC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862"/>
      <w:docPartObj>
        <w:docPartGallery w:val="Page Numbers (Bottom of Page)"/>
        <w:docPartUnique/>
      </w:docPartObj>
    </w:sdtPr>
    <w:sdtContent>
      <w:p w:rsidR="00AF052B" w:rsidRDefault="0038551E">
        <w:pPr>
          <w:pStyle w:val="Footer"/>
          <w:jc w:val="center"/>
        </w:pPr>
        <w:fldSimple w:instr=" PAGE   \* MERGEFORMAT ">
          <w:r w:rsidR="006A0A1F">
            <w:rPr>
              <w:noProof/>
            </w:rPr>
            <w:t>12</w:t>
          </w:r>
        </w:fldSimple>
      </w:p>
    </w:sdtContent>
  </w:sdt>
  <w:p w:rsidR="00AF052B" w:rsidRDefault="00AF05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860"/>
      <w:docPartObj>
        <w:docPartGallery w:val="Page Numbers (Bottom of Page)"/>
        <w:docPartUnique/>
      </w:docPartObj>
    </w:sdtPr>
    <w:sdtContent>
      <w:p w:rsidR="00AF052B" w:rsidRDefault="0038551E">
        <w:pPr>
          <w:pStyle w:val="Footer"/>
          <w:jc w:val="center"/>
        </w:pPr>
        <w:fldSimple w:instr=" PAGE   \* MERGEFORMAT ">
          <w:r w:rsidR="00AF052B">
            <w:rPr>
              <w:noProof/>
            </w:rPr>
            <w:t>1</w:t>
          </w:r>
        </w:fldSimple>
      </w:p>
    </w:sdtContent>
  </w:sdt>
  <w:p w:rsidR="00AF052B" w:rsidRDefault="00AF05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2B" w:rsidRDefault="00AF052B" w:rsidP="00DC052B">
      <w:r>
        <w:separator/>
      </w:r>
    </w:p>
  </w:footnote>
  <w:footnote w:type="continuationSeparator" w:id="0">
    <w:p w:rsidR="00AF052B" w:rsidRDefault="00AF052B" w:rsidP="00DC052B">
      <w:r>
        <w:continuationSeparator/>
      </w:r>
    </w:p>
  </w:footnote>
  <w:footnote w:id="1">
    <w:p w:rsidR="00AF052B" w:rsidRDefault="00AF052B">
      <w:pPr>
        <w:pStyle w:val="FootnoteText"/>
      </w:pPr>
      <w:r>
        <w:rPr>
          <w:rStyle w:val="FootnoteReference"/>
        </w:rPr>
        <w:footnoteRef/>
      </w:r>
      <w:r>
        <w:t xml:space="preserve"> Adjustments as a result of data issues encountered in the course of analysis deemed minor by HSCRC staff do not require such a discussion; however, staff will document the minor adjustments.</w:t>
      </w:r>
    </w:p>
  </w:footnote>
  <w:footnote w:id="2">
    <w:p w:rsidR="00AF052B" w:rsidRDefault="00AF052B" w:rsidP="0081511A">
      <w:pPr>
        <w:pStyle w:val="FootnoteText"/>
      </w:pPr>
      <w:r>
        <w:rPr>
          <w:rStyle w:val="FootnoteReference"/>
        </w:rPr>
        <w:footnoteRef/>
      </w:r>
      <w:r>
        <w:t xml:space="preserve"> HSCRC will apply annual update adjustments as defined in </w:t>
      </w:r>
      <w:r w:rsidRPr="00481B53">
        <w:t>Section III Paragraph G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2B" w:rsidRPr="006C1149" w:rsidRDefault="00AF052B">
    <w:pPr>
      <w:pStyle w:val="Header"/>
      <w:rPr>
        <w:rFonts w:ascii="Arial" w:hAnsi="Arial" w:cs="Arial"/>
        <w:b/>
      </w:rPr>
    </w:pPr>
    <w:r w:rsidRPr="006C1149">
      <w:rPr>
        <w:rFonts w:ascii="Arial" w:hAnsi="Arial" w:cs="Arial"/>
        <w:b/>
      </w:rPr>
      <w:t>ADMISSION-READMISSION REVENUE AGREEMENT</w:t>
    </w:r>
    <w:r w:rsidR="002C28FA">
      <w:rPr>
        <w:rFonts w:ascii="Arial" w:hAnsi="Arial" w:cs="Arial"/>
        <w:b/>
      </w:rPr>
      <w:tab/>
    </w:r>
  </w:p>
  <w:p w:rsidR="00AF052B" w:rsidRPr="004A571D" w:rsidRDefault="004A571D" w:rsidP="006C1149">
    <w:pPr>
      <w:pStyle w:val="Header"/>
      <w:pBdr>
        <w:bottom w:val="single" w:sz="4" w:space="5" w:color="auto"/>
      </w:pBdr>
      <w:rPr>
        <w:rFonts w:ascii="Arial" w:hAnsi="Arial" w:cs="Arial"/>
        <w:color w:val="FF0000"/>
      </w:rPr>
    </w:pPr>
    <w:r w:rsidRPr="004A571D">
      <w:rPr>
        <w:rFonts w:ascii="Arial" w:hAnsi="Arial" w:cs="Arial"/>
        <w:color w:val="FF0000"/>
      </w:rPr>
      <w:t xml:space="preserve">Hospital </w:t>
    </w:r>
    <w:r w:rsidR="006729F7" w:rsidRPr="004A571D">
      <w:rPr>
        <w:rFonts w:ascii="Arial" w:hAnsi="Arial" w:cs="Arial"/>
        <w:color w:val="FF0000"/>
      </w:rPr>
      <w:t>System</w:t>
    </w:r>
    <w:r w:rsidRPr="004A571D">
      <w:rPr>
        <w:rFonts w:ascii="Arial" w:hAnsi="Arial" w:cs="Arial"/>
        <w:color w:val="FF0000"/>
      </w:rPr>
      <w:t xml:space="preserve"> Name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2B" w:rsidRPr="006C1149" w:rsidRDefault="00AF052B">
    <w:pPr>
      <w:pStyle w:val="Header"/>
      <w:rPr>
        <w:rFonts w:ascii="Arial" w:hAnsi="Arial" w:cs="Arial"/>
        <w:b/>
      </w:rPr>
    </w:pPr>
    <w:r w:rsidRPr="006C1149">
      <w:rPr>
        <w:rFonts w:ascii="Arial" w:hAnsi="Arial" w:cs="Arial"/>
        <w:b/>
      </w:rPr>
      <w:t>ADMISSION-READMISSION REVENUE AGREEMENT</w:t>
    </w:r>
  </w:p>
  <w:p w:rsidR="00AF052B" w:rsidRDefault="004A571D" w:rsidP="006729F7">
    <w:pPr>
      <w:pStyle w:val="Header"/>
      <w:pBdr>
        <w:bottom w:val="single" w:sz="4" w:space="5" w:color="auto"/>
      </w:pBdr>
      <w:rPr>
        <w:rFonts w:ascii="Arial" w:hAnsi="Arial" w:cs="Arial"/>
      </w:rPr>
    </w:pPr>
    <w:r w:rsidRPr="004A571D">
      <w:rPr>
        <w:rFonts w:ascii="Arial" w:hAnsi="Arial" w:cs="Arial"/>
        <w:color w:val="FF0000"/>
      </w:rPr>
      <w:t>Hospital System Name</w:t>
    </w:r>
  </w:p>
  <w:p w:rsidR="00AF052B" w:rsidRDefault="00AF052B" w:rsidP="0088606F">
    <w:pPr>
      <w:pStyle w:val="Header"/>
      <w:rPr>
        <w:rFonts w:ascii="Arial" w:hAnsi="Arial" w:cs="Arial"/>
      </w:rPr>
    </w:pPr>
  </w:p>
  <w:p w:rsidR="00AF052B" w:rsidRPr="00907028" w:rsidRDefault="00AF052B" w:rsidP="0088606F">
    <w:pPr>
      <w:pStyle w:val="Header"/>
      <w:jc w:val="center"/>
      <w:rPr>
        <w:b/>
        <w:sz w:val="28"/>
        <w:szCs w:val="28"/>
      </w:rPr>
    </w:pPr>
    <w:r w:rsidRPr="00907028">
      <w:rPr>
        <w:b/>
        <w:sz w:val="28"/>
        <w:szCs w:val="28"/>
      </w:rPr>
      <w:t>Attachment D</w:t>
    </w:r>
  </w:p>
  <w:p w:rsidR="00AF052B" w:rsidRPr="00907028" w:rsidRDefault="00AF052B" w:rsidP="0088606F">
    <w:pPr>
      <w:pStyle w:val="Header"/>
      <w:jc w:val="center"/>
      <w:rPr>
        <w:i/>
      </w:rPr>
    </w:pPr>
    <w:r w:rsidRPr="00907028">
      <w:rPr>
        <w:i/>
      </w:rPr>
      <w:t>ARR Initiative Planned Interventions, Monitoring, and Budget</w:t>
    </w:r>
  </w:p>
  <w:p w:rsidR="00AF052B" w:rsidRPr="006C1149" w:rsidRDefault="00AF052B" w:rsidP="0088606F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2B" w:rsidRPr="006C1149" w:rsidRDefault="00AF052B">
    <w:pPr>
      <w:pStyle w:val="Header"/>
      <w:rPr>
        <w:rFonts w:ascii="Arial" w:hAnsi="Arial" w:cs="Arial"/>
        <w:b/>
      </w:rPr>
    </w:pPr>
    <w:r w:rsidRPr="006C1149">
      <w:rPr>
        <w:rFonts w:ascii="Arial" w:hAnsi="Arial" w:cs="Arial"/>
        <w:b/>
      </w:rPr>
      <w:t>ADMISSION-READMISSION REVENUE AGREEMENT</w:t>
    </w:r>
  </w:p>
  <w:p w:rsidR="00AF052B" w:rsidRDefault="004A571D" w:rsidP="00CB1467">
    <w:pPr>
      <w:pStyle w:val="Header"/>
      <w:pBdr>
        <w:bottom w:val="single" w:sz="4" w:space="5" w:color="auto"/>
      </w:pBdr>
      <w:rPr>
        <w:rFonts w:ascii="Arial" w:hAnsi="Arial" w:cs="Arial"/>
      </w:rPr>
    </w:pPr>
    <w:r w:rsidRPr="004A571D">
      <w:rPr>
        <w:rFonts w:ascii="Arial" w:hAnsi="Arial" w:cs="Arial"/>
        <w:color w:val="FF0000"/>
      </w:rPr>
      <w:t>Hospital System Name</w:t>
    </w:r>
  </w:p>
  <w:p w:rsidR="00AF052B" w:rsidRDefault="00AF052B" w:rsidP="00CB1467">
    <w:pPr>
      <w:pStyle w:val="Header"/>
      <w:rPr>
        <w:rFonts w:ascii="Arial" w:hAnsi="Arial" w:cs="Arial"/>
      </w:rPr>
    </w:pPr>
  </w:p>
  <w:p w:rsidR="00AF052B" w:rsidRPr="00E10149" w:rsidRDefault="00AF052B" w:rsidP="00CB1467">
    <w:pPr>
      <w:jc w:val="center"/>
      <w:rPr>
        <w:b/>
        <w:sz w:val="28"/>
        <w:szCs w:val="28"/>
      </w:rPr>
    </w:pPr>
    <w:r w:rsidRPr="00E10149">
      <w:rPr>
        <w:b/>
        <w:sz w:val="28"/>
        <w:szCs w:val="28"/>
      </w:rPr>
      <w:t>Addendum A</w:t>
    </w:r>
  </w:p>
  <w:p w:rsidR="00AF052B" w:rsidRPr="00CB1467" w:rsidRDefault="00AF052B" w:rsidP="00CB1467">
    <w:pPr>
      <w:jc w:val="center"/>
      <w:rPr>
        <w:i/>
      </w:rPr>
    </w:pPr>
    <w:r w:rsidRPr="00CB1467">
      <w:rPr>
        <w:i/>
      </w:rPr>
      <w:t>Linked System Hospitals</w:t>
    </w:r>
  </w:p>
  <w:p w:rsidR="00AF052B" w:rsidRPr="006C1149" w:rsidRDefault="00AF052B" w:rsidP="00CB1467">
    <w:pPr>
      <w:pStyle w:val="Head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upperRoman"/>
      <w:suff w:val="nothing"/>
      <w:lvlText w:val="%4."/>
      <w:lvlJc w:val="left"/>
    </w:lvl>
    <w:lvl w:ilvl="4">
      <w:start w:val="1"/>
      <w:numFmt w:val="upperRoman"/>
      <w:suff w:val="nothing"/>
      <w:lvlText w:val="%5."/>
      <w:lvlJc w:val="left"/>
    </w:lvl>
    <w:lvl w:ilvl="5">
      <w:start w:val="1"/>
      <w:numFmt w:val="upperRoman"/>
      <w:suff w:val="nothing"/>
      <w:lvlText w:val="%6."/>
      <w:lvlJc w:val="left"/>
    </w:lvl>
    <w:lvl w:ilvl="6">
      <w:start w:val="1"/>
      <w:numFmt w:val="upperRoman"/>
      <w:suff w:val="nothing"/>
      <w:lvlText w:val="%7."/>
      <w:lvlJc w:val="left"/>
    </w:lvl>
    <w:lvl w:ilvl="7">
      <w:start w:val="1"/>
      <w:numFmt w:val="upperRoman"/>
      <w:suff w:val="nothing"/>
      <w:lvlText w:val="%8."/>
      <w:lvlJc w:val="left"/>
    </w:lvl>
    <w:lvl w:ilvl="8">
      <w:start w:val="1"/>
      <w:numFmt w:val="upperRoman"/>
      <w:suff w:val="nothing"/>
      <w:lvlText w:val="%9."/>
      <w:lvlJc w:val="left"/>
    </w:lvl>
  </w:abstractNum>
  <w:abstractNum w:abstractNumId="1">
    <w:nsid w:val="01A41D68"/>
    <w:multiLevelType w:val="multilevel"/>
    <w:tmpl w:val="BD5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B11C6"/>
    <w:multiLevelType w:val="hybridMultilevel"/>
    <w:tmpl w:val="C0749576"/>
    <w:lvl w:ilvl="0" w:tplc="D054B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D4F5A"/>
    <w:multiLevelType w:val="hybridMultilevel"/>
    <w:tmpl w:val="047C85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08A83456"/>
    <w:multiLevelType w:val="hybridMultilevel"/>
    <w:tmpl w:val="29E8FA34"/>
    <w:lvl w:ilvl="0" w:tplc="32A2C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87D2B"/>
    <w:multiLevelType w:val="hybridMultilevel"/>
    <w:tmpl w:val="689231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0D7570A2"/>
    <w:multiLevelType w:val="multilevel"/>
    <w:tmpl w:val="808AC6D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0DAA59FA"/>
    <w:multiLevelType w:val="hybridMultilevel"/>
    <w:tmpl w:val="EBE41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775AA"/>
    <w:multiLevelType w:val="hybridMultilevel"/>
    <w:tmpl w:val="8FD8E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760A5"/>
    <w:multiLevelType w:val="hybridMultilevel"/>
    <w:tmpl w:val="7D269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252B23D2"/>
    <w:multiLevelType w:val="hybridMultilevel"/>
    <w:tmpl w:val="B512F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65F49"/>
    <w:multiLevelType w:val="hybridMultilevel"/>
    <w:tmpl w:val="8292B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C94449"/>
    <w:multiLevelType w:val="multilevel"/>
    <w:tmpl w:val="F246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DF1B20"/>
    <w:multiLevelType w:val="hybridMultilevel"/>
    <w:tmpl w:val="97228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920A8D"/>
    <w:multiLevelType w:val="hybridMultilevel"/>
    <w:tmpl w:val="CA443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2581F"/>
    <w:multiLevelType w:val="hybridMultilevel"/>
    <w:tmpl w:val="ABA68FFE"/>
    <w:lvl w:ilvl="0" w:tplc="AFEED5C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AC7D08"/>
    <w:multiLevelType w:val="hybridMultilevel"/>
    <w:tmpl w:val="BCA6A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5F26F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160B3"/>
    <w:multiLevelType w:val="hybridMultilevel"/>
    <w:tmpl w:val="4A7C0446"/>
    <w:lvl w:ilvl="0" w:tplc="31EED03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38E7A53"/>
    <w:multiLevelType w:val="hybridMultilevel"/>
    <w:tmpl w:val="0D38A3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A45D5B"/>
    <w:multiLevelType w:val="hybridMultilevel"/>
    <w:tmpl w:val="6B52899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8A25BC7"/>
    <w:multiLevelType w:val="hybridMultilevel"/>
    <w:tmpl w:val="257C8636"/>
    <w:lvl w:ilvl="0" w:tplc="D054BD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D65DE"/>
    <w:multiLevelType w:val="hybridMultilevel"/>
    <w:tmpl w:val="61D2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F69E9"/>
    <w:multiLevelType w:val="hybridMultilevel"/>
    <w:tmpl w:val="D4EC22CC"/>
    <w:lvl w:ilvl="0" w:tplc="CC429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A479A"/>
    <w:multiLevelType w:val="hybridMultilevel"/>
    <w:tmpl w:val="B08EB4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297F15"/>
    <w:multiLevelType w:val="hybridMultilevel"/>
    <w:tmpl w:val="2D86C3E6"/>
    <w:lvl w:ilvl="0" w:tplc="13643762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3A0D0A"/>
    <w:multiLevelType w:val="hybridMultilevel"/>
    <w:tmpl w:val="145EB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E94AC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4B057F"/>
    <w:multiLevelType w:val="hybridMultilevel"/>
    <w:tmpl w:val="CDDE3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D52274"/>
    <w:multiLevelType w:val="hybridMultilevel"/>
    <w:tmpl w:val="0C22B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FB17E1"/>
    <w:multiLevelType w:val="multilevel"/>
    <w:tmpl w:val="6AF4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9B4BE5"/>
    <w:multiLevelType w:val="hybridMultilevel"/>
    <w:tmpl w:val="AB8A59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9F715EC"/>
    <w:multiLevelType w:val="hybridMultilevel"/>
    <w:tmpl w:val="5DBA3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1F575C"/>
    <w:multiLevelType w:val="hybridMultilevel"/>
    <w:tmpl w:val="2CBC8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5F26F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40D28"/>
    <w:multiLevelType w:val="hybridMultilevel"/>
    <w:tmpl w:val="ABA68FFE"/>
    <w:lvl w:ilvl="0" w:tplc="AFEED5C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C4D36C7"/>
    <w:multiLevelType w:val="hybridMultilevel"/>
    <w:tmpl w:val="721E5E4E"/>
    <w:lvl w:ilvl="0" w:tplc="1FBA663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D4B3DF4"/>
    <w:multiLevelType w:val="hybridMultilevel"/>
    <w:tmpl w:val="1E1218C0"/>
    <w:lvl w:ilvl="0" w:tplc="C472EA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680D87"/>
    <w:multiLevelType w:val="multilevel"/>
    <w:tmpl w:val="5B62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9D2EAB"/>
    <w:multiLevelType w:val="hybridMultilevel"/>
    <w:tmpl w:val="2716D82A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7">
    <w:nsid w:val="68F8408F"/>
    <w:multiLevelType w:val="hybridMultilevel"/>
    <w:tmpl w:val="6D68A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13AC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9">
    <w:nsid w:val="6C664E32"/>
    <w:multiLevelType w:val="hybridMultilevel"/>
    <w:tmpl w:val="D3ACF3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5F26F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F3629"/>
    <w:multiLevelType w:val="hybridMultilevel"/>
    <w:tmpl w:val="FF82DD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1">
    <w:nsid w:val="715F16DF"/>
    <w:multiLevelType w:val="hybridMultilevel"/>
    <w:tmpl w:val="340ADF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4E1EAB"/>
    <w:multiLevelType w:val="hybridMultilevel"/>
    <w:tmpl w:val="8B7451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B30A0A"/>
    <w:multiLevelType w:val="hybridMultilevel"/>
    <w:tmpl w:val="B08EB4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99640E"/>
    <w:multiLevelType w:val="hybridMultilevel"/>
    <w:tmpl w:val="1DEEB4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2"/>
  </w:num>
  <w:num w:numId="2">
    <w:abstractNumId w:val="22"/>
  </w:num>
  <w:num w:numId="3">
    <w:abstractNumId w:val="14"/>
  </w:num>
  <w:num w:numId="4">
    <w:abstractNumId w:val="33"/>
  </w:num>
  <w:num w:numId="5">
    <w:abstractNumId w:val="21"/>
  </w:num>
  <w:num w:numId="6">
    <w:abstractNumId w:val="0"/>
  </w:num>
  <w:num w:numId="7">
    <w:abstractNumId w:val="13"/>
  </w:num>
  <w:num w:numId="8">
    <w:abstractNumId w:val="7"/>
  </w:num>
  <w:num w:numId="9">
    <w:abstractNumId w:val="34"/>
  </w:num>
  <w:num w:numId="10">
    <w:abstractNumId w:val="1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9"/>
  </w:num>
  <w:num w:numId="17">
    <w:abstractNumId w:val="30"/>
  </w:num>
  <w:num w:numId="18">
    <w:abstractNumId w:val="27"/>
  </w:num>
  <w:num w:numId="19">
    <w:abstractNumId w:val="4"/>
  </w:num>
  <w:num w:numId="20">
    <w:abstractNumId w:val="37"/>
  </w:num>
  <w:num w:numId="21">
    <w:abstractNumId w:val="8"/>
  </w:num>
  <w:num w:numId="22">
    <w:abstractNumId w:val="36"/>
  </w:num>
  <w:num w:numId="23">
    <w:abstractNumId w:val="40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6"/>
  </w:num>
  <w:num w:numId="28">
    <w:abstractNumId w:val="20"/>
  </w:num>
  <w:num w:numId="29">
    <w:abstractNumId w:val="39"/>
  </w:num>
  <w:num w:numId="30">
    <w:abstractNumId w:val="11"/>
  </w:num>
  <w:num w:numId="31">
    <w:abstractNumId w:val="26"/>
  </w:num>
  <w:num w:numId="32">
    <w:abstractNumId w:val="43"/>
  </w:num>
  <w:num w:numId="33">
    <w:abstractNumId w:val="29"/>
  </w:num>
  <w:num w:numId="34">
    <w:abstractNumId w:val="31"/>
  </w:num>
  <w:num w:numId="35">
    <w:abstractNumId w:val="10"/>
  </w:num>
  <w:num w:numId="36">
    <w:abstractNumId w:val="9"/>
  </w:num>
  <w:num w:numId="37">
    <w:abstractNumId w:val="3"/>
  </w:num>
  <w:num w:numId="38">
    <w:abstractNumId w:val="16"/>
  </w:num>
  <w:num w:numId="39">
    <w:abstractNumId w:val="32"/>
  </w:num>
  <w:num w:numId="40">
    <w:abstractNumId w:val="44"/>
  </w:num>
  <w:num w:numId="41">
    <w:abstractNumId w:val="15"/>
  </w:num>
  <w:num w:numId="42">
    <w:abstractNumId w:val="23"/>
  </w:num>
  <w:num w:numId="43">
    <w:abstractNumId w:val="42"/>
  </w:num>
  <w:num w:numId="44">
    <w:abstractNumId w:val="18"/>
  </w:num>
  <w:num w:numId="45">
    <w:abstractNumId w:val="5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4DE"/>
    <w:rsid w:val="00003523"/>
    <w:rsid w:val="00006760"/>
    <w:rsid w:val="00010780"/>
    <w:rsid w:val="000152B9"/>
    <w:rsid w:val="00020DA3"/>
    <w:rsid w:val="00032346"/>
    <w:rsid w:val="00032E73"/>
    <w:rsid w:val="000379A0"/>
    <w:rsid w:val="00041778"/>
    <w:rsid w:val="0005139B"/>
    <w:rsid w:val="00052ABD"/>
    <w:rsid w:val="00056FC5"/>
    <w:rsid w:val="00064F49"/>
    <w:rsid w:val="00067928"/>
    <w:rsid w:val="000745FC"/>
    <w:rsid w:val="00080512"/>
    <w:rsid w:val="000813CB"/>
    <w:rsid w:val="0008288D"/>
    <w:rsid w:val="00084EC7"/>
    <w:rsid w:val="0008527E"/>
    <w:rsid w:val="00085A8D"/>
    <w:rsid w:val="0008608C"/>
    <w:rsid w:val="00091FE5"/>
    <w:rsid w:val="00092F97"/>
    <w:rsid w:val="00093CB1"/>
    <w:rsid w:val="00094C58"/>
    <w:rsid w:val="000A107C"/>
    <w:rsid w:val="000A7B8D"/>
    <w:rsid w:val="000C3344"/>
    <w:rsid w:val="000C4759"/>
    <w:rsid w:val="000C5924"/>
    <w:rsid w:val="000C744A"/>
    <w:rsid w:val="000D1396"/>
    <w:rsid w:val="000D1AB9"/>
    <w:rsid w:val="000E0058"/>
    <w:rsid w:val="000E1990"/>
    <w:rsid w:val="000E2186"/>
    <w:rsid w:val="000E2D2C"/>
    <w:rsid w:val="000E388A"/>
    <w:rsid w:val="000F34A7"/>
    <w:rsid w:val="00102519"/>
    <w:rsid w:val="00103DA3"/>
    <w:rsid w:val="00104962"/>
    <w:rsid w:val="0011136D"/>
    <w:rsid w:val="00124E34"/>
    <w:rsid w:val="00130B72"/>
    <w:rsid w:val="00131DDF"/>
    <w:rsid w:val="00132545"/>
    <w:rsid w:val="001326FA"/>
    <w:rsid w:val="00136EAF"/>
    <w:rsid w:val="00137446"/>
    <w:rsid w:val="00141C25"/>
    <w:rsid w:val="00141DD6"/>
    <w:rsid w:val="00144947"/>
    <w:rsid w:val="001532DA"/>
    <w:rsid w:val="0016214C"/>
    <w:rsid w:val="001805B7"/>
    <w:rsid w:val="001859FC"/>
    <w:rsid w:val="00186BDA"/>
    <w:rsid w:val="00187AAF"/>
    <w:rsid w:val="001916C4"/>
    <w:rsid w:val="00192382"/>
    <w:rsid w:val="001B3B33"/>
    <w:rsid w:val="001C08D6"/>
    <w:rsid w:val="001C3BCC"/>
    <w:rsid w:val="001C4354"/>
    <w:rsid w:val="001C6F08"/>
    <w:rsid w:val="001D478E"/>
    <w:rsid w:val="001E03B3"/>
    <w:rsid w:val="001E108C"/>
    <w:rsid w:val="001F313E"/>
    <w:rsid w:val="00207097"/>
    <w:rsid w:val="00210E47"/>
    <w:rsid w:val="00211B0D"/>
    <w:rsid w:val="0021233F"/>
    <w:rsid w:val="0021688B"/>
    <w:rsid w:val="0022178D"/>
    <w:rsid w:val="002230C7"/>
    <w:rsid w:val="00223965"/>
    <w:rsid w:val="002306A9"/>
    <w:rsid w:val="00235EAE"/>
    <w:rsid w:val="00240483"/>
    <w:rsid w:val="00244270"/>
    <w:rsid w:val="00253899"/>
    <w:rsid w:val="002553A4"/>
    <w:rsid w:val="00265DCC"/>
    <w:rsid w:val="0026632E"/>
    <w:rsid w:val="00266A32"/>
    <w:rsid w:val="00267CB2"/>
    <w:rsid w:val="002701AC"/>
    <w:rsid w:val="00273EA7"/>
    <w:rsid w:val="0027485C"/>
    <w:rsid w:val="0027494A"/>
    <w:rsid w:val="0028399F"/>
    <w:rsid w:val="002936A2"/>
    <w:rsid w:val="0029666A"/>
    <w:rsid w:val="00296999"/>
    <w:rsid w:val="00297609"/>
    <w:rsid w:val="002A0AFD"/>
    <w:rsid w:val="002A3EE5"/>
    <w:rsid w:val="002B2689"/>
    <w:rsid w:val="002B2E1D"/>
    <w:rsid w:val="002B4FC9"/>
    <w:rsid w:val="002C045C"/>
    <w:rsid w:val="002C28FA"/>
    <w:rsid w:val="002C4D6B"/>
    <w:rsid w:val="002C5165"/>
    <w:rsid w:val="002C7709"/>
    <w:rsid w:val="002D2C9D"/>
    <w:rsid w:val="002E30D3"/>
    <w:rsid w:val="002F3921"/>
    <w:rsid w:val="002F395C"/>
    <w:rsid w:val="002F7709"/>
    <w:rsid w:val="00303391"/>
    <w:rsid w:val="00304B9F"/>
    <w:rsid w:val="00305318"/>
    <w:rsid w:val="0030651A"/>
    <w:rsid w:val="003068F4"/>
    <w:rsid w:val="003152CC"/>
    <w:rsid w:val="00317030"/>
    <w:rsid w:val="003229B2"/>
    <w:rsid w:val="00323CEC"/>
    <w:rsid w:val="00325E34"/>
    <w:rsid w:val="003309C3"/>
    <w:rsid w:val="003319D6"/>
    <w:rsid w:val="003333EB"/>
    <w:rsid w:val="00333701"/>
    <w:rsid w:val="00336FD3"/>
    <w:rsid w:val="00342CCB"/>
    <w:rsid w:val="00353711"/>
    <w:rsid w:val="00353BC6"/>
    <w:rsid w:val="003556F1"/>
    <w:rsid w:val="00357517"/>
    <w:rsid w:val="00361EA3"/>
    <w:rsid w:val="003639E4"/>
    <w:rsid w:val="00365E5A"/>
    <w:rsid w:val="0037037B"/>
    <w:rsid w:val="00381EBF"/>
    <w:rsid w:val="0038551E"/>
    <w:rsid w:val="00387CF2"/>
    <w:rsid w:val="003910B3"/>
    <w:rsid w:val="003917A0"/>
    <w:rsid w:val="003966C7"/>
    <w:rsid w:val="00396D6F"/>
    <w:rsid w:val="003A00E4"/>
    <w:rsid w:val="003A3444"/>
    <w:rsid w:val="003A57D5"/>
    <w:rsid w:val="003B3E16"/>
    <w:rsid w:val="003C1B1A"/>
    <w:rsid w:val="003D0EEE"/>
    <w:rsid w:val="003D38D1"/>
    <w:rsid w:val="003E4B4C"/>
    <w:rsid w:val="003E548E"/>
    <w:rsid w:val="003F0B30"/>
    <w:rsid w:val="003F7A2B"/>
    <w:rsid w:val="004016A4"/>
    <w:rsid w:val="00402892"/>
    <w:rsid w:val="00404337"/>
    <w:rsid w:val="00404D5A"/>
    <w:rsid w:val="0041129E"/>
    <w:rsid w:val="00411AB6"/>
    <w:rsid w:val="00414109"/>
    <w:rsid w:val="00415202"/>
    <w:rsid w:val="00416D8A"/>
    <w:rsid w:val="00425811"/>
    <w:rsid w:val="00426308"/>
    <w:rsid w:val="00430775"/>
    <w:rsid w:val="00432B29"/>
    <w:rsid w:val="00435309"/>
    <w:rsid w:val="00437862"/>
    <w:rsid w:val="00442438"/>
    <w:rsid w:val="00443C24"/>
    <w:rsid w:val="004473C3"/>
    <w:rsid w:val="00460BD4"/>
    <w:rsid w:val="0046161C"/>
    <w:rsid w:val="0046227A"/>
    <w:rsid w:val="004651AA"/>
    <w:rsid w:val="004660E4"/>
    <w:rsid w:val="00467FA5"/>
    <w:rsid w:val="00471D98"/>
    <w:rsid w:val="004725DD"/>
    <w:rsid w:val="0047286B"/>
    <w:rsid w:val="00473859"/>
    <w:rsid w:val="00474A36"/>
    <w:rsid w:val="0047626A"/>
    <w:rsid w:val="00481B53"/>
    <w:rsid w:val="00484F38"/>
    <w:rsid w:val="00495546"/>
    <w:rsid w:val="00496E64"/>
    <w:rsid w:val="004A0050"/>
    <w:rsid w:val="004A571D"/>
    <w:rsid w:val="004C68AE"/>
    <w:rsid w:val="004D201B"/>
    <w:rsid w:val="004D2576"/>
    <w:rsid w:val="004D27B6"/>
    <w:rsid w:val="004D2E95"/>
    <w:rsid w:val="004D54A5"/>
    <w:rsid w:val="004E1F2B"/>
    <w:rsid w:val="004E64E1"/>
    <w:rsid w:val="004E79EF"/>
    <w:rsid w:val="004F4A81"/>
    <w:rsid w:val="00501E60"/>
    <w:rsid w:val="005052D3"/>
    <w:rsid w:val="00505874"/>
    <w:rsid w:val="00513075"/>
    <w:rsid w:val="00524FEB"/>
    <w:rsid w:val="00525926"/>
    <w:rsid w:val="00526008"/>
    <w:rsid w:val="005366E0"/>
    <w:rsid w:val="00541697"/>
    <w:rsid w:val="00542719"/>
    <w:rsid w:val="00545020"/>
    <w:rsid w:val="00545DC4"/>
    <w:rsid w:val="00551ADB"/>
    <w:rsid w:val="00554449"/>
    <w:rsid w:val="00554894"/>
    <w:rsid w:val="00555046"/>
    <w:rsid w:val="005553D7"/>
    <w:rsid w:val="00561981"/>
    <w:rsid w:val="00570EBF"/>
    <w:rsid w:val="0057194D"/>
    <w:rsid w:val="00572524"/>
    <w:rsid w:val="00573AEE"/>
    <w:rsid w:val="00574606"/>
    <w:rsid w:val="00575477"/>
    <w:rsid w:val="00580B5D"/>
    <w:rsid w:val="00582127"/>
    <w:rsid w:val="00590A17"/>
    <w:rsid w:val="0059107B"/>
    <w:rsid w:val="00594EE8"/>
    <w:rsid w:val="00596911"/>
    <w:rsid w:val="005A3E83"/>
    <w:rsid w:val="005B6BA3"/>
    <w:rsid w:val="005C3F5A"/>
    <w:rsid w:val="005C41BC"/>
    <w:rsid w:val="005D39F3"/>
    <w:rsid w:val="005D722B"/>
    <w:rsid w:val="005E3A54"/>
    <w:rsid w:val="005F29C4"/>
    <w:rsid w:val="00616C1B"/>
    <w:rsid w:val="006212A9"/>
    <w:rsid w:val="00622069"/>
    <w:rsid w:val="00623621"/>
    <w:rsid w:val="0062504E"/>
    <w:rsid w:val="00631BB1"/>
    <w:rsid w:val="0063399C"/>
    <w:rsid w:val="00633A33"/>
    <w:rsid w:val="00641937"/>
    <w:rsid w:val="006652B8"/>
    <w:rsid w:val="006729F7"/>
    <w:rsid w:val="00675A6B"/>
    <w:rsid w:val="0068331F"/>
    <w:rsid w:val="0068593B"/>
    <w:rsid w:val="00692647"/>
    <w:rsid w:val="006928E4"/>
    <w:rsid w:val="00696865"/>
    <w:rsid w:val="006A0A1F"/>
    <w:rsid w:val="006A6929"/>
    <w:rsid w:val="006A6FAA"/>
    <w:rsid w:val="006B3D4A"/>
    <w:rsid w:val="006B5AE3"/>
    <w:rsid w:val="006B6AC9"/>
    <w:rsid w:val="006C03AF"/>
    <w:rsid w:val="006C1149"/>
    <w:rsid w:val="006C2AC5"/>
    <w:rsid w:val="006C5446"/>
    <w:rsid w:val="006C5E76"/>
    <w:rsid w:val="006C76E1"/>
    <w:rsid w:val="006D19E4"/>
    <w:rsid w:val="006D2795"/>
    <w:rsid w:val="006D7841"/>
    <w:rsid w:val="006E508D"/>
    <w:rsid w:val="006F2412"/>
    <w:rsid w:val="00705691"/>
    <w:rsid w:val="00705C50"/>
    <w:rsid w:val="00706880"/>
    <w:rsid w:val="00713418"/>
    <w:rsid w:val="00724C1C"/>
    <w:rsid w:val="0072643B"/>
    <w:rsid w:val="00726AE3"/>
    <w:rsid w:val="00727BB6"/>
    <w:rsid w:val="00732092"/>
    <w:rsid w:val="0073258A"/>
    <w:rsid w:val="007350D0"/>
    <w:rsid w:val="00736B66"/>
    <w:rsid w:val="00740588"/>
    <w:rsid w:val="00742779"/>
    <w:rsid w:val="00743D81"/>
    <w:rsid w:val="00757FB1"/>
    <w:rsid w:val="00760354"/>
    <w:rsid w:val="00762A1D"/>
    <w:rsid w:val="007659F1"/>
    <w:rsid w:val="007709EA"/>
    <w:rsid w:val="007742BE"/>
    <w:rsid w:val="007827D2"/>
    <w:rsid w:val="00783BA1"/>
    <w:rsid w:val="00783E57"/>
    <w:rsid w:val="00790764"/>
    <w:rsid w:val="0079568A"/>
    <w:rsid w:val="007A0B8B"/>
    <w:rsid w:val="007A283E"/>
    <w:rsid w:val="007B1C83"/>
    <w:rsid w:val="007B343A"/>
    <w:rsid w:val="007B40FB"/>
    <w:rsid w:val="007B4E12"/>
    <w:rsid w:val="007B782F"/>
    <w:rsid w:val="007B7BDB"/>
    <w:rsid w:val="007C011F"/>
    <w:rsid w:val="007C3BD8"/>
    <w:rsid w:val="007D283D"/>
    <w:rsid w:val="007E1259"/>
    <w:rsid w:val="007E2A94"/>
    <w:rsid w:val="007F4727"/>
    <w:rsid w:val="007F64DE"/>
    <w:rsid w:val="007F6FB5"/>
    <w:rsid w:val="008023AD"/>
    <w:rsid w:val="008067FF"/>
    <w:rsid w:val="00812175"/>
    <w:rsid w:val="0081278C"/>
    <w:rsid w:val="0081511A"/>
    <w:rsid w:val="00815F2A"/>
    <w:rsid w:val="00824E75"/>
    <w:rsid w:val="00832563"/>
    <w:rsid w:val="0083375E"/>
    <w:rsid w:val="008353EB"/>
    <w:rsid w:val="008375DA"/>
    <w:rsid w:val="00845C53"/>
    <w:rsid w:val="008479D8"/>
    <w:rsid w:val="0085001A"/>
    <w:rsid w:val="00850FE7"/>
    <w:rsid w:val="00851333"/>
    <w:rsid w:val="0085256E"/>
    <w:rsid w:val="00856046"/>
    <w:rsid w:val="00861067"/>
    <w:rsid w:val="00863AEC"/>
    <w:rsid w:val="008646B8"/>
    <w:rsid w:val="00866C38"/>
    <w:rsid w:val="00870CB7"/>
    <w:rsid w:val="00872C30"/>
    <w:rsid w:val="00873BAA"/>
    <w:rsid w:val="00874792"/>
    <w:rsid w:val="00874845"/>
    <w:rsid w:val="00877611"/>
    <w:rsid w:val="0088606F"/>
    <w:rsid w:val="00895DE9"/>
    <w:rsid w:val="008A4442"/>
    <w:rsid w:val="008A7369"/>
    <w:rsid w:val="008A7837"/>
    <w:rsid w:val="008B0670"/>
    <w:rsid w:val="008B0A1C"/>
    <w:rsid w:val="008B72C4"/>
    <w:rsid w:val="008C01DC"/>
    <w:rsid w:val="008C09A3"/>
    <w:rsid w:val="008C59A2"/>
    <w:rsid w:val="008D5E77"/>
    <w:rsid w:val="008D629F"/>
    <w:rsid w:val="008E0B94"/>
    <w:rsid w:val="008E16AB"/>
    <w:rsid w:val="008F3C0D"/>
    <w:rsid w:val="008F3EE7"/>
    <w:rsid w:val="008F5185"/>
    <w:rsid w:val="0090246E"/>
    <w:rsid w:val="00903779"/>
    <w:rsid w:val="00907028"/>
    <w:rsid w:val="009216BD"/>
    <w:rsid w:val="0093382A"/>
    <w:rsid w:val="0093619A"/>
    <w:rsid w:val="00943742"/>
    <w:rsid w:val="00943B3E"/>
    <w:rsid w:val="00945D82"/>
    <w:rsid w:val="009508C5"/>
    <w:rsid w:val="009548F4"/>
    <w:rsid w:val="0095670A"/>
    <w:rsid w:val="00965A95"/>
    <w:rsid w:val="009664BC"/>
    <w:rsid w:val="009670DB"/>
    <w:rsid w:val="009675AF"/>
    <w:rsid w:val="00974880"/>
    <w:rsid w:val="00977473"/>
    <w:rsid w:val="00980046"/>
    <w:rsid w:val="00984B31"/>
    <w:rsid w:val="0098592C"/>
    <w:rsid w:val="00986127"/>
    <w:rsid w:val="00986E47"/>
    <w:rsid w:val="009920B0"/>
    <w:rsid w:val="009953EC"/>
    <w:rsid w:val="009A1890"/>
    <w:rsid w:val="009A6CED"/>
    <w:rsid w:val="009A7B87"/>
    <w:rsid w:val="009B4698"/>
    <w:rsid w:val="009B6A01"/>
    <w:rsid w:val="009B7740"/>
    <w:rsid w:val="009C51D4"/>
    <w:rsid w:val="009D09C3"/>
    <w:rsid w:val="009D1FD5"/>
    <w:rsid w:val="009E1B14"/>
    <w:rsid w:val="009F497C"/>
    <w:rsid w:val="009F73BE"/>
    <w:rsid w:val="00A058C2"/>
    <w:rsid w:val="00A17F8B"/>
    <w:rsid w:val="00A278C4"/>
    <w:rsid w:val="00A31455"/>
    <w:rsid w:val="00A31D07"/>
    <w:rsid w:val="00A36BAC"/>
    <w:rsid w:val="00A415F4"/>
    <w:rsid w:val="00A41BAB"/>
    <w:rsid w:val="00A50345"/>
    <w:rsid w:val="00A60281"/>
    <w:rsid w:val="00A63870"/>
    <w:rsid w:val="00A71C40"/>
    <w:rsid w:val="00A71CBA"/>
    <w:rsid w:val="00A74961"/>
    <w:rsid w:val="00A7643A"/>
    <w:rsid w:val="00A7730C"/>
    <w:rsid w:val="00A814B0"/>
    <w:rsid w:val="00A8176F"/>
    <w:rsid w:val="00A81C7D"/>
    <w:rsid w:val="00A8512E"/>
    <w:rsid w:val="00A93644"/>
    <w:rsid w:val="00A94C8D"/>
    <w:rsid w:val="00A94F59"/>
    <w:rsid w:val="00A97FE9"/>
    <w:rsid w:val="00AA233D"/>
    <w:rsid w:val="00AA5C4E"/>
    <w:rsid w:val="00AB126F"/>
    <w:rsid w:val="00AB25F5"/>
    <w:rsid w:val="00AB569C"/>
    <w:rsid w:val="00AC1165"/>
    <w:rsid w:val="00AC41BA"/>
    <w:rsid w:val="00AD10B9"/>
    <w:rsid w:val="00AE1B0D"/>
    <w:rsid w:val="00AE1D85"/>
    <w:rsid w:val="00AE32DC"/>
    <w:rsid w:val="00AE5E69"/>
    <w:rsid w:val="00AE7E4B"/>
    <w:rsid w:val="00AF052B"/>
    <w:rsid w:val="00AF690F"/>
    <w:rsid w:val="00B02B27"/>
    <w:rsid w:val="00B064E8"/>
    <w:rsid w:val="00B073B1"/>
    <w:rsid w:val="00B10365"/>
    <w:rsid w:val="00B130BB"/>
    <w:rsid w:val="00B1529D"/>
    <w:rsid w:val="00B21628"/>
    <w:rsid w:val="00B22630"/>
    <w:rsid w:val="00B24CB2"/>
    <w:rsid w:val="00B25361"/>
    <w:rsid w:val="00B54059"/>
    <w:rsid w:val="00B612DA"/>
    <w:rsid w:val="00B704C1"/>
    <w:rsid w:val="00B71263"/>
    <w:rsid w:val="00B72135"/>
    <w:rsid w:val="00B76037"/>
    <w:rsid w:val="00B7792B"/>
    <w:rsid w:val="00B8224E"/>
    <w:rsid w:val="00B87E6C"/>
    <w:rsid w:val="00B96415"/>
    <w:rsid w:val="00BA24B6"/>
    <w:rsid w:val="00BA4A29"/>
    <w:rsid w:val="00BB0C88"/>
    <w:rsid w:val="00BB2B6D"/>
    <w:rsid w:val="00BB312F"/>
    <w:rsid w:val="00BB7DDF"/>
    <w:rsid w:val="00BC52CA"/>
    <w:rsid w:val="00BE01F5"/>
    <w:rsid w:val="00BE2C8B"/>
    <w:rsid w:val="00BE5677"/>
    <w:rsid w:val="00BE6CCA"/>
    <w:rsid w:val="00BE790E"/>
    <w:rsid w:val="00BF39C5"/>
    <w:rsid w:val="00BF7E0F"/>
    <w:rsid w:val="00C03F50"/>
    <w:rsid w:val="00C11096"/>
    <w:rsid w:val="00C13C63"/>
    <w:rsid w:val="00C20102"/>
    <w:rsid w:val="00C23C36"/>
    <w:rsid w:val="00C24B3E"/>
    <w:rsid w:val="00C320CD"/>
    <w:rsid w:val="00C33935"/>
    <w:rsid w:val="00C35294"/>
    <w:rsid w:val="00C45BE1"/>
    <w:rsid w:val="00C46C81"/>
    <w:rsid w:val="00C57113"/>
    <w:rsid w:val="00C72AD3"/>
    <w:rsid w:val="00C803B0"/>
    <w:rsid w:val="00C81EBB"/>
    <w:rsid w:val="00C92FC8"/>
    <w:rsid w:val="00C93552"/>
    <w:rsid w:val="00C94F5C"/>
    <w:rsid w:val="00C954B1"/>
    <w:rsid w:val="00C9761A"/>
    <w:rsid w:val="00CA0E62"/>
    <w:rsid w:val="00CA4D3C"/>
    <w:rsid w:val="00CA7621"/>
    <w:rsid w:val="00CB1467"/>
    <w:rsid w:val="00CB2693"/>
    <w:rsid w:val="00CB297C"/>
    <w:rsid w:val="00CB5E60"/>
    <w:rsid w:val="00CB77BC"/>
    <w:rsid w:val="00CC5CC4"/>
    <w:rsid w:val="00CD36B6"/>
    <w:rsid w:val="00CD4A6B"/>
    <w:rsid w:val="00CE5B86"/>
    <w:rsid w:val="00CF0510"/>
    <w:rsid w:val="00D05C83"/>
    <w:rsid w:val="00D1466E"/>
    <w:rsid w:val="00D21C96"/>
    <w:rsid w:val="00D2446F"/>
    <w:rsid w:val="00D248BE"/>
    <w:rsid w:val="00D336CF"/>
    <w:rsid w:val="00D336EB"/>
    <w:rsid w:val="00D35F22"/>
    <w:rsid w:val="00D5155C"/>
    <w:rsid w:val="00D53F76"/>
    <w:rsid w:val="00D54F0D"/>
    <w:rsid w:val="00D55CEA"/>
    <w:rsid w:val="00D62051"/>
    <w:rsid w:val="00D64C3A"/>
    <w:rsid w:val="00D67501"/>
    <w:rsid w:val="00D7289C"/>
    <w:rsid w:val="00D74CE4"/>
    <w:rsid w:val="00D81E6C"/>
    <w:rsid w:val="00D9103D"/>
    <w:rsid w:val="00D9115B"/>
    <w:rsid w:val="00D97721"/>
    <w:rsid w:val="00DA3F71"/>
    <w:rsid w:val="00DA4B5C"/>
    <w:rsid w:val="00DA5628"/>
    <w:rsid w:val="00DA7173"/>
    <w:rsid w:val="00DB1953"/>
    <w:rsid w:val="00DB48A6"/>
    <w:rsid w:val="00DC052B"/>
    <w:rsid w:val="00DC18BB"/>
    <w:rsid w:val="00DC34D5"/>
    <w:rsid w:val="00DD0A03"/>
    <w:rsid w:val="00DD175B"/>
    <w:rsid w:val="00DD554E"/>
    <w:rsid w:val="00DD7539"/>
    <w:rsid w:val="00DE2C3B"/>
    <w:rsid w:val="00DF4BEA"/>
    <w:rsid w:val="00E017E1"/>
    <w:rsid w:val="00E04F75"/>
    <w:rsid w:val="00E05735"/>
    <w:rsid w:val="00E10039"/>
    <w:rsid w:val="00E10149"/>
    <w:rsid w:val="00E118A3"/>
    <w:rsid w:val="00E15224"/>
    <w:rsid w:val="00E16028"/>
    <w:rsid w:val="00E16A2E"/>
    <w:rsid w:val="00E27E9F"/>
    <w:rsid w:val="00E30BAF"/>
    <w:rsid w:val="00E3163A"/>
    <w:rsid w:val="00E338C1"/>
    <w:rsid w:val="00E416CA"/>
    <w:rsid w:val="00E43DF5"/>
    <w:rsid w:val="00E44FAD"/>
    <w:rsid w:val="00E47567"/>
    <w:rsid w:val="00E5373C"/>
    <w:rsid w:val="00E53913"/>
    <w:rsid w:val="00E545F2"/>
    <w:rsid w:val="00E56519"/>
    <w:rsid w:val="00E636E8"/>
    <w:rsid w:val="00E6594E"/>
    <w:rsid w:val="00E674CF"/>
    <w:rsid w:val="00E71E5D"/>
    <w:rsid w:val="00E72419"/>
    <w:rsid w:val="00E803A4"/>
    <w:rsid w:val="00E916E9"/>
    <w:rsid w:val="00E92EE5"/>
    <w:rsid w:val="00EA2E84"/>
    <w:rsid w:val="00EA4C2A"/>
    <w:rsid w:val="00EA5961"/>
    <w:rsid w:val="00EA5F0E"/>
    <w:rsid w:val="00EA64FD"/>
    <w:rsid w:val="00EA6710"/>
    <w:rsid w:val="00EA7433"/>
    <w:rsid w:val="00ED6ABA"/>
    <w:rsid w:val="00ED761A"/>
    <w:rsid w:val="00ED78C9"/>
    <w:rsid w:val="00EE041F"/>
    <w:rsid w:val="00EE38A1"/>
    <w:rsid w:val="00EE4192"/>
    <w:rsid w:val="00EE59C1"/>
    <w:rsid w:val="00EE6F4F"/>
    <w:rsid w:val="00EE758B"/>
    <w:rsid w:val="00EF5EDA"/>
    <w:rsid w:val="00EF6A26"/>
    <w:rsid w:val="00EF7E35"/>
    <w:rsid w:val="00F03BB1"/>
    <w:rsid w:val="00F04F9F"/>
    <w:rsid w:val="00F14973"/>
    <w:rsid w:val="00F31477"/>
    <w:rsid w:val="00F40390"/>
    <w:rsid w:val="00F45A41"/>
    <w:rsid w:val="00F45A4F"/>
    <w:rsid w:val="00F5222B"/>
    <w:rsid w:val="00F522D1"/>
    <w:rsid w:val="00F5344B"/>
    <w:rsid w:val="00F60CCD"/>
    <w:rsid w:val="00F66095"/>
    <w:rsid w:val="00F66315"/>
    <w:rsid w:val="00F7248D"/>
    <w:rsid w:val="00F72F54"/>
    <w:rsid w:val="00F75B72"/>
    <w:rsid w:val="00F77A9B"/>
    <w:rsid w:val="00F82919"/>
    <w:rsid w:val="00F85B06"/>
    <w:rsid w:val="00F85E8B"/>
    <w:rsid w:val="00F901AA"/>
    <w:rsid w:val="00F97F18"/>
    <w:rsid w:val="00FB3E29"/>
    <w:rsid w:val="00FB544F"/>
    <w:rsid w:val="00FC0277"/>
    <w:rsid w:val="00FC0624"/>
    <w:rsid w:val="00FD0893"/>
    <w:rsid w:val="00FD6F30"/>
    <w:rsid w:val="00FD75E1"/>
    <w:rsid w:val="00FD76F6"/>
    <w:rsid w:val="00FE5F0D"/>
    <w:rsid w:val="00FF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B77BC"/>
    <w:pPr>
      <w:numPr>
        <w:numId w:val="26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B77BC"/>
    <w:pPr>
      <w:numPr>
        <w:ilvl w:val="1"/>
        <w:numId w:val="26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6F6"/>
    <w:pPr>
      <w:keepNext/>
      <w:keepLines/>
      <w:numPr>
        <w:ilvl w:val="2"/>
        <w:numId w:val="2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6F6"/>
    <w:pPr>
      <w:keepNext/>
      <w:keepLines/>
      <w:numPr>
        <w:ilvl w:val="3"/>
        <w:numId w:val="2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6F6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6F6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6F6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6F6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6F6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1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C0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052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052B"/>
    <w:rPr>
      <w:vertAlign w:val="superscript"/>
    </w:rPr>
  </w:style>
  <w:style w:type="paragraph" w:customStyle="1" w:styleId="Pa6">
    <w:name w:val="Pa6"/>
    <w:basedOn w:val="Normal"/>
    <w:next w:val="Normal"/>
    <w:uiPriority w:val="99"/>
    <w:rsid w:val="00032346"/>
    <w:pPr>
      <w:autoSpaceDE w:val="0"/>
      <w:autoSpaceDN w:val="0"/>
      <w:adjustRightInd w:val="0"/>
      <w:spacing w:line="221" w:lineRule="atLeast"/>
    </w:pPr>
    <w:rPr>
      <w:rFonts w:ascii="Times LT Std" w:eastAsiaTheme="minorHAnsi" w:hAnsi="Times LT Std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78"/>
    <w:rPr>
      <w:rFonts w:ascii="Tahoma" w:eastAsia="Times New Roman" w:hAnsi="Tahoma" w:cs="Tahoma"/>
      <w:sz w:val="16"/>
      <w:szCs w:val="16"/>
    </w:rPr>
  </w:style>
  <w:style w:type="paragraph" w:customStyle="1" w:styleId="Level2">
    <w:name w:val="Level 2"/>
    <w:basedOn w:val="Normal"/>
    <w:rsid w:val="00525926"/>
    <w:pPr>
      <w:widowControl w:val="0"/>
    </w:pPr>
    <w:rPr>
      <w:szCs w:val="20"/>
    </w:rPr>
  </w:style>
  <w:style w:type="paragraph" w:customStyle="1" w:styleId="Level3">
    <w:name w:val="Level 3"/>
    <w:basedOn w:val="Normal"/>
    <w:rsid w:val="00525926"/>
    <w:pPr>
      <w:widowControl w:val="0"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D2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E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E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77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7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B77BC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B77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B77B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me">
    <w:name w:val="name"/>
    <w:basedOn w:val="DefaultParagraphFont"/>
    <w:rsid w:val="00CB77BC"/>
  </w:style>
  <w:style w:type="character" w:customStyle="1" w:styleId="contrib-degrees">
    <w:name w:val="contrib-degrees"/>
    <w:basedOn w:val="DefaultParagraphFont"/>
    <w:rsid w:val="00CB77BC"/>
  </w:style>
  <w:style w:type="character" w:customStyle="1" w:styleId="ref-label">
    <w:name w:val="ref-label"/>
    <w:basedOn w:val="DefaultParagraphFont"/>
    <w:rsid w:val="00CB77BC"/>
  </w:style>
  <w:style w:type="character" w:customStyle="1" w:styleId="cit-authors">
    <w:name w:val="cit-authors"/>
    <w:basedOn w:val="DefaultParagraphFont"/>
    <w:rsid w:val="00CB77BC"/>
  </w:style>
  <w:style w:type="character" w:customStyle="1" w:styleId="cit-name-surname">
    <w:name w:val="cit-name-surname"/>
    <w:basedOn w:val="DefaultParagraphFont"/>
    <w:rsid w:val="00CB77BC"/>
  </w:style>
  <w:style w:type="character" w:customStyle="1" w:styleId="cit-name-given-names">
    <w:name w:val="cit-name-given-names"/>
    <w:basedOn w:val="DefaultParagraphFont"/>
    <w:rsid w:val="00CB77BC"/>
  </w:style>
  <w:style w:type="character" w:customStyle="1" w:styleId="cit-article-title">
    <w:name w:val="cit-article-title"/>
    <w:basedOn w:val="DefaultParagraphFont"/>
    <w:rsid w:val="00CB77BC"/>
  </w:style>
  <w:style w:type="character" w:customStyle="1" w:styleId="cit-pub-date">
    <w:name w:val="cit-pub-date"/>
    <w:basedOn w:val="DefaultParagraphFont"/>
    <w:rsid w:val="00CB77BC"/>
  </w:style>
  <w:style w:type="character" w:customStyle="1" w:styleId="cit-vol">
    <w:name w:val="cit-vol"/>
    <w:basedOn w:val="DefaultParagraphFont"/>
    <w:rsid w:val="00CB77BC"/>
  </w:style>
  <w:style w:type="character" w:customStyle="1" w:styleId="cit-fpage">
    <w:name w:val="cit-fpage"/>
    <w:basedOn w:val="DefaultParagraphFont"/>
    <w:rsid w:val="00CB77BC"/>
  </w:style>
  <w:style w:type="character" w:customStyle="1" w:styleId="cit-lpage">
    <w:name w:val="cit-lpage"/>
    <w:basedOn w:val="DefaultParagraphFont"/>
    <w:rsid w:val="00CB77BC"/>
  </w:style>
  <w:style w:type="character" w:customStyle="1" w:styleId="cit-pub-id">
    <w:name w:val="cit-pub-id"/>
    <w:basedOn w:val="DefaultParagraphFont"/>
    <w:rsid w:val="00CB77BC"/>
  </w:style>
  <w:style w:type="character" w:customStyle="1" w:styleId="cit-pub-id-scheme">
    <w:name w:val="cit-pub-id-scheme"/>
    <w:basedOn w:val="DefaultParagraphFont"/>
    <w:rsid w:val="00CB77BC"/>
  </w:style>
  <w:style w:type="character" w:customStyle="1" w:styleId="cit-reflinks-abstract">
    <w:name w:val="cit-reflinks-abstract"/>
    <w:basedOn w:val="DefaultParagraphFont"/>
    <w:rsid w:val="00CB77BC"/>
  </w:style>
  <w:style w:type="character" w:customStyle="1" w:styleId="cit-sep">
    <w:name w:val="cit-sep"/>
    <w:basedOn w:val="DefaultParagraphFont"/>
    <w:rsid w:val="00CB77BC"/>
  </w:style>
  <w:style w:type="character" w:customStyle="1" w:styleId="cit-reflinks-full-text">
    <w:name w:val="cit-reflinks-full-text"/>
    <w:basedOn w:val="DefaultParagraphFont"/>
    <w:rsid w:val="00CB77BC"/>
  </w:style>
  <w:style w:type="character" w:customStyle="1" w:styleId="free-full-text">
    <w:name w:val="free-full-text"/>
    <w:basedOn w:val="DefaultParagraphFont"/>
    <w:rsid w:val="00CB77BC"/>
  </w:style>
  <w:style w:type="character" w:customStyle="1" w:styleId="cit-etal">
    <w:name w:val="cit-etal"/>
    <w:basedOn w:val="DefaultParagraphFont"/>
    <w:rsid w:val="00CB77BC"/>
  </w:style>
  <w:style w:type="character" w:customStyle="1" w:styleId="cit-publ-loc">
    <w:name w:val="cit-publ-loc"/>
    <w:basedOn w:val="DefaultParagraphFont"/>
    <w:rsid w:val="00CB77BC"/>
  </w:style>
  <w:style w:type="character" w:customStyle="1" w:styleId="cit-publ-name">
    <w:name w:val="cit-publ-name"/>
    <w:basedOn w:val="DefaultParagraphFont"/>
    <w:rsid w:val="00CB77BC"/>
  </w:style>
  <w:style w:type="character" w:styleId="Strong">
    <w:name w:val="Strong"/>
    <w:basedOn w:val="DefaultParagraphFont"/>
    <w:uiPriority w:val="22"/>
    <w:qFormat/>
    <w:rsid w:val="00CB77BC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B77BC"/>
    <w:rPr>
      <w:i/>
      <w:iCs/>
    </w:rPr>
  </w:style>
  <w:style w:type="paragraph" w:customStyle="1" w:styleId="Default">
    <w:name w:val="Default"/>
    <w:rsid w:val="00726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2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4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F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FE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6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6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6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6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6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6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6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B297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297C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907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9Heading">
    <w:name w:val="WP9_Heading"/>
    <w:basedOn w:val="Normal"/>
    <w:rsid w:val="00DD753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8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B77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B77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1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C0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052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052B"/>
    <w:rPr>
      <w:vertAlign w:val="superscript"/>
    </w:rPr>
  </w:style>
  <w:style w:type="paragraph" w:customStyle="1" w:styleId="Pa6">
    <w:name w:val="Pa6"/>
    <w:basedOn w:val="Normal"/>
    <w:next w:val="Normal"/>
    <w:uiPriority w:val="99"/>
    <w:rsid w:val="00032346"/>
    <w:pPr>
      <w:autoSpaceDE w:val="0"/>
      <w:autoSpaceDN w:val="0"/>
      <w:adjustRightInd w:val="0"/>
      <w:spacing w:line="221" w:lineRule="atLeast"/>
    </w:pPr>
    <w:rPr>
      <w:rFonts w:ascii="Times LT Std" w:eastAsiaTheme="minorHAnsi" w:hAnsi="Times LT Std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78"/>
    <w:rPr>
      <w:rFonts w:ascii="Tahoma" w:eastAsia="Times New Roman" w:hAnsi="Tahoma" w:cs="Tahoma"/>
      <w:sz w:val="16"/>
      <w:szCs w:val="16"/>
    </w:rPr>
  </w:style>
  <w:style w:type="paragraph" w:customStyle="1" w:styleId="Level2">
    <w:name w:val="Level 2"/>
    <w:basedOn w:val="Normal"/>
    <w:rsid w:val="00525926"/>
    <w:pPr>
      <w:widowControl w:val="0"/>
    </w:pPr>
    <w:rPr>
      <w:szCs w:val="20"/>
    </w:rPr>
  </w:style>
  <w:style w:type="paragraph" w:customStyle="1" w:styleId="Level3">
    <w:name w:val="Level 3"/>
    <w:basedOn w:val="Normal"/>
    <w:rsid w:val="00525926"/>
    <w:pPr>
      <w:widowControl w:val="0"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D2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E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E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77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7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B77BC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B77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B77B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me">
    <w:name w:val="name"/>
    <w:basedOn w:val="DefaultParagraphFont"/>
    <w:rsid w:val="00CB77BC"/>
  </w:style>
  <w:style w:type="character" w:customStyle="1" w:styleId="contrib-degrees">
    <w:name w:val="contrib-degrees"/>
    <w:basedOn w:val="DefaultParagraphFont"/>
    <w:rsid w:val="00CB77BC"/>
  </w:style>
  <w:style w:type="character" w:customStyle="1" w:styleId="ref-label">
    <w:name w:val="ref-label"/>
    <w:basedOn w:val="DefaultParagraphFont"/>
    <w:rsid w:val="00CB77BC"/>
  </w:style>
  <w:style w:type="character" w:customStyle="1" w:styleId="cit-authors">
    <w:name w:val="cit-authors"/>
    <w:basedOn w:val="DefaultParagraphFont"/>
    <w:rsid w:val="00CB77BC"/>
  </w:style>
  <w:style w:type="character" w:customStyle="1" w:styleId="cit-name-surname">
    <w:name w:val="cit-name-surname"/>
    <w:basedOn w:val="DefaultParagraphFont"/>
    <w:rsid w:val="00CB77BC"/>
  </w:style>
  <w:style w:type="character" w:customStyle="1" w:styleId="cit-name-given-names">
    <w:name w:val="cit-name-given-names"/>
    <w:basedOn w:val="DefaultParagraphFont"/>
    <w:rsid w:val="00CB77BC"/>
  </w:style>
  <w:style w:type="character" w:customStyle="1" w:styleId="cit-article-title">
    <w:name w:val="cit-article-title"/>
    <w:basedOn w:val="DefaultParagraphFont"/>
    <w:rsid w:val="00CB77BC"/>
  </w:style>
  <w:style w:type="character" w:customStyle="1" w:styleId="cit-pub-date">
    <w:name w:val="cit-pub-date"/>
    <w:basedOn w:val="DefaultParagraphFont"/>
    <w:rsid w:val="00CB77BC"/>
  </w:style>
  <w:style w:type="character" w:customStyle="1" w:styleId="cit-vol">
    <w:name w:val="cit-vol"/>
    <w:basedOn w:val="DefaultParagraphFont"/>
    <w:rsid w:val="00CB77BC"/>
  </w:style>
  <w:style w:type="character" w:customStyle="1" w:styleId="cit-fpage">
    <w:name w:val="cit-fpage"/>
    <w:basedOn w:val="DefaultParagraphFont"/>
    <w:rsid w:val="00CB77BC"/>
  </w:style>
  <w:style w:type="character" w:customStyle="1" w:styleId="cit-lpage">
    <w:name w:val="cit-lpage"/>
    <w:basedOn w:val="DefaultParagraphFont"/>
    <w:rsid w:val="00CB77BC"/>
  </w:style>
  <w:style w:type="character" w:customStyle="1" w:styleId="cit-pub-id">
    <w:name w:val="cit-pub-id"/>
    <w:basedOn w:val="DefaultParagraphFont"/>
    <w:rsid w:val="00CB77BC"/>
  </w:style>
  <w:style w:type="character" w:customStyle="1" w:styleId="cit-pub-id-scheme">
    <w:name w:val="cit-pub-id-scheme"/>
    <w:basedOn w:val="DefaultParagraphFont"/>
    <w:rsid w:val="00CB77BC"/>
  </w:style>
  <w:style w:type="character" w:customStyle="1" w:styleId="cit-reflinks-abstract">
    <w:name w:val="cit-reflinks-abstract"/>
    <w:basedOn w:val="DefaultParagraphFont"/>
    <w:rsid w:val="00CB77BC"/>
  </w:style>
  <w:style w:type="character" w:customStyle="1" w:styleId="cit-sep">
    <w:name w:val="cit-sep"/>
    <w:basedOn w:val="DefaultParagraphFont"/>
    <w:rsid w:val="00CB77BC"/>
  </w:style>
  <w:style w:type="character" w:customStyle="1" w:styleId="cit-reflinks-full-text">
    <w:name w:val="cit-reflinks-full-text"/>
    <w:basedOn w:val="DefaultParagraphFont"/>
    <w:rsid w:val="00CB77BC"/>
  </w:style>
  <w:style w:type="character" w:customStyle="1" w:styleId="free-full-text">
    <w:name w:val="free-full-text"/>
    <w:basedOn w:val="DefaultParagraphFont"/>
    <w:rsid w:val="00CB77BC"/>
  </w:style>
  <w:style w:type="character" w:customStyle="1" w:styleId="cit-etal">
    <w:name w:val="cit-etal"/>
    <w:basedOn w:val="DefaultParagraphFont"/>
    <w:rsid w:val="00CB77BC"/>
  </w:style>
  <w:style w:type="character" w:customStyle="1" w:styleId="cit-publ-loc">
    <w:name w:val="cit-publ-loc"/>
    <w:basedOn w:val="DefaultParagraphFont"/>
    <w:rsid w:val="00CB77BC"/>
  </w:style>
  <w:style w:type="character" w:customStyle="1" w:styleId="cit-publ-name">
    <w:name w:val="cit-publ-name"/>
    <w:basedOn w:val="DefaultParagraphFont"/>
    <w:rsid w:val="00CB77BC"/>
  </w:style>
  <w:style w:type="character" w:styleId="Strong">
    <w:name w:val="Strong"/>
    <w:basedOn w:val="DefaultParagraphFont"/>
    <w:uiPriority w:val="22"/>
    <w:qFormat/>
    <w:rsid w:val="00CB77BC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B77BC"/>
    <w:rPr>
      <w:i/>
      <w:iCs/>
    </w:rPr>
  </w:style>
  <w:style w:type="paragraph" w:customStyle="1" w:styleId="Default">
    <w:name w:val="Default"/>
    <w:rsid w:val="00726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F7371-313A-4075-97CC-88DE014E6631}"/>
</file>

<file path=customXml/itemProps2.xml><?xml version="1.0" encoding="utf-8"?>
<ds:datastoreItem xmlns:ds="http://schemas.openxmlformats.org/officeDocument/2006/customXml" ds:itemID="{D6027F99-06DB-4C92-B031-0A531CF7E346}"/>
</file>

<file path=customXml/itemProps3.xml><?xml version="1.0" encoding="utf-8"?>
<ds:datastoreItem xmlns:ds="http://schemas.openxmlformats.org/officeDocument/2006/customXml" ds:itemID="{85D45F06-552B-40FB-AE44-5DD48F3F98DA}"/>
</file>

<file path=customXml/itemProps4.xml><?xml version="1.0" encoding="utf-8"?>
<ds:datastoreItem xmlns:ds="http://schemas.openxmlformats.org/officeDocument/2006/customXml" ds:itemID="{A63E6A0F-6145-4248-9FD6-CCFC9A2A4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4261</Words>
  <Characters>24289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HSCRC</Company>
  <LinksUpToDate>false</LinksUpToDate>
  <CharactersWithSpaces>28494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Murray</dc:creator>
  <cp:lastModifiedBy>Mary Pohl</cp:lastModifiedBy>
  <cp:revision>7</cp:revision>
  <cp:lastPrinted>2011-09-26T15:58:00Z</cp:lastPrinted>
  <dcterms:created xsi:type="dcterms:W3CDTF">2011-10-12T19:00:00Z</dcterms:created>
  <dcterms:modified xsi:type="dcterms:W3CDTF">2011-11-16T19:56:00Z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