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C3" w:rsidRDefault="00FA60C3" w:rsidP="00AD2543">
      <w:pPr>
        <w:pStyle w:val="Heading2"/>
        <w:spacing w:before="120" w:line="240" w:lineRule="auto"/>
        <w:jc w:val="center"/>
      </w:pPr>
      <w:r>
        <w:t>Contributions to Changes in Total Levels of Uncompensated Care for FY 2015</w:t>
      </w:r>
    </w:p>
    <w:p w:rsidR="00A04290" w:rsidRDefault="00A04290" w:rsidP="00C45336">
      <w:pPr>
        <w:pStyle w:val="Heading4"/>
        <w:spacing w:before="0"/>
      </w:pPr>
    </w:p>
    <w:p w:rsidR="00FA60C3" w:rsidRPr="001B5932" w:rsidRDefault="00FA60C3" w:rsidP="000E01F0">
      <w:pPr>
        <w:pStyle w:val="Heading2"/>
      </w:pPr>
      <w:r w:rsidRPr="001B5932">
        <w:t>Situation</w:t>
      </w:r>
    </w:p>
    <w:p w:rsidR="00FA60C3" w:rsidRDefault="00FA60C3" w:rsidP="00FA6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HSCRC needs to examine the level of uncompensated care provided in hospitals'  rates as well as the formula used to determine the amount of funds to be remitted or withdrawn from the </w:t>
      </w:r>
      <w:r w:rsidR="005239B8">
        <w:t xml:space="preserve">uncompensated care fund by each hospital.  </w:t>
      </w:r>
    </w:p>
    <w:p w:rsidR="00FA60C3" w:rsidRDefault="00FA60C3" w:rsidP="00FA6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A60C3" w:rsidRDefault="00FA60C3" w:rsidP="00FA6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HSCRC’s provision for uncompensated care in hospital rates is one of the unique features of rate regulation in Maryland. </w:t>
      </w:r>
      <w:r>
        <w:t xml:space="preserve"> </w:t>
      </w:r>
      <w:r>
        <w:t xml:space="preserve">Uncompensated care (UCC) includes bad debt and charity care. By recognizing reasonable levels of bad debt and charity care in hospital rates, the system enhances access to hospital care for those patients who cannot pay for care.  The uncompensated care methodology has undergone substantial changes over the years since it was initially established in 1983.  The most recent version of the policy was adopted by the Commission on </w:t>
      </w:r>
      <w:r w:rsidRPr="005570E5">
        <w:t>September 1, 2010</w:t>
      </w:r>
      <w:r>
        <w:t xml:space="preserve">. </w:t>
      </w:r>
    </w:p>
    <w:p w:rsidR="00FA60C3" w:rsidRDefault="00FA60C3" w:rsidP="00FA6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A60C3" w:rsidRDefault="00FA60C3" w:rsidP="00FA6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Under the current policy, the statewide uncompensated care provision (now 6.86 percent) is placed in each hospital's rates.  Each hospital remits funds or withdraws funds from an uncompensated care pool administered by HSCRC based on application of the formula contained in the UCC policy of the HSCRC.  Hospitals with a result above 6.86 percent withdraw money from the funds to cover additional uncompensated care while hospitals with a result below 6.86 percent pay into the fund.</w:t>
      </w:r>
    </w:p>
    <w:p w:rsidR="005239B8" w:rsidRDefault="005239B8" w:rsidP="00FA6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239B8" w:rsidRDefault="005239B8" w:rsidP="00523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There are several factors contributing to the need for review of the level of uncompensated care provided for in rates overall as well as the formulation of hospital specific levels used </w:t>
      </w:r>
      <w:r w:rsidR="00FA60C3">
        <w:t>to determine whether the hospital will receive money from the pool, or pay into the pool</w:t>
      </w:r>
      <w:r>
        <w:t>.</w:t>
      </w:r>
    </w:p>
    <w:p w:rsidR="005239B8" w:rsidRDefault="005239B8" w:rsidP="005239B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Uncompensated care increased by approximately .5 percent between fiscal year 2012 and fiscal year 2013</w:t>
      </w:r>
      <w:r w:rsidR="00632287">
        <w:t xml:space="preserve">.  This increase would be considered for rate formulation for </w:t>
      </w:r>
      <w:r>
        <w:t xml:space="preserve">FY2015 rates under </w:t>
      </w:r>
      <w:r w:rsidR="00632287">
        <w:t>current policies.</w:t>
      </w:r>
    </w:p>
    <w:p w:rsidR="00632287" w:rsidRDefault="00632287" w:rsidP="00632287">
      <w:pPr>
        <w:pStyle w:val="ListParagraph"/>
        <w:numPr>
          <w:ilvl w:val="0"/>
          <w:numId w:val="22"/>
        </w:numPr>
      </w:pPr>
      <w:r w:rsidRPr="00FA60C3">
        <w:t>Effective January 1, 2014 there was an increase in the number of Medicaid enrollees</w:t>
      </w:r>
      <w:r>
        <w:t xml:space="preserve">, including </w:t>
      </w:r>
      <w:r w:rsidR="00EB3A32">
        <w:t>expansion of coverage to</w:t>
      </w:r>
      <w:r>
        <w:t xml:space="preserve"> more than 90,000 limited enrollees who had limited benefits prior to January 1.  Expansion of coverage to limited benefit enrollees is expected to begin to decrease bad debts in 2014.   </w:t>
      </w:r>
    </w:p>
    <w:p w:rsidR="00632287" w:rsidRDefault="00632287" w:rsidP="00632287">
      <w:pPr>
        <w:pStyle w:val="ListParagraph"/>
        <w:numPr>
          <w:ilvl w:val="0"/>
          <w:numId w:val="22"/>
        </w:numPr>
      </w:pPr>
      <w:r>
        <w:t>Historically, Medicaid enrollment has been used in the regression formulation to predict uncompensated care for individual hospitals.  As Medicaid expands, its use in the formulation may need to be reexamined.  Additionally, HSCRC staff have been informed that undocumented immigrants, who are not eligible for full Medicaid benefits, are producing unrecognized increases in uncompensated care levels for specific hospitals.</w:t>
      </w:r>
    </w:p>
    <w:p w:rsidR="00632287" w:rsidRDefault="00337BC6" w:rsidP="005239B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For FY 2014, HSCRC suspended the charity care multiplier used in the formulation of the level of UCC recognized for individual hospitals in applying the policies due to inconsistencies in allocating uncompensated care between charity care and bad debt amounts.  HSCRC staff will </w:t>
      </w:r>
      <w:r w:rsidR="00980120">
        <w:t xml:space="preserve">need to </w:t>
      </w:r>
      <w:r w:rsidR="004D7C37">
        <w:t>assess the consistency of allocations for FY 2015.</w:t>
      </w:r>
    </w:p>
    <w:p w:rsidR="00FA60C3" w:rsidRDefault="00FA60C3" w:rsidP="00FA60C3"/>
    <w:p w:rsidR="00980120" w:rsidRDefault="00980120" w:rsidP="00FA60C3">
      <w:r>
        <w:t>This paper focuses on the impact of the expansion of Medicaid to cover individuals who had only limited benefit coverage prior to January 1, 2014.  Additional topic</w:t>
      </w:r>
      <w:r w:rsidR="001B5932">
        <w:t>s will be added as the related work is  completed.</w:t>
      </w:r>
    </w:p>
    <w:p w:rsidR="00980120" w:rsidRPr="00FA60C3" w:rsidRDefault="00980120" w:rsidP="00FA60C3"/>
    <w:p w:rsidR="00B60193" w:rsidRPr="001B5932" w:rsidRDefault="00CE2236" w:rsidP="000E01F0">
      <w:pPr>
        <w:pStyle w:val="Heading2"/>
      </w:pPr>
      <w:r w:rsidRPr="001B5932">
        <w:t>Background</w:t>
      </w:r>
    </w:p>
    <w:p w:rsidR="00A76378" w:rsidRDefault="009B2BD8" w:rsidP="00512ABD">
      <w:pPr>
        <w:pStyle w:val="ListParagraph"/>
        <w:spacing w:after="120"/>
        <w:ind w:left="0"/>
        <w:contextualSpacing w:val="0"/>
      </w:pPr>
      <w:r>
        <w:t>Maryland’s</w:t>
      </w:r>
      <w:r w:rsidR="00A76378">
        <w:t xml:space="preserve"> Primary Adult Care Program (PAC) </w:t>
      </w:r>
      <w:r w:rsidR="00622E55">
        <w:t xml:space="preserve">served </w:t>
      </w:r>
      <w:r w:rsidR="00512ABD">
        <w:t xml:space="preserve">individuals </w:t>
      </w:r>
      <w:r>
        <w:t>age</w:t>
      </w:r>
      <w:r w:rsidR="0063706E">
        <w:t>d</w:t>
      </w:r>
      <w:r>
        <w:t xml:space="preserve"> 19 and over who had</w:t>
      </w:r>
      <w:r w:rsidR="00622E55">
        <w:t xml:space="preserve"> minimum incomes</w:t>
      </w:r>
      <w:r>
        <w:t xml:space="preserve"> but did</w:t>
      </w:r>
      <w:r w:rsidR="00AD2543">
        <w:t xml:space="preserve"> not qualify for full Medicaid benefits</w:t>
      </w:r>
      <w:r w:rsidR="00052DE9">
        <w:t>. PAC provided</w:t>
      </w:r>
      <w:r w:rsidR="00622E55">
        <w:t xml:space="preserve"> a </w:t>
      </w:r>
      <w:r w:rsidR="002313D9">
        <w:t xml:space="preserve">limited benefit package </w:t>
      </w:r>
      <w:r w:rsidR="00622E55">
        <w:t>cover</w:t>
      </w:r>
      <w:r w:rsidR="003432B8">
        <w:t>ing</w:t>
      </w:r>
      <w:r w:rsidR="00622E55">
        <w:t xml:space="preserve"> the cost of primary care, </w:t>
      </w:r>
      <w:r w:rsidR="0063706E">
        <w:t xml:space="preserve">family planning, </w:t>
      </w:r>
      <w:r w:rsidR="00622E55">
        <w:t xml:space="preserve">prescriptions, mental health care and addiction services, and </w:t>
      </w:r>
      <w:r w:rsidR="0063706E">
        <w:t xml:space="preserve">outpatient </w:t>
      </w:r>
      <w:r w:rsidR="00622E55">
        <w:t xml:space="preserve">hospital emergency room </w:t>
      </w:r>
      <w:r w:rsidR="00052DE9">
        <w:t>services</w:t>
      </w:r>
      <w:r w:rsidR="00622E55">
        <w:t xml:space="preserve">. However, PAC </w:t>
      </w:r>
      <w:r w:rsidR="00052DE9">
        <w:t xml:space="preserve">did </w:t>
      </w:r>
      <w:r w:rsidR="00622E55">
        <w:t xml:space="preserve">not </w:t>
      </w:r>
      <w:r w:rsidR="00512ABD">
        <w:t xml:space="preserve">reimburse for </w:t>
      </w:r>
      <w:r w:rsidR="00622E55">
        <w:t xml:space="preserve">inpatient or outpatient </w:t>
      </w:r>
      <w:r w:rsidR="00512ABD">
        <w:t>hospital care. When PAC</w:t>
      </w:r>
      <w:r w:rsidR="00AD2543">
        <w:t>-</w:t>
      </w:r>
      <w:r w:rsidR="00052DE9">
        <w:t>enrolled</w:t>
      </w:r>
      <w:r w:rsidR="00512ABD">
        <w:t xml:space="preserve"> individuals did </w:t>
      </w:r>
      <w:r w:rsidR="00AD2543">
        <w:t>receive</w:t>
      </w:r>
      <w:r w:rsidR="00512ABD">
        <w:t xml:space="preserve"> hospital care, hospital</w:t>
      </w:r>
      <w:r w:rsidR="00A76378">
        <w:t>s</w:t>
      </w:r>
      <w:r w:rsidR="00512ABD">
        <w:t xml:space="preserve"> would </w:t>
      </w:r>
      <w:r w:rsidR="00052DE9">
        <w:t xml:space="preserve">generally </w:t>
      </w:r>
      <w:r w:rsidR="00512ABD">
        <w:t>not be reimbursed for the services</w:t>
      </w:r>
      <w:r w:rsidR="00052DE9">
        <w:t xml:space="preserve"> provided</w:t>
      </w:r>
      <w:r w:rsidR="0063706E">
        <w:t>,</w:t>
      </w:r>
      <w:r w:rsidR="00052DE9">
        <w:t xml:space="preserve"> and the </w:t>
      </w:r>
      <w:r w:rsidR="00A76378">
        <w:t xml:space="preserve">hospitals would consider the </w:t>
      </w:r>
      <w:r w:rsidR="00052DE9">
        <w:t xml:space="preserve">cost of these services </w:t>
      </w:r>
      <w:r w:rsidR="00A76378">
        <w:t xml:space="preserve">to be </w:t>
      </w:r>
      <w:r w:rsidR="00512ABD">
        <w:t xml:space="preserve">uncompensated care </w:t>
      </w:r>
      <w:r w:rsidR="00A76378">
        <w:t>(UCC)</w:t>
      </w:r>
      <w:r w:rsidR="00512ABD">
        <w:t>.</w:t>
      </w:r>
      <w:r w:rsidR="00052DE9">
        <w:t xml:space="preserve"> </w:t>
      </w:r>
    </w:p>
    <w:p w:rsidR="00052DE9" w:rsidRDefault="00A76378" w:rsidP="00512ABD">
      <w:pPr>
        <w:pStyle w:val="ListParagraph"/>
        <w:spacing w:after="120"/>
        <w:ind w:left="0"/>
        <w:contextualSpacing w:val="0"/>
      </w:pPr>
      <w:r>
        <w:t xml:space="preserve">In January 2014, approximately </w:t>
      </w:r>
      <w:r w:rsidR="0063499F">
        <w:t>9</w:t>
      </w:r>
      <w:r w:rsidR="00E50896">
        <w:t>6</w:t>
      </w:r>
      <w:r>
        <w:t>,000 Marylanders transitioned from PAC to</w:t>
      </w:r>
      <w:r w:rsidR="0063706E">
        <w:t xml:space="preserve"> full-benefit Medicaid under the Medicaid expansion. </w:t>
      </w:r>
      <w:r>
        <w:t xml:space="preserve"> Now that former PAC enrollees have access to full package</w:t>
      </w:r>
      <w:r w:rsidR="009B2BD8">
        <w:t>s</w:t>
      </w:r>
      <w:r>
        <w:t xml:space="preserve"> of services,</w:t>
      </w:r>
      <w:r w:rsidR="008329F3">
        <w:t xml:space="preserve"> including hospital care,</w:t>
      </w:r>
      <w:r>
        <w:t xml:space="preserve"> Maryland hospitals will likely see </w:t>
      </w:r>
      <w:r w:rsidR="008329F3">
        <w:t xml:space="preserve">resulting </w:t>
      </w:r>
      <w:r>
        <w:t xml:space="preserve">changes to UCC. When establishing hospital reimbursement rates, </w:t>
      </w:r>
      <w:r w:rsidR="008D4B54">
        <w:t xml:space="preserve">Maryland’s Health Services Cost Review Commission (HSCRC) </w:t>
      </w:r>
      <w:r>
        <w:t xml:space="preserve">accounts for UCC </w:t>
      </w:r>
      <w:r w:rsidR="009B2BD8">
        <w:t xml:space="preserve">in </w:t>
      </w:r>
      <w:r>
        <w:t>rates. Therefore,</w:t>
      </w:r>
      <w:r w:rsidR="001B5932">
        <w:t xml:space="preserve"> </w:t>
      </w:r>
      <w:r>
        <w:t xml:space="preserve"> State health officials</w:t>
      </w:r>
      <w:r w:rsidR="001B5932">
        <w:t>, HSCRC</w:t>
      </w:r>
      <w:r>
        <w:t xml:space="preserve"> and hospitals are interested </w:t>
      </w:r>
      <w:r w:rsidR="008D4B54">
        <w:t>in understand</w:t>
      </w:r>
      <w:r w:rsidR="00BE4D59">
        <w:t>ing</w:t>
      </w:r>
      <w:r w:rsidR="008D4B54">
        <w:t xml:space="preserve"> potential reductions in UCC due to health reform</w:t>
      </w:r>
      <w:r w:rsidR="003432B8">
        <w:t xml:space="preserve"> and the resulting changes in coverage for former PAC enrollees</w:t>
      </w:r>
      <w:r w:rsidR="008D4B54">
        <w:t>.</w:t>
      </w:r>
      <w:r>
        <w:t xml:space="preserve"> </w:t>
      </w:r>
    </w:p>
    <w:p w:rsidR="000E01F0" w:rsidRDefault="000E01F0" w:rsidP="00512ABD">
      <w:pPr>
        <w:pStyle w:val="ListParagraph"/>
        <w:spacing w:after="120"/>
        <w:ind w:left="0"/>
        <w:contextualSpacing w:val="0"/>
      </w:pPr>
    </w:p>
    <w:p w:rsidR="001B5932" w:rsidRDefault="001B5932" w:rsidP="000E01F0">
      <w:pPr>
        <w:pStyle w:val="Heading2"/>
      </w:pPr>
      <w:r w:rsidRPr="001B5932">
        <w:t>Analysis</w:t>
      </w:r>
    </w:p>
    <w:p w:rsidR="00CE2236" w:rsidRPr="001B5932" w:rsidRDefault="00CE2236" w:rsidP="00CE2236">
      <w:pPr>
        <w:pStyle w:val="Heading4"/>
        <w:rPr>
          <w:sz w:val="28"/>
        </w:rPr>
      </w:pPr>
      <w:r w:rsidRPr="001B5932">
        <w:t>Objectives of the Analysis</w:t>
      </w:r>
    </w:p>
    <w:p w:rsidR="00B60193" w:rsidRDefault="008329F3" w:rsidP="00512ABD">
      <w:pPr>
        <w:pStyle w:val="ListParagraph"/>
        <w:spacing w:after="120"/>
        <w:ind w:left="0"/>
        <w:contextualSpacing w:val="0"/>
      </w:pPr>
      <w:r>
        <w:t xml:space="preserve">The objective of the analysis is to </w:t>
      </w:r>
      <w:r w:rsidR="008D4B54">
        <w:t>u</w:t>
      </w:r>
      <w:r w:rsidR="00052DE9">
        <w:t xml:space="preserve">nderstand </w:t>
      </w:r>
      <w:r>
        <w:t xml:space="preserve">hospital utilization by PAC enrollees in the year prior to full benefit enrollment. </w:t>
      </w:r>
    </w:p>
    <w:p w:rsidR="00DB7369" w:rsidRPr="005A47B4" w:rsidRDefault="00052DE9" w:rsidP="005A47B4">
      <w:pPr>
        <w:pStyle w:val="Heading4"/>
      </w:pPr>
      <w:r w:rsidRPr="005A47B4">
        <w:t>Description of the Analysis</w:t>
      </w:r>
    </w:p>
    <w:p w:rsidR="00DB7369" w:rsidRDefault="005A47B4" w:rsidP="005A47B4">
      <w:pPr>
        <w:spacing w:after="120"/>
      </w:pPr>
      <w:r>
        <w:t>H</w:t>
      </w:r>
      <w:r w:rsidR="00052DE9">
        <w:t xml:space="preserve">ospital data from </w:t>
      </w:r>
      <w:r w:rsidR="00A76378">
        <w:t>the HSCRC</w:t>
      </w:r>
      <w:r>
        <w:t xml:space="preserve"> </w:t>
      </w:r>
      <w:r w:rsidR="0063706E">
        <w:t>are</w:t>
      </w:r>
      <w:r w:rsidR="00052DE9">
        <w:t xml:space="preserve"> useful in understanding hospital utilization and costs. However, as PAC did not reimburse for hospital costs, </w:t>
      </w:r>
      <w:r w:rsidR="008329F3">
        <w:t xml:space="preserve">we cannot </w:t>
      </w:r>
      <w:r>
        <w:t xml:space="preserve">reliably </w:t>
      </w:r>
      <w:r w:rsidR="00052DE9">
        <w:t xml:space="preserve">identify PAC individuals </w:t>
      </w:r>
      <w:r w:rsidR="008D4B54">
        <w:t>directly from</w:t>
      </w:r>
      <w:r>
        <w:t xml:space="preserve"> HSCRC</w:t>
      </w:r>
      <w:r w:rsidR="006D21F5">
        <w:t>’s</w:t>
      </w:r>
      <w:r>
        <w:t xml:space="preserve"> hospital data. Likewise, as Medicaid did not reimburse for hospital services</w:t>
      </w:r>
      <w:r w:rsidR="0063706E">
        <w:t xml:space="preserve"> for PAC enrollees</w:t>
      </w:r>
      <w:r>
        <w:t>, Medicaid claims</w:t>
      </w:r>
      <w:r w:rsidR="0063706E">
        <w:t>/encounter</w:t>
      </w:r>
      <w:r>
        <w:t xml:space="preserve"> files do not identify hospital utilization</w:t>
      </w:r>
      <w:r w:rsidR="0063706E">
        <w:t xml:space="preserve"> for PAC enrollees</w:t>
      </w:r>
      <w:r>
        <w:t>.</w:t>
      </w:r>
      <w:r w:rsidR="006D21F5">
        <w:t xml:space="preserve"> Medicaid eligibility file</w:t>
      </w:r>
      <w:r w:rsidR="00A04290">
        <w:t>s</w:t>
      </w:r>
      <w:r w:rsidR="001B5932">
        <w:t xml:space="preserve"> do indicate individuals who</w:t>
      </w:r>
      <w:r w:rsidR="006D21F5">
        <w:t xml:space="preserve"> were enrolled in PAC and the enrollment coverage dates.</w:t>
      </w:r>
    </w:p>
    <w:p w:rsidR="00AC777F" w:rsidRDefault="008D4B54" w:rsidP="005A47B4">
      <w:pPr>
        <w:spacing w:after="120"/>
      </w:pPr>
      <w:r>
        <w:t xml:space="preserve">To bridge these datasets, </w:t>
      </w:r>
      <w:r w:rsidR="005A47B4">
        <w:t xml:space="preserve">CRISP </w:t>
      </w:r>
      <w:r w:rsidR="00AC777F">
        <w:t>used its Master Patient Index</w:t>
      </w:r>
      <w:r>
        <w:t xml:space="preserve"> to </w:t>
      </w:r>
      <w:r w:rsidR="005A47B4">
        <w:t xml:space="preserve">link </w:t>
      </w:r>
      <w:r w:rsidR="008329F3">
        <w:t xml:space="preserve">HSCRC </w:t>
      </w:r>
      <w:r w:rsidR="005A47B4">
        <w:t>hospital data to Medicaid enrollment data</w:t>
      </w:r>
      <w:r>
        <w:t xml:space="preserve"> to</w:t>
      </w:r>
      <w:r w:rsidR="00AC777F">
        <w:t xml:space="preserve"> create an analysis file of PAC</w:t>
      </w:r>
      <w:r w:rsidR="002C16F3">
        <w:t>-</w:t>
      </w:r>
      <w:r>
        <w:t xml:space="preserve">enrolled </w:t>
      </w:r>
      <w:r w:rsidR="008329F3">
        <w:t>individuals</w:t>
      </w:r>
      <w:r>
        <w:t xml:space="preserve"> who obtained hospital care between </w:t>
      </w:r>
      <w:r w:rsidR="008329F3">
        <w:t xml:space="preserve">January 1, </w:t>
      </w:r>
      <w:r w:rsidR="00AC777F">
        <w:t>2012 and August 30, 2013. Figure 1 outlines the steps to create the analysis file.</w:t>
      </w:r>
    </w:p>
    <w:p w:rsidR="00C45336" w:rsidRPr="000E01F0" w:rsidRDefault="009872A5" w:rsidP="000E01F0">
      <w:pPr>
        <w:spacing w:after="120"/>
      </w:pPr>
      <w:r>
        <w:t>The ability to link these data sets is only possible because of CRISP</w:t>
      </w:r>
      <w:r w:rsidR="00AC777F">
        <w:t>’s</w:t>
      </w:r>
      <w:r>
        <w:t xml:space="preserve"> unique Master Patient Index and the partnership with hospitals to collect Administrative and Discharge data d</w:t>
      </w:r>
      <w:r w:rsidR="000E01F0">
        <w:t>irectly from Maryland hospitals.</w:t>
      </w:r>
    </w:p>
    <w:p w:rsidR="00996D7D" w:rsidRPr="00996D7D" w:rsidRDefault="00996D7D" w:rsidP="00996D7D">
      <w:pPr>
        <w:spacing w:line="240" w:lineRule="auto"/>
        <w:jc w:val="center"/>
        <w:rPr>
          <w:b/>
        </w:rPr>
      </w:pPr>
      <w:r w:rsidRPr="00996D7D">
        <w:rPr>
          <w:b/>
        </w:rPr>
        <w:lastRenderedPageBreak/>
        <w:t>Figure 1: Process to Create the Analysis File of PAC Enrollees Who Received Hospital Care</w:t>
      </w:r>
    </w:p>
    <w:p w:rsidR="00996D7D" w:rsidRDefault="00996D7D" w:rsidP="0011519B">
      <w:pPr>
        <w:pStyle w:val="Heading2"/>
      </w:pPr>
      <w:r w:rsidRPr="00996D7D">
        <w:rPr>
          <w:noProof/>
        </w:rPr>
        <w:drawing>
          <wp:inline distT="0" distB="0" distL="0" distR="0">
            <wp:extent cx="5733334" cy="2238095"/>
            <wp:effectExtent l="19050" t="0" r="716"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733334" cy="2238095"/>
                    </a:xfrm>
                    <a:prstGeom prst="rect">
                      <a:avLst/>
                    </a:prstGeom>
                  </pic:spPr>
                </pic:pic>
              </a:graphicData>
            </a:graphic>
          </wp:inline>
        </w:drawing>
      </w:r>
    </w:p>
    <w:p w:rsidR="003432B8" w:rsidRDefault="003432B8" w:rsidP="003432B8">
      <w:pPr>
        <w:pStyle w:val="Heading2"/>
        <w:spacing w:before="0" w:line="240" w:lineRule="auto"/>
      </w:pPr>
    </w:p>
    <w:p w:rsidR="000441ED" w:rsidRPr="000E01F0" w:rsidRDefault="00DB7369" w:rsidP="000E01F0">
      <w:pPr>
        <w:pStyle w:val="Subtitle"/>
        <w:rPr>
          <w:b/>
          <w:sz w:val="22"/>
        </w:rPr>
      </w:pPr>
      <w:r w:rsidRPr="000E01F0">
        <w:rPr>
          <w:b/>
          <w:sz w:val="22"/>
        </w:rPr>
        <w:t>Findings</w:t>
      </w:r>
      <w:r w:rsidR="000E01F0">
        <w:rPr>
          <w:b/>
          <w:sz w:val="22"/>
        </w:rPr>
        <w:t xml:space="preserve"> of the Analysis</w:t>
      </w:r>
    </w:p>
    <w:p w:rsidR="00AD6EF4" w:rsidRPr="000E01F0" w:rsidRDefault="006D21F5" w:rsidP="000E01F0">
      <w:pPr>
        <w:pStyle w:val="Heading5"/>
        <w:rPr>
          <w:rFonts w:asciiTheme="minorHAnsi" w:hAnsiTheme="minorHAnsi"/>
          <w:color w:val="auto"/>
        </w:rPr>
      </w:pPr>
      <w:r w:rsidRPr="000E01F0">
        <w:rPr>
          <w:rFonts w:asciiTheme="minorHAnsi" w:hAnsiTheme="minorHAnsi"/>
          <w:color w:val="auto"/>
        </w:rPr>
        <w:t>Hospitals Provided PAC Enrollees with $</w:t>
      </w:r>
      <w:r w:rsidR="009E24A7" w:rsidRPr="000E01F0">
        <w:rPr>
          <w:rFonts w:asciiTheme="minorHAnsi" w:hAnsiTheme="minorHAnsi"/>
          <w:color w:val="auto"/>
        </w:rPr>
        <w:t xml:space="preserve">127.2 </w:t>
      </w:r>
      <w:r w:rsidRPr="000E01F0">
        <w:rPr>
          <w:rFonts w:asciiTheme="minorHAnsi" w:hAnsiTheme="minorHAnsi"/>
          <w:color w:val="auto"/>
        </w:rPr>
        <w:t xml:space="preserve">Million </w:t>
      </w:r>
      <w:r w:rsidR="003A4B19" w:rsidRPr="000E01F0">
        <w:rPr>
          <w:rFonts w:asciiTheme="minorHAnsi" w:hAnsiTheme="minorHAnsi"/>
          <w:color w:val="auto"/>
        </w:rPr>
        <w:t>in Hospital Inpatient Services</w:t>
      </w:r>
      <w:r w:rsidRPr="000E01F0">
        <w:rPr>
          <w:rFonts w:asciiTheme="minorHAnsi" w:hAnsiTheme="minorHAnsi"/>
          <w:color w:val="auto"/>
        </w:rPr>
        <w:t xml:space="preserve"> </w:t>
      </w:r>
      <w:r w:rsidR="00C45336" w:rsidRPr="000E01F0">
        <w:rPr>
          <w:rFonts w:asciiTheme="minorHAnsi" w:hAnsiTheme="minorHAnsi"/>
          <w:color w:val="auto"/>
        </w:rPr>
        <w:t>in</w:t>
      </w:r>
      <w:r w:rsidR="005D3EC3" w:rsidRPr="000E01F0">
        <w:rPr>
          <w:rFonts w:asciiTheme="minorHAnsi" w:hAnsiTheme="minorHAnsi"/>
          <w:color w:val="auto"/>
        </w:rPr>
        <w:t xml:space="preserve"> </w:t>
      </w:r>
      <w:r w:rsidR="009E24A7" w:rsidRPr="000E01F0">
        <w:rPr>
          <w:rFonts w:asciiTheme="minorHAnsi" w:hAnsiTheme="minorHAnsi"/>
          <w:color w:val="auto"/>
        </w:rPr>
        <w:t>FY 2013</w:t>
      </w:r>
      <w:r w:rsidR="000E01F0">
        <w:rPr>
          <w:rFonts w:asciiTheme="minorHAnsi" w:hAnsiTheme="minorHAnsi"/>
          <w:color w:val="auto"/>
        </w:rPr>
        <w:t>.</w:t>
      </w:r>
    </w:p>
    <w:p w:rsidR="00DC41F7" w:rsidRDefault="00D26984" w:rsidP="005F5507">
      <w:r w:rsidRPr="000E01F0">
        <w:t>Figure 2</w:t>
      </w:r>
      <w:r w:rsidR="00C45336" w:rsidRPr="000E01F0">
        <w:t xml:space="preserve"> </w:t>
      </w:r>
      <w:r w:rsidR="00AC777F" w:rsidRPr="000E01F0">
        <w:t>provide</w:t>
      </w:r>
      <w:r w:rsidR="00933FD6" w:rsidRPr="000E01F0">
        <w:t>s</w:t>
      </w:r>
      <w:r w:rsidR="00477F4A" w:rsidRPr="000E01F0">
        <w:t xml:space="preserve"> </w:t>
      </w:r>
      <w:r w:rsidR="007268F3" w:rsidRPr="000E01F0">
        <w:t xml:space="preserve">the </w:t>
      </w:r>
      <w:r w:rsidRPr="000E01F0">
        <w:t>major findings from</w:t>
      </w:r>
      <w:r w:rsidR="00477F4A" w:rsidRPr="000E01F0">
        <w:t xml:space="preserve"> the analysis file. </w:t>
      </w:r>
      <w:r w:rsidR="007268F3" w:rsidRPr="000E01F0">
        <w:t>Analysis also found that the most frequent primary diagnosis for the PAC population</w:t>
      </w:r>
      <w:r w:rsidR="0063706E" w:rsidRPr="000E01F0">
        <w:t>’s</w:t>
      </w:r>
      <w:r w:rsidR="007268F3" w:rsidRPr="000E01F0">
        <w:t xml:space="preserve"> inpatient stays in </w:t>
      </w:r>
      <w:r w:rsidR="0063706E" w:rsidRPr="000E01F0">
        <w:t>fiscal year (</w:t>
      </w:r>
      <w:r w:rsidR="007268F3" w:rsidRPr="000E01F0">
        <w:t>FY</w:t>
      </w:r>
      <w:r w:rsidR="0063706E" w:rsidRPr="000E01F0">
        <w:t>)</w:t>
      </w:r>
      <w:r w:rsidR="007268F3" w:rsidRPr="000E01F0">
        <w:t xml:space="preserve"> 2013</w:t>
      </w:r>
      <w:r w:rsidR="007268F3" w:rsidRPr="007268F3">
        <w:t xml:space="preserve"> were Psychiatric (23%), Substance Dependency (16%), Pulmonary (8%), GI (7%), Cardiology (6%), and Orthopedic (5%).</w:t>
      </w:r>
      <w:r w:rsidR="007268F3">
        <w:t xml:space="preserve"> </w:t>
      </w:r>
    </w:p>
    <w:p w:rsidR="00AC777F" w:rsidRPr="00996D7D" w:rsidRDefault="00AC777F" w:rsidP="00AC777F">
      <w:pPr>
        <w:spacing w:before="120" w:after="120" w:line="240" w:lineRule="auto"/>
        <w:jc w:val="center"/>
        <w:rPr>
          <w:b/>
        </w:rPr>
      </w:pPr>
      <w:r>
        <w:rPr>
          <w:b/>
        </w:rPr>
        <w:t>Figure 2</w:t>
      </w:r>
      <w:r w:rsidRPr="00996D7D">
        <w:rPr>
          <w:b/>
        </w:rPr>
        <w:t>: PAC Enrollees Who Received Hospital Care</w:t>
      </w:r>
      <w:r>
        <w:rPr>
          <w:b/>
        </w:rPr>
        <w:t xml:space="preserve">, </w:t>
      </w:r>
      <w:r w:rsidR="00933FD6">
        <w:rPr>
          <w:b/>
        </w:rPr>
        <w:t>F</w:t>
      </w:r>
      <w:r w:rsidR="0063706E">
        <w:rPr>
          <w:b/>
        </w:rPr>
        <w:t>Y</w:t>
      </w:r>
      <w:r>
        <w:rPr>
          <w:b/>
        </w:rPr>
        <w:t xml:space="preserve"> 201</w:t>
      </w:r>
      <w:r w:rsidR="00933FD6">
        <w:rPr>
          <w:b/>
        </w:rPr>
        <w:t>3</w:t>
      </w:r>
    </w:p>
    <w:tbl>
      <w:tblPr>
        <w:tblStyle w:val="LightList-Accent11"/>
        <w:tblW w:w="0" w:type="auto"/>
        <w:jc w:val="center"/>
        <w:tblLook w:val="04A0"/>
      </w:tblPr>
      <w:tblGrid>
        <w:gridCol w:w="2062"/>
        <w:gridCol w:w="2057"/>
      </w:tblGrid>
      <w:tr w:rsidR="001F7FA2" w:rsidTr="001F7FA2">
        <w:trPr>
          <w:cnfStyle w:val="100000000000"/>
          <w:trHeight w:val="135"/>
          <w:jc w:val="center"/>
        </w:trPr>
        <w:tc>
          <w:tcPr>
            <w:cnfStyle w:val="001000000000"/>
            <w:tcW w:w="2062" w:type="dxa"/>
          </w:tcPr>
          <w:p w:rsidR="001F7FA2" w:rsidRDefault="001F7FA2" w:rsidP="0063499F"/>
        </w:tc>
        <w:tc>
          <w:tcPr>
            <w:tcW w:w="2057" w:type="dxa"/>
          </w:tcPr>
          <w:p w:rsidR="001F7FA2" w:rsidRPr="00772244" w:rsidRDefault="001F7FA2" w:rsidP="00933FD6">
            <w:pPr>
              <w:jc w:val="center"/>
              <w:cnfStyle w:val="100000000000"/>
              <w:rPr>
                <w:bCs w:val="0"/>
              </w:rPr>
            </w:pPr>
            <w:r>
              <w:t>Total</w:t>
            </w:r>
          </w:p>
        </w:tc>
      </w:tr>
      <w:tr w:rsidR="001F7FA2" w:rsidTr="001F7FA2">
        <w:trPr>
          <w:cnfStyle w:val="000000100000"/>
          <w:trHeight w:val="135"/>
          <w:jc w:val="center"/>
        </w:trPr>
        <w:tc>
          <w:tcPr>
            <w:cnfStyle w:val="001000000000"/>
            <w:tcW w:w="2062" w:type="dxa"/>
          </w:tcPr>
          <w:p w:rsidR="001F7FA2" w:rsidRDefault="001F7FA2" w:rsidP="0063499F"/>
        </w:tc>
        <w:tc>
          <w:tcPr>
            <w:tcW w:w="2057" w:type="dxa"/>
          </w:tcPr>
          <w:p w:rsidR="001F7FA2" w:rsidRDefault="001F7FA2" w:rsidP="00933FD6">
            <w:pPr>
              <w:jc w:val="center"/>
              <w:cnfStyle w:val="000000100000"/>
            </w:pPr>
          </w:p>
        </w:tc>
      </w:tr>
      <w:tr w:rsidR="001F7FA2" w:rsidTr="001F7FA2">
        <w:trPr>
          <w:jc w:val="center"/>
        </w:trPr>
        <w:tc>
          <w:tcPr>
            <w:cnfStyle w:val="001000000000"/>
            <w:tcW w:w="4119" w:type="dxa"/>
            <w:gridSpan w:val="2"/>
          </w:tcPr>
          <w:p w:rsidR="001F7FA2" w:rsidRPr="00467AE1" w:rsidRDefault="001F7FA2" w:rsidP="0063499F">
            <w:pPr>
              <w:rPr>
                <w:i/>
              </w:rPr>
            </w:pPr>
            <w:r w:rsidRPr="00467AE1">
              <w:rPr>
                <w:i/>
              </w:rPr>
              <w:t>Hospital Inpatient</w:t>
            </w:r>
          </w:p>
        </w:tc>
      </w:tr>
      <w:tr w:rsidR="001F7FA2" w:rsidTr="001F7FA2">
        <w:trPr>
          <w:cnfStyle w:val="000000100000"/>
          <w:jc w:val="center"/>
        </w:trPr>
        <w:tc>
          <w:tcPr>
            <w:cnfStyle w:val="001000000000"/>
            <w:tcW w:w="2062" w:type="dxa"/>
          </w:tcPr>
          <w:p w:rsidR="001F7FA2" w:rsidRPr="00477F4A" w:rsidRDefault="001F7FA2" w:rsidP="00274187">
            <w:pPr>
              <w:ind w:left="162"/>
              <w:rPr>
                <w:b w:val="0"/>
              </w:rPr>
            </w:pPr>
            <w:r>
              <w:t>Inpatient Stays</w:t>
            </w:r>
          </w:p>
        </w:tc>
        <w:tc>
          <w:tcPr>
            <w:tcW w:w="2057" w:type="dxa"/>
            <w:vAlign w:val="center"/>
          </w:tcPr>
          <w:p w:rsidR="001F7FA2" w:rsidRDefault="001F7FA2" w:rsidP="007268F3">
            <w:pPr>
              <w:jc w:val="center"/>
              <w:cnfStyle w:val="000000100000"/>
            </w:pPr>
            <w:r>
              <w:t>14,008</w:t>
            </w:r>
          </w:p>
        </w:tc>
      </w:tr>
      <w:tr w:rsidR="001F7FA2" w:rsidTr="001F7FA2">
        <w:trPr>
          <w:jc w:val="center"/>
        </w:trPr>
        <w:tc>
          <w:tcPr>
            <w:cnfStyle w:val="001000000000"/>
            <w:tcW w:w="2062" w:type="dxa"/>
          </w:tcPr>
          <w:p w:rsidR="001F7FA2" w:rsidRPr="00477F4A" w:rsidRDefault="001F7FA2" w:rsidP="00F10B92">
            <w:pPr>
              <w:ind w:left="162"/>
              <w:rPr>
                <w:b w:val="0"/>
              </w:rPr>
            </w:pPr>
            <w:r>
              <w:t xml:space="preserve">Unique Patients </w:t>
            </w:r>
          </w:p>
        </w:tc>
        <w:tc>
          <w:tcPr>
            <w:tcW w:w="2057" w:type="dxa"/>
            <w:vAlign w:val="center"/>
          </w:tcPr>
          <w:p w:rsidR="001F7FA2" w:rsidRPr="00772244" w:rsidRDefault="001F7FA2" w:rsidP="007268F3">
            <w:pPr>
              <w:jc w:val="center"/>
              <w:cnfStyle w:val="000000000000"/>
            </w:pPr>
            <w:r w:rsidRPr="00772244">
              <w:t>1</w:t>
            </w:r>
            <w:r>
              <w:t>1</w:t>
            </w:r>
            <w:r w:rsidRPr="00772244">
              <w:t>,</w:t>
            </w:r>
            <w:r>
              <w:t>784</w:t>
            </w:r>
          </w:p>
        </w:tc>
      </w:tr>
      <w:tr w:rsidR="001F7FA2" w:rsidTr="001F7FA2">
        <w:trPr>
          <w:cnfStyle w:val="000000100000"/>
          <w:jc w:val="center"/>
        </w:trPr>
        <w:tc>
          <w:tcPr>
            <w:cnfStyle w:val="001000000000"/>
            <w:tcW w:w="2062" w:type="dxa"/>
          </w:tcPr>
          <w:p w:rsidR="001F7FA2" w:rsidRPr="00477F4A" w:rsidRDefault="001F7FA2" w:rsidP="00274187">
            <w:pPr>
              <w:ind w:left="162"/>
              <w:rPr>
                <w:b w:val="0"/>
              </w:rPr>
            </w:pPr>
            <w:r>
              <w:t>Charges for Inpatient Stays</w:t>
            </w:r>
          </w:p>
        </w:tc>
        <w:tc>
          <w:tcPr>
            <w:tcW w:w="2057" w:type="dxa"/>
            <w:vAlign w:val="center"/>
          </w:tcPr>
          <w:p w:rsidR="001F7FA2" w:rsidRDefault="001F7FA2" w:rsidP="007268F3">
            <w:pPr>
              <w:jc w:val="center"/>
              <w:cnfStyle w:val="000000100000"/>
            </w:pPr>
            <w:r>
              <w:t>$127.2 million</w:t>
            </w:r>
          </w:p>
        </w:tc>
      </w:tr>
      <w:tr w:rsidR="001F7FA2" w:rsidTr="001F7FA2">
        <w:trPr>
          <w:jc w:val="center"/>
        </w:trPr>
        <w:tc>
          <w:tcPr>
            <w:cnfStyle w:val="001000000000"/>
            <w:tcW w:w="4119" w:type="dxa"/>
            <w:gridSpan w:val="2"/>
            <w:vAlign w:val="center"/>
          </w:tcPr>
          <w:p w:rsidR="001F7FA2" w:rsidRPr="00467AE1" w:rsidRDefault="001F7FA2" w:rsidP="001F7FA2">
            <w:pPr>
              <w:rPr>
                <w:i/>
              </w:rPr>
            </w:pPr>
            <w:bookmarkStart w:id="0" w:name="_GoBack" w:colFirst="0" w:colLast="0"/>
            <w:r w:rsidRPr="00467AE1">
              <w:rPr>
                <w:i/>
              </w:rPr>
              <w:t xml:space="preserve">Hospital </w:t>
            </w:r>
            <w:r>
              <w:rPr>
                <w:i/>
              </w:rPr>
              <w:t>Out</w:t>
            </w:r>
            <w:r w:rsidRPr="00467AE1">
              <w:rPr>
                <w:i/>
              </w:rPr>
              <w:t>patient</w:t>
            </w:r>
          </w:p>
        </w:tc>
      </w:tr>
      <w:bookmarkEnd w:id="0"/>
      <w:tr w:rsidR="001F7FA2" w:rsidTr="001F7FA2">
        <w:trPr>
          <w:cnfStyle w:val="000000100000"/>
          <w:jc w:val="center"/>
        </w:trPr>
        <w:tc>
          <w:tcPr>
            <w:cnfStyle w:val="001000000000"/>
            <w:tcW w:w="2062" w:type="dxa"/>
          </w:tcPr>
          <w:p w:rsidR="001F7FA2" w:rsidRPr="00477F4A" w:rsidRDefault="001F7FA2" w:rsidP="00274187">
            <w:pPr>
              <w:ind w:left="162"/>
              <w:rPr>
                <w:b w:val="0"/>
              </w:rPr>
            </w:pPr>
            <w:r>
              <w:t>Outpatient Visits</w:t>
            </w:r>
          </w:p>
        </w:tc>
        <w:tc>
          <w:tcPr>
            <w:tcW w:w="2057" w:type="dxa"/>
            <w:vAlign w:val="center"/>
          </w:tcPr>
          <w:p w:rsidR="001F7FA2" w:rsidRDefault="001F7FA2" w:rsidP="007268F3">
            <w:pPr>
              <w:jc w:val="center"/>
              <w:cnfStyle w:val="000000100000"/>
            </w:pPr>
            <w:r>
              <w:t>42,839</w:t>
            </w:r>
          </w:p>
        </w:tc>
      </w:tr>
      <w:tr w:rsidR="001F7FA2" w:rsidTr="001F7FA2">
        <w:trPr>
          <w:jc w:val="center"/>
        </w:trPr>
        <w:tc>
          <w:tcPr>
            <w:cnfStyle w:val="001000000000"/>
            <w:tcW w:w="2062" w:type="dxa"/>
          </w:tcPr>
          <w:p w:rsidR="001F7FA2" w:rsidRDefault="001F7FA2" w:rsidP="00F10B92">
            <w:pPr>
              <w:ind w:left="162"/>
              <w:rPr>
                <w:b w:val="0"/>
              </w:rPr>
            </w:pPr>
            <w:r>
              <w:t>Unique Patients</w:t>
            </w:r>
          </w:p>
        </w:tc>
        <w:tc>
          <w:tcPr>
            <w:tcW w:w="2057" w:type="dxa"/>
            <w:vAlign w:val="center"/>
          </w:tcPr>
          <w:p w:rsidR="001F7FA2" w:rsidRDefault="001F7FA2" w:rsidP="007268F3">
            <w:pPr>
              <w:jc w:val="center"/>
              <w:cnfStyle w:val="000000000000"/>
            </w:pPr>
            <w:r>
              <w:t>19,110</w:t>
            </w:r>
          </w:p>
        </w:tc>
      </w:tr>
      <w:tr w:rsidR="001F7FA2" w:rsidTr="001F7FA2">
        <w:trPr>
          <w:cnfStyle w:val="000000100000"/>
          <w:jc w:val="center"/>
        </w:trPr>
        <w:tc>
          <w:tcPr>
            <w:cnfStyle w:val="001000000000"/>
            <w:tcW w:w="2062" w:type="dxa"/>
          </w:tcPr>
          <w:p w:rsidR="001F7FA2" w:rsidRDefault="001F7FA2" w:rsidP="00274187">
            <w:pPr>
              <w:ind w:left="162"/>
              <w:rPr>
                <w:b w:val="0"/>
              </w:rPr>
            </w:pPr>
            <w:r>
              <w:t>Charges for Outpatient Visits</w:t>
            </w:r>
          </w:p>
        </w:tc>
        <w:tc>
          <w:tcPr>
            <w:tcW w:w="2057" w:type="dxa"/>
            <w:vAlign w:val="center"/>
          </w:tcPr>
          <w:p w:rsidR="001F7FA2" w:rsidRDefault="001F7FA2" w:rsidP="007268F3">
            <w:pPr>
              <w:jc w:val="center"/>
              <w:cnfStyle w:val="000000100000"/>
            </w:pPr>
            <w:r>
              <w:t>$37.2 million</w:t>
            </w:r>
          </w:p>
        </w:tc>
      </w:tr>
    </w:tbl>
    <w:p w:rsidR="005412DD" w:rsidRDefault="005412DD" w:rsidP="009E24A7">
      <w:pPr>
        <w:spacing w:line="240" w:lineRule="auto"/>
        <w:ind w:right="900"/>
        <w:rPr>
          <w:sz w:val="18"/>
          <w:szCs w:val="18"/>
        </w:rPr>
      </w:pPr>
    </w:p>
    <w:p w:rsidR="00EC1AEF" w:rsidRDefault="00EC1AEF" w:rsidP="009E24A7">
      <w:pPr>
        <w:spacing w:line="240" w:lineRule="auto"/>
        <w:ind w:right="900"/>
        <w:rPr>
          <w:sz w:val="18"/>
          <w:szCs w:val="18"/>
        </w:rPr>
      </w:pPr>
      <w:r>
        <w:rPr>
          <w:sz w:val="18"/>
          <w:szCs w:val="18"/>
        </w:rPr>
        <w:t>Source: CRISP analysis of HSCRC case mix data (</w:t>
      </w:r>
      <w:r w:rsidR="009E24A7">
        <w:rPr>
          <w:sz w:val="18"/>
          <w:szCs w:val="18"/>
        </w:rPr>
        <w:t>7/1/2012-6/30/2013</w:t>
      </w:r>
      <w:r>
        <w:rPr>
          <w:sz w:val="18"/>
          <w:szCs w:val="18"/>
        </w:rPr>
        <w:t>) and Maryland Medicaid MMIS enrollment files (2011-2013) provided by the Hilltop Institute. March 2014.</w:t>
      </w:r>
    </w:p>
    <w:p w:rsidR="00EC1AEF" w:rsidRPr="00467AE1" w:rsidRDefault="00EC1AEF" w:rsidP="009E24A7">
      <w:pPr>
        <w:spacing w:line="240" w:lineRule="auto"/>
        <w:ind w:right="900"/>
        <w:rPr>
          <w:sz w:val="18"/>
          <w:szCs w:val="18"/>
        </w:rPr>
      </w:pPr>
      <w:r w:rsidRPr="00467AE1">
        <w:rPr>
          <w:sz w:val="18"/>
          <w:szCs w:val="18"/>
        </w:rPr>
        <w:t>Note: As PAC reimbursed for emergency department services, the analysis removed emergency department visits from the other outpatient services</w:t>
      </w:r>
      <w:r>
        <w:rPr>
          <w:sz w:val="18"/>
          <w:szCs w:val="18"/>
        </w:rPr>
        <w:t xml:space="preserve"> and totals provided above</w:t>
      </w:r>
      <w:r w:rsidRPr="00467AE1">
        <w:rPr>
          <w:sz w:val="18"/>
          <w:szCs w:val="18"/>
        </w:rPr>
        <w:t>.</w:t>
      </w:r>
    </w:p>
    <w:p w:rsidR="00772244" w:rsidRDefault="00772244" w:rsidP="00772244"/>
    <w:p w:rsidR="00772244" w:rsidRDefault="00772244" w:rsidP="00772244">
      <w:r>
        <w:t xml:space="preserve">To understand the illness burden among the PAC population, CRISP combined enrollment data and hospital data to develop </w:t>
      </w:r>
      <w:r w:rsidR="00B47AFF">
        <w:t xml:space="preserve">the hospital use </w:t>
      </w:r>
      <w:r>
        <w:t>rates</w:t>
      </w:r>
      <w:r w:rsidR="00B47AFF">
        <w:t xml:space="preserve"> displ</w:t>
      </w:r>
      <w:r w:rsidR="007268F3">
        <w:t xml:space="preserve">ayed in Figure </w:t>
      </w:r>
      <w:r w:rsidR="00F966E8">
        <w:t>3</w:t>
      </w:r>
      <w:r>
        <w:t xml:space="preserve">. </w:t>
      </w:r>
      <w:r w:rsidR="00B47AFF">
        <w:t>Based on PAC annual enrollment</w:t>
      </w:r>
      <w:r w:rsidR="00F50A48">
        <w:t xml:space="preserve"> counts</w:t>
      </w:r>
      <w:r w:rsidR="00B47AFF">
        <w:t>, the PAC population</w:t>
      </w:r>
      <w:r w:rsidR="00F50A48">
        <w:t>--</w:t>
      </w:r>
      <w:r w:rsidR="005120B3">
        <w:t>despite lack of inpatient insurance coverage</w:t>
      </w:r>
      <w:r w:rsidR="00F50A48">
        <w:t>--</w:t>
      </w:r>
      <w:r w:rsidR="005120B3">
        <w:t>had</w:t>
      </w:r>
      <w:r w:rsidR="00B47AFF">
        <w:t xml:space="preserve"> 144</w:t>
      </w:r>
      <w:r w:rsidR="005120B3">
        <w:t xml:space="preserve"> hospital inpatient stays </w:t>
      </w:r>
      <w:r w:rsidR="00B47AFF">
        <w:t>per 1,000 enrollees.</w:t>
      </w:r>
      <w:r w:rsidR="005120B3">
        <w:t xml:space="preserve"> </w:t>
      </w:r>
      <w:r w:rsidR="00F50A48">
        <w:t xml:space="preserve">In comparison, </w:t>
      </w:r>
      <w:r w:rsidR="005120B3">
        <w:t xml:space="preserve">Maryland’s population in 2011, the most recent year of </w:t>
      </w:r>
      <w:r w:rsidR="005120B3">
        <w:lastRenderedPageBreak/>
        <w:t xml:space="preserve">available data, had 117 hospital inpatient stays per 1,000 residents. </w:t>
      </w:r>
      <w:r w:rsidR="00B47AFF">
        <w:t xml:space="preserve">During 2012, Maryland did provide </w:t>
      </w:r>
      <w:r w:rsidR="00F50A48">
        <w:t>hospital e</w:t>
      </w:r>
      <w:r w:rsidR="00B47AFF">
        <w:t xml:space="preserve">mergency </w:t>
      </w:r>
      <w:r w:rsidR="00F50A48">
        <w:t>d</w:t>
      </w:r>
      <w:r w:rsidR="00B47AFF">
        <w:t>epartment</w:t>
      </w:r>
      <w:r w:rsidR="0063706E">
        <w:t xml:space="preserve"> (ED)</w:t>
      </w:r>
      <w:r w:rsidR="00B47AFF">
        <w:t xml:space="preserve"> coverage for PAC enrollees. </w:t>
      </w:r>
      <w:r w:rsidR="00BC1143">
        <w:t xml:space="preserve">CRISP analysis found that PAC enrollees used the hospital </w:t>
      </w:r>
      <w:r w:rsidR="0063706E">
        <w:t>ED</w:t>
      </w:r>
      <w:r w:rsidR="00BC1143">
        <w:t xml:space="preserve"> 92,083 times during calendar year </w:t>
      </w:r>
      <w:r w:rsidR="0063706E">
        <w:t xml:space="preserve">(CY) </w:t>
      </w:r>
      <w:r w:rsidR="00BC1143">
        <w:t xml:space="preserve">2012, for a use rate of 1,029 per 1,000 enrollees. </w:t>
      </w:r>
      <w:r w:rsidR="005120B3">
        <w:t xml:space="preserve">The </w:t>
      </w:r>
      <w:r w:rsidR="0063706E">
        <w:t>ED</w:t>
      </w:r>
      <w:r w:rsidR="00BC1143">
        <w:t xml:space="preserve"> use rate for Maryland’s general population </w:t>
      </w:r>
      <w:r w:rsidR="005120B3">
        <w:t xml:space="preserve">is </w:t>
      </w:r>
      <w:r w:rsidR="00BC1143">
        <w:t>423 per 1,000 residents</w:t>
      </w:r>
      <w:r w:rsidR="005120B3">
        <w:t xml:space="preserve"> in 2011</w:t>
      </w:r>
      <w:r w:rsidR="00BC1143">
        <w:t>.</w:t>
      </w:r>
      <w:r w:rsidR="00BC1143">
        <w:rPr>
          <w:rStyle w:val="FootnoteReference"/>
        </w:rPr>
        <w:footnoteReference w:id="1"/>
      </w:r>
      <w:r w:rsidR="005120B3">
        <w:t xml:space="preserve"> While differences in time periods and data sources do not provide </w:t>
      </w:r>
      <w:r w:rsidR="00253CB1">
        <w:t>direct comparisons</w:t>
      </w:r>
      <w:r w:rsidR="005120B3">
        <w:t xml:space="preserve">, they do allow us to conclude that PAC enrollees tend to use hospital services at a disproportionally high rate compared to </w:t>
      </w:r>
      <w:r w:rsidR="00253CB1">
        <w:t>Maryland’s general population.</w:t>
      </w:r>
      <w:r w:rsidR="00274187">
        <w:t xml:space="preserve"> </w:t>
      </w:r>
    </w:p>
    <w:p w:rsidR="00B47AFF" w:rsidRPr="00996D7D" w:rsidRDefault="00B47AFF" w:rsidP="00B47AFF">
      <w:pPr>
        <w:spacing w:before="120" w:after="120" w:line="240" w:lineRule="auto"/>
        <w:jc w:val="center"/>
        <w:rPr>
          <w:b/>
        </w:rPr>
      </w:pPr>
      <w:r>
        <w:rPr>
          <w:b/>
        </w:rPr>
        <w:t xml:space="preserve">Figure </w:t>
      </w:r>
      <w:r w:rsidR="00C45336">
        <w:rPr>
          <w:b/>
        </w:rPr>
        <w:t>3</w:t>
      </w:r>
      <w:r w:rsidRPr="00996D7D">
        <w:rPr>
          <w:b/>
        </w:rPr>
        <w:t xml:space="preserve">: PAC </w:t>
      </w:r>
      <w:r w:rsidR="00253CB1">
        <w:rPr>
          <w:b/>
        </w:rPr>
        <w:t xml:space="preserve">Enrollees and Maryland Resident </w:t>
      </w:r>
      <w:r w:rsidRPr="00996D7D">
        <w:rPr>
          <w:b/>
        </w:rPr>
        <w:t xml:space="preserve">Hospital </w:t>
      </w:r>
      <w:r>
        <w:rPr>
          <w:b/>
        </w:rPr>
        <w:t>Use Rates, C</w:t>
      </w:r>
      <w:r w:rsidR="0063706E">
        <w:rPr>
          <w:b/>
        </w:rPr>
        <w:t>Y</w:t>
      </w:r>
      <w:r>
        <w:rPr>
          <w:b/>
        </w:rPr>
        <w:t xml:space="preserve"> 201</w:t>
      </w:r>
      <w:r w:rsidR="00253CB1">
        <w:rPr>
          <w:b/>
        </w:rPr>
        <w:t>2</w:t>
      </w:r>
    </w:p>
    <w:tbl>
      <w:tblPr>
        <w:tblStyle w:val="LightList-Accent11"/>
        <w:tblW w:w="0" w:type="auto"/>
        <w:tblLook w:val="04A0"/>
      </w:tblPr>
      <w:tblGrid>
        <w:gridCol w:w="4068"/>
        <w:gridCol w:w="2754"/>
        <w:gridCol w:w="2754"/>
      </w:tblGrid>
      <w:tr w:rsidR="00BC1143" w:rsidTr="00BC1143">
        <w:trPr>
          <w:cnfStyle w:val="100000000000"/>
          <w:trHeight w:val="270"/>
        </w:trPr>
        <w:tc>
          <w:tcPr>
            <w:cnfStyle w:val="001000000000"/>
            <w:tcW w:w="4068" w:type="dxa"/>
            <w:vMerge w:val="restart"/>
          </w:tcPr>
          <w:p w:rsidR="00BC1143" w:rsidRDefault="00BC1143" w:rsidP="0063499F"/>
        </w:tc>
        <w:tc>
          <w:tcPr>
            <w:tcW w:w="5508" w:type="dxa"/>
            <w:gridSpan w:val="2"/>
            <w:tcBorders>
              <w:top w:val="single" w:sz="8" w:space="0" w:color="4F81BD" w:themeColor="accent1"/>
              <w:bottom w:val="single" w:sz="8" w:space="0" w:color="FFFFFF" w:themeColor="background1"/>
            </w:tcBorders>
          </w:tcPr>
          <w:p w:rsidR="00BC1143" w:rsidRPr="00863AFC" w:rsidRDefault="00BC1143" w:rsidP="00B47AFF">
            <w:pPr>
              <w:jc w:val="center"/>
              <w:cnfStyle w:val="100000000000"/>
            </w:pPr>
            <w:r>
              <w:t>Use Rates</w:t>
            </w:r>
          </w:p>
        </w:tc>
      </w:tr>
      <w:tr w:rsidR="00BC1143" w:rsidTr="00BC1143">
        <w:trPr>
          <w:cnfStyle w:val="000000100000"/>
          <w:trHeight w:val="270"/>
        </w:trPr>
        <w:tc>
          <w:tcPr>
            <w:cnfStyle w:val="001000000000"/>
            <w:tcW w:w="4068" w:type="dxa"/>
            <w:vMerge/>
            <w:shd w:val="clear" w:color="auto" w:fill="4F81BD" w:themeFill="accent1"/>
          </w:tcPr>
          <w:p w:rsidR="00BC1143" w:rsidRDefault="00BC1143" w:rsidP="0063499F"/>
        </w:tc>
        <w:tc>
          <w:tcPr>
            <w:tcW w:w="2754" w:type="dxa"/>
            <w:tcBorders>
              <w:top w:val="single" w:sz="8" w:space="0" w:color="FFFFFF" w:themeColor="background1"/>
            </w:tcBorders>
            <w:shd w:val="clear" w:color="auto" w:fill="4F81BD" w:themeFill="accent1"/>
          </w:tcPr>
          <w:p w:rsidR="00BC1143" w:rsidRPr="00BC1143" w:rsidRDefault="00BC1143" w:rsidP="00BC1143">
            <w:pPr>
              <w:jc w:val="center"/>
              <w:cnfStyle w:val="000000100000"/>
              <w:rPr>
                <w:b/>
                <w:color w:val="FFFFFF" w:themeColor="background1"/>
              </w:rPr>
            </w:pPr>
            <w:r w:rsidRPr="00BC1143">
              <w:rPr>
                <w:b/>
                <w:color w:val="FFFFFF" w:themeColor="background1"/>
              </w:rPr>
              <w:t>PAC</w:t>
            </w:r>
            <w:r>
              <w:rPr>
                <w:b/>
                <w:color w:val="FFFFFF" w:themeColor="background1"/>
              </w:rPr>
              <w:t xml:space="preserve"> C</w:t>
            </w:r>
            <w:r w:rsidR="002C16F3">
              <w:rPr>
                <w:b/>
                <w:color w:val="FFFFFF" w:themeColor="background1"/>
              </w:rPr>
              <w:t>Y</w:t>
            </w:r>
            <w:r>
              <w:rPr>
                <w:b/>
                <w:color w:val="FFFFFF" w:themeColor="background1"/>
              </w:rPr>
              <w:t xml:space="preserve"> 2012</w:t>
            </w:r>
          </w:p>
        </w:tc>
        <w:tc>
          <w:tcPr>
            <w:tcW w:w="2754" w:type="dxa"/>
            <w:tcBorders>
              <w:top w:val="single" w:sz="8" w:space="0" w:color="FFFFFF" w:themeColor="background1"/>
            </w:tcBorders>
            <w:shd w:val="clear" w:color="auto" w:fill="4F81BD" w:themeFill="accent1"/>
          </w:tcPr>
          <w:p w:rsidR="00BC1143" w:rsidRPr="00BC1143" w:rsidRDefault="00BC1143" w:rsidP="00BC1143">
            <w:pPr>
              <w:jc w:val="center"/>
              <w:cnfStyle w:val="000000100000"/>
              <w:rPr>
                <w:b/>
                <w:color w:val="FFFFFF" w:themeColor="background1"/>
              </w:rPr>
            </w:pPr>
            <w:r w:rsidRPr="00BC1143">
              <w:rPr>
                <w:b/>
                <w:color w:val="FFFFFF" w:themeColor="background1"/>
              </w:rPr>
              <w:t>Maryland Population</w:t>
            </w:r>
            <w:r>
              <w:rPr>
                <w:b/>
                <w:color w:val="FFFFFF" w:themeColor="background1"/>
              </w:rPr>
              <w:t xml:space="preserve"> C</w:t>
            </w:r>
            <w:r w:rsidR="002C16F3">
              <w:rPr>
                <w:b/>
                <w:color w:val="FFFFFF" w:themeColor="background1"/>
              </w:rPr>
              <w:t>Y</w:t>
            </w:r>
            <w:r>
              <w:rPr>
                <w:b/>
                <w:color w:val="FFFFFF" w:themeColor="background1"/>
              </w:rPr>
              <w:t xml:space="preserve"> 2011</w:t>
            </w:r>
          </w:p>
        </w:tc>
      </w:tr>
      <w:tr w:rsidR="00B47AFF" w:rsidTr="0063499F">
        <w:tc>
          <w:tcPr>
            <w:cnfStyle w:val="001000000000"/>
            <w:tcW w:w="4068" w:type="dxa"/>
          </w:tcPr>
          <w:p w:rsidR="00B47AFF" w:rsidRPr="00477F4A" w:rsidRDefault="00B47AFF" w:rsidP="00B47AFF">
            <w:pPr>
              <w:rPr>
                <w:b w:val="0"/>
              </w:rPr>
            </w:pPr>
            <w:r>
              <w:t>Average PAC Enrollment</w:t>
            </w:r>
          </w:p>
        </w:tc>
        <w:tc>
          <w:tcPr>
            <w:tcW w:w="2754" w:type="dxa"/>
          </w:tcPr>
          <w:p w:rsidR="00B47AFF" w:rsidRDefault="00B47AFF" w:rsidP="0063499F">
            <w:pPr>
              <w:jc w:val="center"/>
              <w:cnfStyle w:val="000000000000"/>
            </w:pPr>
            <w:r>
              <w:t>89,605</w:t>
            </w:r>
          </w:p>
        </w:tc>
        <w:tc>
          <w:tcPr>
            <w:tcW w:w="2754" w:type="dxa"/>
          </w:tcPr>
          <w:p w:rsidR="00B47AFF" w:rsidRDefault="00BC1143" w:rsidP="0063499F">
            <w:pPr>
              <w:jc w:val="center"/>
              <w:cnfStyle w:val="000000000000"/>
            </w:pPr>
            <w:r>
              <w:t>--</w:t>
            </w:r>
          </w:p>
        </w:tc>
      </w:tr>
      <w:tr w:rsidR="00B47AFF" w:rsidTr="0063499F">
        <w:trPr>
          <w:cnfStyle w:val="000000100000"/>
        </w:trPr>
        <w:tc>
          <w:tcPr>
            <w:cnfStyle w:val="001000000000"/>
            <w:tcW w:w="4068" w:type="dxa"/>
          </w:tcPr>
          <w:p w:rsidR="00B47AFF" w:rsidRDefault="00B47AFF" w:rsidP="00B47AFF">
            <w:pPr>
              <w:rPr>
                <w:b w:val="0"/>
              </w:rPr>
            </w:pPr>
            <w:r>
              <w:t>Hospital Inpatient Stays Per 1,000</w:t>
            </w:r>
            <w:r w:rsidR="002C16F3">
              <w:t xml:space="preserve"> Individuals</w:t>
            </w:r>
          </w:p>
        </w:tc>
        <w:tc>
          <w:tcPr>
            <w:tcW w:w="2754" w:type="dxa"/>
          </w:tcPr>
          <w:p w:rsidR="00B47AFF" w:rsidRDefault="00B47AFF" w:rsidP="0063499F">
            <w:pPr>
              <w:jc w:val="center"/>
              <w:cnfStyle w:val="000000100000"/>
            </w:pPr>
            <w:r>
              <w:t>144</w:t>
            </w:r>
          </w:p>
        </w:tc>
        <w:tc>
          <w:tcPr>
            <w:tcW w:w="2754" w:type="dxa"/>
          </w:tcPr>
          <w:p w:rsidR="00B47AFF" w:rsidRDefault="00BC1143" w:rsidP="0063499F">
            <w:pPr>
              <w:jc w:val="center"/>
              <w:cnfStyle w:val="000000100000"/>
            </w:pPr>
            <w:r>
              <w:t>117</w:t>
            </w:r>
          </w:p>
        </w:tc>
      </w:tr>
      <w:tr w:rsidR="00B47AFF" w:rsidTr="0063499F">
        <w:tc>
          <w:tcPr>
            <w:cnfStyle w:val="001000000000"/>
            <w:tcW w:w="4068" w:type="dxa"/>
          </w:tcPr>
          <w:p w:rsidR="00B47AFF" w:rsidRDefault="00B47AFF" w:rsidP="00B47AFF">
            <w:pPr>
              <w:rPr>
                <w:b w:val="0"/>
              </w:rPr>
            </w:pPr>
            <w:r>
              <w:t>E</w:t>
            </w:r>
            <w:r w:rsidR="0063706E">
              <w:t>D</w:t>
            </w:r>
            <w:r>
              <w:t xml:space="preserve"> Visits Per 1,000</w:t>
            </w:r>
            <w:r w:rsidR="002C16F3">
              <w:t xml:space="preserve"> Individuals</w:t>
            </w:r>
          </w:p>
        </w:tc>
        <w:tc>
          <w:tcPr>
            <w:tcW w:w="2754" w:type="dxa"/>
          </w:tcPr>
          <w:p w:rsidR="00B47AFF" w:rsidRDefault="00B47AFF" w:rsidP="0063499F">
            <w:pPr>
              <w:jc w:val="center"/>
              <w:cnfStyle w:val="000000000000"/>
            </w:pPr>
            <w:r>
              <w:t>1,029</w:t>
            </w:r>
          </w:p>
        </w:tc>
        <w:tc>
          <w:tcPr>
            <w:tcW w:w="2754" w:type="dxa"/>
          </w:tcPr>
          <w:p w:rsidR="00B47AFF" w:rsidRDefault="00BC1143" w:rsidP="0063499F">
            <w:pPr>
              <w:jc w:val="center"/>
              <w:cnfStyle w:val="000000000000"/>
            </w:pPr>
            <w:r>
              <w:t>423</w:t>
            </w:r>
          </w:p>
        </w:tc>
      </w:tr>
    </w:tbl>
    <w:p w:rsidR="00B47AFF" w:rsidRDefault="005120B3" w:rsidP="00772244">
      <w:r>
        <w:rPr>
          <w:sz w:val="18"/>
          <w:szCs w:val="18"/>
        </w:rPr>
        <w:t>Source: CRISP analysis of HSCRC case mix data (1/1/2012-12/31/2012</w:t>
      </w:r>
      <w:r w:rsidR="00E66A02">
        <w:rPr>
          <w:sz w:val="18"/>
          <w:szCs w:val="18"/>
        </w:rPr>
        <w:t>, includes all hospitals</w:t>
      </w:r>
      <w:r>
        <w:rPr>
          <w:sz w:val="18"/>
          <w:szCs w:val="18"/>
        </w:rPr>
        <w:t>) and information accessed from The Kaiser Family Foundation’s State Health Fact. March 2014.</w:t>
      </w:r>
    </w:p>
    <w:p w:rsidR="000E01F0" w:rsidRDefault="000E01F0" w:rsidP="003A4B19">
      <w:pPr>
        <w:pStyle w:val="Heading4"/>
        <w:spacing w:before="120"/>
      </w:pPr>
    </w:p>
    <w:p w:rsidR="005F6611" w:rsidRDefault="0023342D" w:rsidP="003A4B19">
      <w:pPr>
        <w:pStyle w:val="Heading4"/>
        <w:spacing w:before="120"/>
      </w:pPr>
      <w:r>
        <w:t>Findings Inform the Understand</w:t>
      </w:r>
      <w:r w:rsidR="003432B8">
        <w:t xml:space="preserve">ing of </w:t>
      </w:r>
      <w:r w:rsidR="0046049E">
        <w:t>Potential UC</w:t>
      </w:r>
      <w:r>
        <w:t xml:space="preserve">C Reductions </w:t>
      </w:r>
    </w:p>
    <w:p w:rsidR="005A47B4" w:rsidRDefault="005A47B4" w:rsidP="003F20EB">
      <w:r>
        <w:t xml:space="preserve">As with all analysis, it is important to understand </w:t>
      </w:r>
      <w:r w:rsidR="0023342D">
        <w:t xml:space="preserve">the limitations of </w:t>
      </w:r>
      <w:r w:rsidR="003432B8">
        <w:t xml:space="preserve">this </w:t>
      </w:r>
      <w:r w:rsidR="0023342D">
        <w:t>analysis</w:t>
      </w:r>
      <w:r>
        <w:t xml:space="preserve">. </w:t>
      </w:r>
      <w:r w:rsidR="0023342D">
        <w:t>Please note the following:</w:t>
      </w:r>
    </w:p>
    <w:p w:rsidR="0023342D" w:rsidRPr="0023342D" w:rsidRDefault="002C16F3" w:rsidP="005A47B4">
      <w:pPr>
        <w:pStyle w:val="ListParagraph"/>
        <w:numPr>
          <w:ilvl w:val="0"/>
          <w:numId w:val="21"/>
        </w:numPr>
        <w:rPr>
          <w:b/>
        </w:rPr>
      </w:pPr>
      <w:r>
        <w:rPr>
          <w:b/>
        </w:rPr>
        <w:t>Not a</w:t>
      </w:r>
      <w:r w:rsidR="005A47B4" w:rsidRPr="0023342D">
        <w:rPr>
          <w:b/>
        </w:rPr>
        <w:t xml:space="preserve">ll hospital </w:t>
      </w:r>
      <w:r w:rsidR="0023342D" w:rsidRPr="0023342D">
        <w:rPr>
          <w:b/>
        </w:rPr>
        <w:t xml:space="preserve">care </w:t>
      </w:r>
      <w:r w:rsidR="005A47B4" w:rsidRPr="0023342D">
        <w:rPr>
          <w:b/>
        </w:rPr>
        <w:t xml:space="preserve">provided to PAC enrollees </w:t>
      </w:r>
      <w:r w:rsidR="0023342D">
        <w:rPr>
          <w:b/>
        </w:rPr>
        <w:t xml:space="preserve">was </w:t>
      </w:r>
      <w:r w:rsidR="000863D6">
        <w:rPr>
          <w:b/>
        </w:rPr>
        <w:t xml:space="preserve"> uncompensated </w:t>
      </w:r>
      <w:r w:rsidR="005A47B4" w:rsidRPr="0023342D">
        <w:rPr>
          <w:b/>
        </w:rPr>
        <w:t xml:space="preserve"> </w:t>
      </w:r>
    </w:p>
    <w:p w:rsidR="00512C34" w:rsidRDefault="003432B8" w:rsidP="009F4A6F">
      <w:pPr>
        <w:pStyle w:val="ListParagraph"/>
      </w:pPr>
      <w:r>
        <w:t xml:space="preserve">This analysis uses HSCRC case mix data which indicate </w:t>
      </w:r>
      <w:r w:rsidR="009B2BD8">
        <w:t xml:space="preserve">the expected payer </w:t>
      </w:r>
      <w:r>
        <w:t xml:space="preserve">for each inpatient discharge </w:t>
      </w:r>
      <w:r w:rsidR="009B2BD8">
        <w:t>and outpatient visit</w:t>
      </w:r>
      <w:r>
        <w:t xml:space="preserve">. Of the </w:t>
      </w:r>
      <w:r w:rsidR="00C45336">
        <w:t>14</w:t>
      </w:r>
      <w:r>
        <w:t>,</w:t>
      </w:r>
      <w:r w:rsidR="00C45336">
        <w:t xml:space="preserve">008 </w:t>
      </w:r>
      <w:r>
        <w:t>inpatient hospitalizations for PAC</w:t>
      </w:r>
      <w:r w:rsidR="002C16F3">
        <w:t>-</w:t>
      </w:r>
      <w:r>
        <w:t xml:space="preserve">enrolled individuals, HSCRC’s </w:t>
      </w:r>
      <w:r w:rsidR="00C45336">
        <w:t xml:space="preserve">FY </w:t>
      </w:r>
      <w:r w:rsidR="007E0337">
        <w:t xml:space="preserve">2013 </w:t>
      </w:r>
      <w:r>
        <w:t xml:space="preserve">case mix data only denotes that </w:t>
      </w:r>
      <w:r w:rsidR="005D3EC3">
        <w:t>about</w:t>
      </w:r>
      <w:r w:rsidR="006937E4">
        <w:t xml:space="preserve"> 6</w:t>
      </w:r>
      <w:r w:rsidR="00C45336">
        <w:t>2</w:t>
      </w:r>
      <w:r w:rsidR="006937E4">
        <w:t xml:space="preserve"> </w:t>
      </w:r>
      <w:r>
        <w:t xml:space="preserve">percent with expected payers that </w:t>
      </w:r>
      <w:r w:rsidR="002E775A">
        <w:t>clearly</w:t>
      </w:r>
      <w:r>
        <w:t xml:space="preserve"> indicating </w:t>
      </w:r>
      <w:r w:rsidR="00E94521">
        <w:t>a high likelihood</w:t>
      </w:r>
      <w:r>
        <w:t xml:space="preserve"> </w:t>
      </w:r>
      <w:r w:rsidR="00E94521">
        <w:t xml:space="preserve">that </w:t>
      </w:r>
      <w:r w:rsidR="00B244EA">
        <w:t xml:space="preserve">charges for the </w:t>
      </w:r>
      <w:r>
        <w:t>car</w:t>
      </w:r>
      <w:r w:rsidR="00B244EA">
        <w:t>e will not be reimbursed</w:t>
      </w:r>
      <w:r w:rsidR="00E94521">
        <w:t xml:space="preserve"> (e.g., expected payer is self pay, expected payer is charity care or no charge)</w:t>
      </w:r>
      <w:r w:rsidR="00B244EA">
        <w:t>.</w:t>
      </w:r>
      <w:r w:rsidR="00E94521">
        <w:t xml:space="preserve"> </w:t>
      </w:r>
      <w:r w:rsidR="005D3EC3">
        <w:t xml:space="preserve">Note that hospitals coded another </w:t>
      </w:r>
      <w:r w:rsidR="006937E4">
        <w:t xml:space="preserve">31 </w:t>
      </w:r>
      <w:r w:rsidR="005D3EC3">
        <w:t>percent of cases as Medicaid fee for service or Medicaid managed care</w:t>
      </w:r>
      <w:r w:rsidR="00E807C5">
        <w:t xml:space="preserve"> and </w:t>
      </w:r>
      <w:r w:rsidR="00C45336">
        <w:t xml:space="preserve">7 </w:t>
      </w:r>
      <w:r w:rsidR="00E807C5">
        <w:t>percent from other sources</w:t>
      </w:r>
      <w:r w:rsidR="005D3EC3">
        <w:t xml:space="preserve">. We </w:t>
      </w:r>
      <w:r w:rsidR="000C3C92">
        <w:t xml:space="preserve">cannot identify </w:t>
      </w:r>
      <w:r w:rsidR="005D3EC3">
        <w:t xml:space="preserve">if these are coding misclassifications or if the hospital expected the PAC-enrolled individual to convert </w:t>
      </w:r>
      <w:r w:rsidR="000C3C92">
        <w:t xml:space="preserve">from PAC to </w:t>
      </w:r>
      <w:r w:rsidR="005D3EC3">
        <w:t>Medicaid coverage due to the hospitalization.</w:t>
      </w:r>
      <w:r w:rsidR="00E807C5" w:rsidRPr="00E807C5">
        <w:t xml:space="preserve"> </w:t>
      </w:r>
      <w:r w:rsidR="00E807C5">
        <w:t xml:space="preserve">While this provides a good indication of uncompensated care, </w:t>
      </w:r>
      <w:r w:rsidR="000E01F0">
        <w:t>it is possible that there were payments from other sources.</w:t>
      </w:r>
    </w:p>
    <w:p w:rsidR="00B244EA" w:rsidRDefault="00B244EA" w:rsidP="005A47B4">
      <w:pPr>
        <w:pStyle w:val="ListParagraph"/>
        <w:numPr>
          <w:ilvl w:val="0"/>
          <w:numId w:val="21"/>
        </w:numPr>
        <w:rPr>
          <w:b/>
        </w:rPr>
      </w:pPr>
      <w:r>
        <w:rPr>
          <w:b/>
        </w:rPr>
        <w:t>Even among populations with hospital insurance, not all charges are reimbursed</w:t>
      </w:r>
    </w:p>
    <w:p w:rsidR="00E94521" w:rsidRPr="00E94521" w:rsidRDefault="00E94521" w:rsidP="00E94521">
      <w:pPr>
        <w:pStyle w:val="ListParagraph"/>
      </w:pPr>
      <w:r>
        <w:t xml:space="preserve">The dollar amounts </w:t>
      </w:r>
      <w:r w:rsidR="00F30E95">
        <w:t xml:space="preserve">discussed here </w:t>
      </w:r>
      <w:r>
        <w:t xml:space="preserve">are hospital charges. Even among insured populations, insurers do not reimburse 100 percent of charges. </w:t>
      </w:r>
      <w:r w:rsidR="000863D6">
        <w:t xml:space="preserve">For example, </w:t>
      </w:r>
      <w:r>
        <w:t xml:space="preserve">Maryland Medicaid reimburses </w:t>
      </w:r>
      <w:r w:rsidR="00F30E95">
        <w:t>hospital</w:t>
      </w:r>
      <w:r w:rsidR="002C16F3">
        <w:t>s at</w:t>
      </w:r>
      <w:r w:rsidR="00F30E95">
        <w:t xml:space="preserve"> </w:t>
      </w:r>
      <w:r>
        <w:t xml:space="preserve">94 percent of charges. Based on accounting rules, </w:t>
      </w:r>
      <w:r w:rsidR="000863D6">
        <w:t xml:space="preserve">the </w:t>
      </w:r>
      <w:r>
        <w:t>remaining 6 percent of charges a</w:t>
      </w:r>
      <w:r w:rsidR="000863D6">
        <w:t>bove</w:t>
      </w:r>
      <w:r>
        <w:t xml:space="preserve"> the reimbursed amount is not considered UCC. </w:t>
      </w:r>
    </w:p>
    <w:p w:rsidR="0023342D" w:rsidRPr="0023342D" w:rsidRDefault="0023342D" w:rsidP="005A47B4">
      <w:pPr>
        <w:pStyle w:val="ListParagraph"/>
        <w:numPr>
          <w:ilvl w:val="0"/>
          <w:numId w:val="21"/>
        </w:numPr>
        <w:rPr>
          <w:b/>
        </w:rPr>
      </w:pPr>
      <w:r>
        <w:rPr>
          <w:b/>
        </w:rPr>
        <w:lastRenderedPageBreak/>
        <w:t xml:space="preserve">Hospital usage </w:t>
      </w:r>
      <w:r w:rsidR="005A47B4" w:rsidRPr="0023342D">
        <w:rPr>
          <w:b/>
        </w:rPr>
        <w:t>change</w:t>
      </w:r>
      <w:r>
        <w:rPr>
          <w:b/>
        </w:rPr>
        <w:t>s</w:t>
      </w:r>
      <w:r w:rsidR="005A47B4" w:rsidRPr="0023342D">
        <w:rPr>
          <w:b/>
        </w:rPr>
        <w:t xml:space="preserve"> across time. </w:t>
      </w:r>
    </w:p>
    <w:p w:rsidR="005A47B4" w:rsidRDefault="00E94521" w:rsidP="0023342D">
      <w:pPr>
        <w:pStyle w:val="ListParagraph"/>
      </w:pPr>
      <w:r>
        <w:t xml:space="preserve">The data in this analysis do not provide an understanding of hospital use rates across a period of time. </w:t>
      </w:r>
      <w:r w:rsidR="000E01F0">
        <w:t xml:space="preserve">  There may be increases or decreases in use rates in 2014, which would affect the level of UCC</w:t>
      </w:r>
      <w:r w:rsidR="002E775A">
        <w:t>.</w:t>
      </w:r>
      <w:r w:rsidR="000E01F0">
        <w:t xml:space="preserve">  </w:t>
      </w:r>
      <w:r w:rsidR="002E775A">
        <w:t xml:space="preserve"> </w:t>
      </w:r>
    </w:p>
    <w:p w:rsidR="003F20EB" w:rsidRDefault="002E775A" w:rsidP="003F20EB">
      <w:pPr>
        <w:pStyle w:val="ListParagraph"/>
        <w:numPr>
          <w:ilvl w:val="0"/>
          <w:numId w:val="21"/>
        </w:numPr>
      </w:pPr>
      <w:r>
        <w:rPr>
          <w:b/>
        </w:rPr>
        <w:t xml:space="preserve">Coverage of </w:t>
      </w:r>
      <w:r w:rsidR="000C18DF">
        <w:rPr>
          <w:b/>
        </w:rPr>
        <w:t xml:space="preserve">Outpatient: </w:t>
      </w:r>
      <w:r w:rsidR="003C59D3" w:rsidRPr="003C59D3">
        <w:t>The PAC program does provide some coverage for outpatient services such as E</w:t>
      </w:r>
      <w:r w:rsidR="0063706E">
        <w:t>D</w:t>
      </w:r>
      <w:r w:rsidR="003C59D3" w:rsidRPr="003C59D3">
        <w:t xml:space="preserve">. </w:t>
      </w:r>
    </w:p>
    <w:p w:rsidR="000E01F0" w:rsidRDefault="000E01F0" w:rsidP="000E01F0"/>
    <w:p w:rsidR="000E01F0" w:rsidRDefault="000E01F0" w:rsidP="000E01F0">
      <w:pPr>
        <w:pStyle w:val="Heading2"/>
      </w:pPr>
      <w:r>
        <w:t>Conclusion</w:t>
      </w:r>
      <w:r w:rsidR="00667853">
        <w:t xml:space="preserve"> and Next Steps</w:t>
      </w:r>
    </w:p>
    <w:p w:rsidR="00667853" w:rsidRPr="00667853" w:rsidRDefault="00667853" w:rsidP="00667853">
      <w:r>
        <w:t xml:space="preserve">HSCRC will share the hospital specific summaries of the data with hospitals.  It is the intention of the HSCRC staff to include some portion of these charges in estimating an uncompensated care reduction that will occur from enrollment of these PAC individuals in Medicaid.  While the coverage went into effect on January 1, 2014, a prospective reduction, net of any offset resulting from the increase in actual uncompensated care reported for 2013 over 2012  would be expected to take effect  July 1, 2014.  </w:t>
      </w:r>
    </w:p>
    <w:p w:rsidR="000E01F0" w:rsidRDefault="000E01F0" w:rsidP="000E01F0"/>
    <w:p w:rsidR="000E01F0" w:rsidRPr="000E01F0" w:rsidRDefault="000E01F0" w:rsidP="000E01F0"/>
    <w:sectPr w:rsidR="000E01F0" w:rsidRPr="000E01F0" w:rsidSect="0059636C">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71" w:rsidRDefault="00853771" w:rsidP="00105675">
      <w:pPr>
        <w:spacing w:line="240" w:lineRule="auto"/>
      </w:pPr>
      <w:r>
        <w:separator/>
      </w:r>
    </w:p>
  </w:endnote>
  <w:endnote w:type="continuationSeparator" w:id="0">
    <w:p w:rsidR="00853771" w:rsidRDefault="00853771" w:rsidP="00105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71" w:rsidRDefault="00853771" w:rsidP="00105675">
      <w:pPr>
        <w:spacing w:line="240" w:lineRule="auto"/>
      </w:pPr>
      <w:r>
        <w:separator/>
      </w:r>
    </w:p>
  </w:footnote>
  <w:footnote w:type="continuationSeparator" w:id="0">
    <w:p w:rsidR="00853771" w:rsidRDefault="00853771" w:rsidP="00105675">
      <w:pPr>
        <w:spacing w:line="240" w:lineRule="auto"/>
      </w:pPr>
      <w:r>
        <w:continuationSeparator/>
      </w:r>
    </w:p>
  </w:footnote>
  <w:footnote w:id="1">
    <w:p w:rsidR="00BC1143" w:rsidRPr="00BC1143" w:rsidRDefault="00BC1143">
      <w:pPr>
        <w:pStyle w:val="FootnoteText"/>
      </w:pPr>
      <w:r>
        <w:rPr>
          <w:rStyle w:val="FootnoteReference"/>
        </w:rPr>
        <w:footnoteRef/>
      </w:r>
      <w:r>
        <w:t xml:space="preserve"> </w:t>
      </w:r>
      <w:hyperlink r:id="rId1" w:history="1">
        <w:r w:rsidRPr="00A0180A">
          <w:rPr>
            <w:rStyle w:val="Hyperlink"/>
          </w:rPr>
          <w:t>http://kff.org/statedata/</w:t>
        </w:r>
      </w:hyperlink>
      <w:r>
        <w:t xml:space="preserve"> accessed </w:t>
      </w:r>
      <w:r w:rsidRPr="00BC1143">
        <w:t xml:space="preserve">March 2014. </w:t>
      </w:r>
      <w:r w:rsidRPr="00BC1143">
        <w:rPr>
          <w:color w:val="000000"/>
          <w:bdr w:val="none" w:sz="0" w:space="0" w:color="auto" w:frame="1"/>
          <w:shd w:val="clear" w:color="auto" w:fill="FFFFFF"/>
        </w:rPr>
        <w:t>2011 AHA Annual Survey Copyright 2013 by Health Forum LLC, an affiliate of the American Hospital Association, special data request, 2013. Available at </w:t>
      </w:r>
      <w:hyperlink r:id="rId2" w:tgtFrame="_blank" w:history="1">
        <w:r w:rsidRPr="00BC1143">
          <w:rPr>
            <w:rStyle w:val="Hyperlink"/>
            <w:color w:val="0990D1"/>
            <w:bdr w:val="none" w:sz="0" w:space="0" w:color="auto" w:frame="1"/>
            <w:shd w:val="clear" w:color="auto" w:fill="FFFFFF"/>
          </w:rPr>
          <w:t>http://www.ahaonlinestore.</w:t>
        </w:r>
      </w:hyperlink>
      <w:r w:rsidRPr="00BC1143">
        <w:rPr>
          <w:color w:val="000000"/>
        </w:rPr>
        <w:br/>
      </w:r>
      <w:r w:rsidRPr="00BC1143">
        <w:rPr>
          <w:color w:val="000000"/>
          <w:bdr w:val="none" w:sz="0" w:space="0" w:color="auto" w:frame="1"/>
          <w:shd w:val="clear" w:color="auto" w:fill="FFFFFF"/>
        </w:rPr>
        <w:t>Population data from Annual Population Estimates by State, U.S. Census Bureau; available at </w:t>
      </w:r>
      <w:hyperlink r:id="rId3" w:tgtFrame="_blank" w:history="1">
        <w:r w:rsidRPr="00BC1143">
          <w:rPr>
            <w:rStyle w:val="Hyperlink"/>
            <w:color w:val="0990D1"/>
            <w:bdr w:val="none" w:sz="0" w:space="0" w:color="auto" w:frame="1"/>
            <w:shd w:val="clear" w:color="auto" w:fill="FFFFFF"/>
          </w:rPr>
          <w:t>http://www.census.gov/popest/</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974"/>
    <w:multiLevelType w:val="hybridMultilevel"/>
    <w:tmpl w:val="9714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A55A9"/>
    <w:multiLevelType w:val="hybridMultilevel"/>
    <w:tmpl w:val="14BA8C4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FE65B8"/>
    <w:multiLevelType w:val="hybridMultilevel"/>
    <w:tmpl w:val="145C8232"/>
    <w:lvl w:ilvl="0" w:tplc="2F647B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25EDB"/>
    <w:multiLevelType w:val="hybridMultilevel"/>
    <w:tmpl w:val="8EEA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E77C3"/>
    <w:multiLevelType w:val="hybridMultilevel"/>
    <w:tmpl w:val="827094AC"/>
    <w:lvl w:ilvl="0" w:tplc="4E521C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255C7"/>
    <w:multiLevelType w:val="hybridMultilevel"/>
    <w:tmpl w:val="173000F2"/>
    <w:lvl w:ilvl="0" w:tplc="2F647B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7C5BFF"/>
    <w:multiLevelType w:val="hybridMultilevel"/>
    <w:tmpl w:val="1B7A9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D39BB"/>
    <w:multiLevelType w:val="hybridMultilevel"/>
    <w:tmpl w:val="5FD4D9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E5D32"/>
    <w:multiLevelType w:val="hybridMultilevel"/>
    <w:tmpl w:val="DDF49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E1F4E"/>
    <w:multiLevelType w:val="hybridMultilevel"/>
    <w:tmpl w:val="66B6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F3CF7"/>
    <w:multiLevelType w:val="hybridMultilevel"/>
    <w:tmpl w:val="87C6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41554"/>
    <w:multiLevelType w:val="hybridMultilevel"/>
    <w:tmpl w:val="F5A6A2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B47AD4"/>
    <w:multiLevelType w:val="hybridMultilevel"/>
    <w:tmpl w:val="390E1758"/>
    <w:lvl w:ilvl="0" w:tplc="2F647B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E4FC2"/>
    <w:multiLevelType w:val="hybridMultilevel"/>
    <w:tmpl w:val="0A20D796"/>
    <w:lvl w:ilvl="0" w:tplc="4E521C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44942"/>
    <w:multiLevelType w:val="hybridMultilevel"/>
    <w:tmpl w:val="7CCE73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F75268E"/>
    <w:multiLevelType w:val="hybridMultilevel"/>
    <w:tmpl w:val="50625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44742F"/>
    <w:multiLevelType w:val="hybridMultilevel"/>
    <w:tmpl w:val="F9087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E4847"/>
    <w:multiLevelType w:val="hybridMultilevel"/>
    <w:tmpl w:val="9B0A4028"/>
    <w:lvl w:ilvl="0" w:tplc="2F647B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93CF3"/>
    <w:multiLevelType w:val="hybridMultilevel"/>
    <w:tmpl w:val="09E2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B951DC"/>
    <w:multiLevelType w:val="multilevel"/>
    <w:tmpl w:val="70DAD93E"/>
    <w:styleLink w:val="StyleBulletedLatinCourierNewLeft05Hanging025"/>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7E4D150E"/>
    <w:multiLevelType w:val="hybridMultilevel"/>
    <w:tmpl w:val="FE40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7"/>
  </w:num>
  <w:num w:numId="4">
    <w:abstractNumId w:val="5"/>
  </w:num>
  <w:num w:numId="5">
    <w:abstractNumId w:val="12"/>
  </w:num>
  <w:num w:numId="6">
    <w:abstractNumId w:val="2"/>
  </w:num>
  <w:num w:numId="7">
    <w:abstractNumId w:val="14"/>
  </w:num>
  <w:num w:numId="8">
    <w:abstractNumId w:val="18"/>
  </w:num>
  <w:num w:numId="9">
    <w:abstractNumId w:val="7"/>
  </w:num>
  <w:num w:numId="10">
    <w:abstractNumId w:val="15"/>
  </w:num>
  <w:num w:numId="11">
    <w:abstractNumId w:val="11"/>
  </w:num>
  <w:num w:numId="12">
    <w:abstractNumId w:val="6"/>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20"/>
  </w:num>
  <w:num w:numId="16">
    <w:abstractNumId w:val="16"/>
  </w:num>
  <w:num w:numId="17">
    <w:abstractNumId w:val="8"/>
  </w:num>
  <w:num w:numId="18">
    <w:abstractNumId w:val="10"/>
  </w:num>
  <w:num w:numId="19">
    <w:abstractNumId w:val="3"/>
  </w:num>
  <w:num w:numId="20">
    <w:abstractNumId w:val="4"/>
  </w:num>
  <w:num w:numId="21">
    <w:abstractNumId w:val="13"/>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5424"/>
  <w:defaultTabStop w:val="720"/>
  <w:characterSpacingControl w:val="doNotCompress"/>
  <w:hdrShapeDefaults>
    <o:shapedefaults v:ext="edit" spidmax="8194"/>
  </w:hdrShapeDefaults>
  <w:footnotePr>
    <w:footnote w:id="-1"/>
    <w:footnote w:id="0"/>
  </w:footnotePr>
  <w:endnotePr>
    <w:endnote w:id="-1"/>
    <w:endnote w:id="0"/>
  </w:endnotePr>
  <w:compat/>
  <w:rsids>
    <w:rsidRoot w:val="00105675"/>
    <w:rsid w:val="00002FC7"/>
    <w:rsid w:val="00022B17"/>
    <w:rsid w:val="0002771C"/>
    <w:rsid w:val="00032185"/>
    <w:rsid w:val="00043AD2"/>
    <w:rsid w:val="000441ED"/>
    <w:rsid w:val="0004622E"/>
    <w:rsid w:val="00052DE9"/>
    <w:rsid w:val="00060E97"/>
    <w:rsid w:val="00076B18"/>
    <w:rsid w:val="00081DA5"/>
    <w:rsid w:val="0008391F"/>
    <w:rsid w:val="00083E84"/>
    <w:rsid w:val="00084738"/>
    <w:rsid w:val="000863D6"/>
    <w:rsid w:val="0009135D"/>
    <w:rsid w:val="00097FBB"/>
    <w:rsid w:val="000A5A2A"/>
    <w:rsid w:val="000B4258"/>
    <w:rsid w:val="000C18DF"/>
    <w:rsid w:val="000C3C92"/>
    <w:rsid w:val="000C5926"/>
    <w:rsid w:val="000C5D86"/>
    <w:rsid w:val="000C7493"/>
    <w:rsid w:val="000E01F0"/>
    <w:rsid w:val="00105675"/>
    <w:rsid w:val="00105A83"/>
    <w:rsid w:val="0011519B"/>
    <w:rsid w:val="0012112C"/>
    <w:rsid w:val="0012341E"/>
    <w:rsid w:val="00130F91"/>
    <w:rsid w:val="00135244"/>
    <w:rsid w:val="00142219"/>
    <w:rsid w:val="001548E4"/>
    <w:rsid w:val="00161701"/>
    <w:rsid w:val="0016741A"/>
    <w:rsid w:val="00174950"/>
    <w:rsid w:val="001909FC"/>
    <w:rsid w:val="001A34E9"/>
    <w:rsid w:val="001A5393"/>
    <w:rsid w:val="001A7C5B"/>
    <w:rsid w:val="001B352B"/>
    <w:rsid w:val="001B5932"/>
    <w:rsid w:val="001B6F8E"/>
    <w:rsid w:val="001B7C9E"/>
    <w:rsid w:val="001C2AD4"/>
    <w:rsid w:val="001C387D"/>
    <w:rsid w:val="001C6CB6"/>
    <w:rsid w:val="001D216E"/>
    <w:rsid w:val="001E0056"/>
    <w:rsid w:val="001F7FA2"/>
    <w:rsid w:val="00227EA5"/>
    <w:rsid w:val="002313D9"/>
    <w:rsid w:val="0023153F"/>
    <w:rsid w:val="0023342D"/>
    <w:rsid w:val="002417EE"/>
    <w:rsid w:val="00242787"/>
    <w:rsid w:val="00253CB1"/>
    <w:rsid w:val="002561A1"/>
    <w:rsid w:val="00266E91"/>
    <w:rsid w:val="00274187"/>
    <w:rsid w:val="002759A1"/>
    <w:rsid w:val="002808D3"/>
    <w:rsid w:val="002814A6"/>
    <w:rsid w:val="00290C9F"/>
    <w:rsid w:val="0029364C"/>
    <w:rsid w:val="002A0580"/>
    <w:rsid w:val="002A1ACD"/>
    <w:rsid w:val="002C16F3"/>
    <w:rsid w:val="002C3A69"/>
    <w:rsid w:val="002D45EF"/>
    <w:rsid w:val="002E0772"/>
    <w:rsid w:val="002E5207"/>
    <w:rsid w:val="002E775A"/>
    <w:rsid w:val="003001AA"/>
    <w:rsid w:val="00300E38"/>
    <w:rsid w:val="00301703"/>
    <w:rsid w:val="003141DE"/>
    <w:rsid w:val="003158D3"/>
    <w:rsid w:val="00337BC6"/>
    <w:rsid w:val="003432B8"/>
    <w:rsid w:val="00352D50"/>
    <w:rsid w:val="0035324F"/>
    <w:rsid w:val="00392B22"/>
    <w:rsid w:val="003960EB"/>
    <w:rsid w:val="003A4B19"/>
    <w:rsid w:val="003B3906"/>
    <w:rsid w:val="003B4711"/>
    <w:rsid w:val="003B6A6E"/>
    <w:rsid w:val="003C13F0"/>
    <w:rsid w:val="003C59D3"/>
    <w:rsid w:val="003C739B"/>
    <w:rsid w:val="003D015F"/>
    <w:rsid w:val="003D2613"/>
    <w:rsid w:val="003D45BC"/>
    <w:rsid w:val="003E4C98"/>
    <w:rsid w:val="003E6FFB"/>
    <w:rsid w:val="003F20EB"/>
    <w:rsid w:val="003F30F6"/>
    <w:rsid w:val="004039E1"/>
    <w:rsid w:val="004118B4"/>
    <w:rsid w:val="00412106"/>
    <w:rsid w:val="00431381"/>
    <w:rsid w:val="00440044"/>
    <w:rsid w:val="004466F2"/>
    <w:rsid w:val="00452D0A"/>
    <w:rsid w:val="0046049E"/>
    <w:rsid w:val="00462C35"/>
    <w:rsid w:val="00467AE1"/>
    <w:rsid w:val="00477F4A"/>
    <w:rsid w:val="0049266A"/>
    <w:rsid w:val="004B5290"/>
    <w:rsid w:val="004D4230"/>
    <w:rsid w:val="004D7C37"/>
    <w:rsid w:val="004E25E6"/>
    <w:rsid w:val="004E6A03"/>
    <w:rsid w:val="004E6A2F"/>
    <w:rsid w:val="004F3635"/>
    <w:rsid w:val="004F54FA"/>
    <w:rsid w:val="004F77B1"/>
    <w:rsid w:val="00504EDA"/>
    <w:rsid w:val="005120B3"/>
    <w:rsid w:val="00512ABD"/>
    <w:rsid w:val="00512C34"/>
    <w:rsid w:val="005218BC"/>
    <w:rsid w:val="005239B8"/>
    <w:rsid w:val="005412DD"/>
    <w:rsid w:val="0054265F"/>
    <w:rsid w:val="00571D24"/>
    <w:rsid w:val="00577303"/>
    <w:rsid w:val="005856AD"/>
    <w:rsid w:val="0059636C"/>
    <w:rsid w:val="005A1B88"/>
    <w:rsid w:val="005A47B4"/>
    <w:rsid w:val="005B65A7"/>
    <w:rsid w:val="005D2F65"/>
    <w:rsid w:val="005D3EC3"/>
    <w:rsid w:val="005D74B4"/>
    <w:rsid w:val="005E71D9"/>
    <w:rsid w:val="005F5507"/>
    <w:rsid w:val="005F6611"/>
    <w:rsid w:val="00601EB3"/>
    <w:rsid w:val="00606AE9"/>
    <w:rsid w:val="00607065"/>
    <w:rsid w:val="006133A9"/>
    <w:rsid w:val="00622E55"/>
    <w:rsid w:val="00632287"/>
    <w:rsid w:val="0063499F"/>
    <w:rsid w:val="00635F34"/>
    <w:rsid w:val="0063706E"/>
    <w:rsid w:val="00640DF1"/>
    <w:rsid w:val="00641E77"/>
    <w:rsid w:val="00641EE0"/>
    <w:rsid w:val="006617D5"/>
    <w:rsid w:val="006636E2"/>
    <w:rsid w:val="00667853"/>
    <w:rsid w:val="00686689"/>
    <w:rsid w:val="00687D09"/>
    <w:rsid w:val="006937E4"/>
    <w:rsid w:val="006A4E2C"/>
    <w:rsid w:val="006A600F"/>
    <w:rsid w:val="006B65EC"/>
    <w:rsid w:val="006B7856"/>
    <w:rsid w:val="006C5D7F"/>
    <w:rsid w:val="006C7914"/>
    <w:rsid w:val="006D0DF7"/>
    <w:rsid w:val="006D21F5"/>
    <w:rsid w:val="006E72E6"/>
    <w:rsid w:val="006F3D51"/>
    <w:rsid w:val="006F7CF8"/>
    <w:rsid w:val="00701836"/>
    <w:rsid w:val="007039F7"/>
    <w:rsid w:val="0070764B"/>
    <w:rsid w:val="007268F3"/>
    <w:rsid w:val="00741EF7"/>
    <w:rsid w:val="00756F73"/>
    <w:rsid w:val="007704ED"/>
    <w:rsid w:val="00772244"/>
    <w:rsid w:val="007976A5"/>
    <w:rsid w:val="007A1667"/>
    <w:rsid w:val="007A63FD"/>
    <w:rsid w:val="007B0896"/>
    <w:rsid w:val="007C71B0"/>
    <w:rsid w:val="007D2395"/>
    <w:rsid w:val="007D6745"/>
    <w:rsid w:val="007E0337"/>
    <w:rsid w:val="007E0532"/>
    <w:rsid w:val="007E7987"/>
    <w:rsid w:val="00807050"/>
    <w:rsid w:val="00807173"/>
    <w:rsid w:val="00813937"/>
    <w:rsid w:val="00816F7A"/>
    <w:rsid w:val="008207CE"/>
    <w:rsid w:val="008231AC"/>
    <w:rsid w:val="00825128"/>
    <w:rsid w:val="008256FF"/>
    <w:rsid w:val="008329F3"/>
    <w:rsid w:val="008410B7"/>
    <w:rsid w:val="00852D0A"/>
    <w:rsid w:val="00853771"/>
    <w:rsid w:val="00855538"/>
    <w:rsid w:val="00856E24"/>
    <w:rsid w:val="00863AFC"/>
    <w:rsid w:val="00877157"/>
    <w:rsid w:val="0088653F"/>
    <w:rsid w:val="008952BC"/>
    <w:rsid w:val="008B1460"/>
    <w:rsid w:val="008B285D"/>
    <w:rsid w:val="008B60D4"/>
    <w:rsid w:val="008D2030"/>
    <w:rsid w:val="008D4B54"/>
    <w:rsid w:val="008D61C6"/>
    <w:rsid w:val="008F51BA"/>
    <w:rsid w:val="008F5C17"/>
    <w:rsid w:val="008F722D"/>
    <w:rsid w:val="0090115A"/>
    <w:rsid w:val="009142AC"/>
    <w:rsid w:val="009250C7"/>
    <w:rsid w:val="00933FD6"/>
    <w:rsid w:val="009401CD"/>
    <w:rsid w:val="0094085B"/>
    <w:rsid w:val="00955A0C"/>
    <w:rsid w:val="00960362"/>
    <w:rsid w:val="00960A15"/>
    <w:rsid w:val="00960F76"/>
    <w:rsid w:val="0096266D"/>
    <w:rsid w:val="00980120"/>
    <w:rsid w:val="00982484"/>
    <w:rsid w:val="009872A5"/>
    <w:rsid w:val="00992E99"/>
    <w:rsid w:val="00996D7D"/>
    <w:rsid w:val="009B2BD8"/>
    <w:rsid w:val="009C2AC5"/>
    <w:rsid w:val="009C334F"/>
    <w:rsid w:val="009D0EDE"/>
    <w:rsid w:val="009D2EA9"/>
    <w:rsid w:val="009E0470"/>
    <w:rsid w:val="009E24A7"/>
    <w:rsid w:val="009E4533"/>
    <w:rsid w:val="009F4A6F"/>
    <w:rsid w:val="009F654A"/>
    <w:rsid w:val="00A04290"/>
    <w:rsid w:val="00A176AD"/>
    <w:rsid w:val="00A22588"/>
    <w:rsid w:val="00A23DC8"/>
    <w:rsid w:val="00A31E7C"/>
    <w:rsid w:val="00A50804"/>
    <w:rsid w:val="00A522F5"/>
    <w:rsid w:val="00A56B09"/>
    <w:rsid w:val="00A70068"/>
    <w:rsid w:val="00A72F18"/>
    <w:rsid w:val="00A76378"/>
    <w:rsid w:val="00A8246F"/>
    <w:rsid w:val="00A9119F"/>
    <w:rsid w:val="00AA5F1F"/>
    <w:rsid w:val="00AA6E42"/>
    <w:rsid w:val="00AB3819"/>
    <w:rsid w:val="00AC61FA"/>
    <w:rsid w:val="00AC777F"/>
    <w:rsid w:val="00AD2543"/>
    <w:rsid w:val="00AD3ABB"/>
    <w:rsid w:val="00AD6EF4"/>
    <w:rsid w:val="00B0076A"/>
    <w:rsid w:val="00B03AE2"/>
    <w:rsid w:val="00B049CE"/>
    <w:rsid w:val="00B21871"/>
    <w:rsid w:val="00B244EA"/>
    <w:rsid w:val="00B3339D"/>
    <w:rsid w:val="00B3660A"/>
    <w:rsid w:val="00B3680C"/>
    <w:rsid w:val="00B43BF7"/>
    <w:rsid w:val="00B47AFF"/>
    <w:rsid w:val="00B514CE"/>
    <w:rsid w:val="00B54858"/>
    <w:rsid w:val="00B57E05"/>
    <w:rsid w:val="00B60193"/>
    <w:rsid w:val="00B7116F"/>
    <w:rsid w:val="00B93F16"/>
    <w:rsid w:val="00BB0A01"/>
    <w:rsid w:val="00BC1143"/>
    <w:rsid w:val="00BC2B0F"/>
    <w:rsid w:val="00BC4A57"/>
    <w:rsid w:val="00BE28FB"/>
    <w:rsid w:val="00BE4D59"/>
    <w:rsid w:val="00BE7B57"/>
    <w:rsid w:val="00BF0DFA"/>
    <w:rsid w:val="00BF2C6F"/>
    <w:rsid w:val="00BF4D1C"/>
    <w:rsid w:val="00C021D7"/>
    <w:rsid w:val="00C27F16"/>
    <w:rsid w:val="00C31512"/>
    <w:rsid w:val="00C326AC"/>
    <w:rsid w:val="00C37B9B"/>
    <w:rsid w:val="00C43A4A"/>
    <w:rsid w:val="00C43FA3"/>
    <w:rsid w:val="00C45336"/>
    <w:rsid w:val="00C500AF"/>
    <w:rsid w:val="00C51E90"/>
    <w:rsid w:val="00C775F1"/>
    <w:rsid w:val="00C85569"/>
    <w:rsid w:val="00CC2C91"/>
    <w:rsid w:val="00CD5222"/>
    <w:rsid w:val="00CE018D"/>
    <w:rsid w:val="00CE0B98"/>
    <w:rsid w:val="00CE2236"/>
    <w:rsid w:val="00CE5182"/>
    <w:rsid w:val="00CE59DA"/>
    <w:rsid w:val="00CF5814"/>
    <w:rsid w:val="00D218C6"/>
    <w:rsid w:val="00D26984"/>
    <w:rsid w:val="00D26C29"/>
    <w:rsid w:val="00D320E9"/>
    <w:rsid w:val="00D34A6D"/>
    <w:rsid w:val="00D3557F"/>
    <w:rsid w:val="00D415A0"/>
    <w:rsid w:val="00D4288A"/>
    <w:rsid w:val="00D60BF9"/>
    <w:rsid w:val="00D6285D"/>
    <w:rsid w:val="00D81B19"/>
    <w:rsid w:val="00D84F86"/>
    <w:rsid w:val="00D879AB"/>
    <w:rsid w:val="00D87A95"/>
    <w:rsid w:val="00D9522F"/>
    <w:rsid w:val="00DA2BA7"/>
    <w:rsid w:val="00DB4BBA"/>
    <w:rsid w:val="00DB6DF1"/>
    <w:rsid w:val="00DB7369"/>
    <w:rsid w:val="00DC392A"/>
    <w:rsid w:val="00DC41F7"/>
    <w:rsid w:val="00DC4AB6"/>
    <w:rsid w:val="00DD379B"/>
    <w:rsid w:val="00DD48F6"/>
    <w:rsid w:val="00DE0557"/>
    <w:rsid w:val="00E40C56"/>
    <w:rsid w:val="00E4340F"/>
    <w:rsid w:val="00E452D9"/>
    <w:rsid w:val="00E50896"/>
    <w:rsid w:val="00E56F25"/>
    <w:rsid w:val="00E62BAF"/>
    <w:rsid w:val="00E66A02"/>
    <w:rsid w:val="00E7121A"/>
    <w:rsid w:val="00E76358"/>
    <w:rsid w:val="00E807C5"/>
    <w:rsid w:val="00E80D83"/>
    <w:rsid w:val="00E92AC8"/>
    <w:rsid w:val="00E94521"/>
    <w:rsid w:val="00EA396F"/>
    <w:rsid w:val="00EB1E5B"/>
    <w:rsid w:val="00EB3A32"/>
    <w:rsid w:val="00EC1AEF"/>
    <w:rsid w:val="00ED0E28"/>
    <w:rsid w:val="00ED29BE"/>
    <w:rsid w:val="00ED4B40"/>
    <w:rsid w:val="00EE53F3"/>
    <w:rsid w:val="00EF0B77"/>
    <w:rsid w:val="00EF1216"/>
    <w:rsid w:val="00F05E4D"/>
    <w:rsid w:val="00F12B56"/>
    <w:rsid w:val="00F24E61"/>
    <w:rsid w:val="00F25621"/>
    <w:rsid w:val="00F30C56"/>
    <w:rsid w:val="00F30E95"/>
    <w:rsid w:val="00F50A48"/>
    <w:rsid w:val="00F54D76"/>
    <w:rsid w:val="00F82514"/>
    <w:rsid w:val="00F92CDF"/>
    <w:rsid w:val="00F94B0E"/>
    <w:rsid w:val="00F966E8"/>
    <w:rsid w:val="00FA60C3"/>
    <w:rsid w:val="00FB4AEF"/>
    <w:rsid w:val="00FB6E6C"/>
    <w:rsid w:val="00FC00A0"/>
    <w:rsid w:val="00FD3B85"/>
    <w:rsid w:val="00FD62C0"/>
    <w:rsid w:val="00FF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C0"/>
    <w:pPr>
      <w:spacing w:after="0"/>
    </w:pPr>
  </w:style>
  <w:style w:type="paragraph" w:styleId="Heading1">
    <w:name w:val="heading 1"/>
    <w:basedOn w:val="Normal"/>
    <w:next w:val="Normal"/>
    <w:link w:val="Heading1Char"/>
    <w:uiPriority w:val="9"/>
    <w:qFormat/>
    <w:rsid w:val="00B03AE2"/>
    <w:pPr>
      <w:keepNext/>
      <w:keepLines/>
      <w:spacing w:before="480"/>
      <w:outlineLvl w:val="0"/>
    </w:pPr>
    <w:rPr>
      <w:rFonts w:ascii="Arial Black" w:eastAsiaTheme="majorEastAsia" w:hAnsi="Arial Black" w:cstheme="majorBidi"/>
      <w:b/>
      <w:bCs/>
      <w:color w:val="1F4D7F"/>
      <w:sz w:val="44"/>
      <w:szCs w:val="44"/>
    </w:rPr>
  </w:style>
  <w:style w:type="paragraph" w:styleId="Heading2">
    <w:name w:val="heading 2"/>
    <w:basedOn w:val="Normal"/>
    <w:next w:val="Normal"/>
    <w:link w:val="Heading2Char"/>
    <w:uiPriority w:val="9"/>
    <w:unhideWhenUsed/>
    <w:qFormat/>
    <w:rsid w:val="008207CE"/>
    <w:pPr>
      <w:keepNext/>
      <w:keepLines/>
      <w:spacing w:before="200"/>
      <w:outlineLvl w:val="1"/>
    </w:pPr>
    <w:rPr>
      <w:rFonts w:ascii="Arial Black" w:eastAsiaTheme="majorEastAsia" w:hAnsi="Arial Black" w:cstheme="majorBidi"/>
      <w:b/>
      <w:bCs/>
      <w:color w:val="1F4D7F"/>
      <w:sz w:val="26"/>
      <w:szCs w:val="26"/>
    </w:rPr>
  </w:style>
  <w:style w:type="paragraph" w:styleId="Heading3">
    <w:name w:val="heading 3"/>
    <w:basedOn w:val="Normal"/>
    <w:next w:val="Normal"/>
    <w:link w:val="Heading3Char"/>
    <w:uiPriority w:val="9"/>
    <w:unhideWhenUsed/>
    <w:qFormat/>
    <w:rsid w:val="008207CE"/>
    <w:pPr>
      <w:spacing w:before="240" w:after="120"/>
      <w:outlineLvl w:val="2"/>
    </w:pPr>
    <w:rPr>
      <w:rFonts w:ascii="Arial Black" w:hAnsi="Arial Black"/>
      <w:b/>
      <w:i/>
      <w:color w:val="1F4D7F"/>
    </w:rPr>
  </w:style>
  <w:style w:type="paragraph" w:styleId="Heading4">
    <w:name w:val="heading 4"/>
    <w:basedOn w:val="Normal"/>
    <w:next w:val="Normal"/>
    <w:link w:val="Heading4Char"/>
    <w:uiPriority w:val="9"/>
    <w:unhideWhenUsed/>
    <w:qFormat/>
    <w:rsid w:val="00BC2B0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0115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LatinCourierNewLeft05Hanging025">
    <w:name w:val="Style Bulleted (Latin) Courier New Left:  0.5&quot; Hanging:  0.25&quot;"/>
    <w:basedOn w:val="NoList"/>
    <w:rsid w:val="007B0896"/>
    <w:pPr>
      <w:numPr>
        <w:numId w:val="1"/>
      </w:numPr>
    </w:pPr>
  </w:style>
  <w:style w:type="paragraph" w:styleId="Header">
    <w:name w:val="header"/>
    <w:basedOn w:val="Normal"/>
    <w:link w:val="HeaderChar"/>
    <w:uiPriority w:val="99"/>
    <w:unhideWhenUsed/>
    <w:rsid w:val="00105675"/>
    <w:pPr>
      <w:tabs>
        <w:tab w:val="center" w:pos="4680"/>
        <w:tab w:val="right" w:pos="9360"/>
      </w:tabs>
      <w:spacing w:line="240" w:lineRule="auto"/>
    </w:pPr>
  </w:style>
  <w:style w:type="character" w:customStyle="1" w:styleId="HeaderChar">
    <w:name w:val="Header Char"/>
    <w:basedOn w:val="DefaultParagraphFont"/>
    <w:link w:val="Header"/>
    <w:uiPriority w:val="99"/>
    <w:rsid w:val="00105675"/>
  </w:style>
  <w:style w:type="paragraph" w:styleId="Footer">
    <w:name w:val="footer"/>
    <w:basedOn w:val="Normal"/>
    <w:link w:val="FooterChar"/>
    <w:uiPriority w:val="99"/>
    <w:unhideWhenUsed/>
    <w:rsid w:val="00105675"/>
    <w:pPr>
      <w:tabs>
        <w:tab w:val="center" w:pos="4680"/>
        <w:tab w:val="right" w:pos="9360"/>
      </w:tabs>
      <w:spacing w:line="240" w:lineRule="auto"/>
    </w:pPr>
  </w:style>
  <w:style w:type="character" w:customStyle="1" w:styleId="FooterChar">
    <w:name w:val="Footer Char"/>
    <w:basedOn w:val="DefaultParagraphFont"/>
    <w:link w:val="Footer"/>
    <w:uiPriority w:val="99"/>
    <w:rsid w:val="00105675"/>
  </w:style>
  <w:style w:type="character" w:styleId="Hyperlink">
    <w:name w:val="Hyperlink"/>
    <w:basedOn w:val="DefaultParagraphFont"/>
    <w:uiPriority w:val="99"/>
    <w:unhideWhenUsed/>
    <w:rsid w:val="00105675"/>
    <w:rPr>
      <w:color w:val="0000FF" w:themeColor="hyperlink"/>
      <w:u w:val="single"/>
    </w:rPr>
  </w:style>
  <w:style w:type="paragraph" w:styleId="BalloonText">
    <w:name w:val="Balloon Text"/>
    <w:basedOn w:val="Normal"/>
    <w:link w:val="BalloonTextChar"/>
    <w:uiPriority w:val="99"/>
    <w:semiHidden/>
    <w:unhideWhenUsed/>
    <w:rsid w:val="001056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675"/>
    <w:rPr>
      <w:rFonts w:ascii="Tahoma" w:hAnsi="Tahoma" w:cs="Tahoma"/>
      <w:sz w:val="16"/>
      <w:szCs w:val="16"/>
    </w:rPr>
  </w:style>
  <w:style w:type="paragraph" w:customStyle="1" w:styleId="noparagraphstyle">
    <w:name w:val="noparagraphstyle"/>
    <w:basedOn w:val="Normal"/>
    <w:rsid w:val="003158D3"/>
    <w:pPr>
      <w:autoSpaceDE w:val="0"/>
      <w:autoSpaceDN w:val="0"/>
      <w:spacing w:line="288"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158D3"/>
    <w:pPr>
      <w:ind w:left="720"/>
      <w:contextualSpacing/>
    </w:pPr>
  </w:style>
  <w:style w:type="character" w:customStyle="1" w:styleId="Heading1Char">
    <w:name w:val="Heading 1 Char"/>
    <w:basedOn w:val="DefaultParagraphFont"/>
    <w:link w:val="Heading1"/>
    <w:uiPriority w:val="9"/>
    <w:rsid w:val="00B03AE2"/>
    <w:rPr>
      <w:rFonts w:ascii="Arial Black" w:eastAsiaTheme="majorEastAsia" w:hAnsi="Arial Black" w:cstheme="majorBidi"/>
      <w:b/>
      <w:bCs/>
      <w:color w:val="1F4D7F"/>
      <w:sz w:val="44"/>
      <w:szCs w:val="44"/>
    </w:rPr>
  </w:style>
  <w:style w:type="character" w:customStyle="1" w:styleId="Heading2Char">
    <w:name w:val="Heading 2 Char"/>
    <w:basedOn w:val="DefaultParagraphFont"/>
    <w:link w:val="Heading2"/>
    <w:uiPriority w:val="9"/>
    <w:rsid w:val="008207CE"/>
    <w:rPr>
      <w:rFonts w:ascii="Arial Black" w:eastAsiaTheme="majorEastAsia" w:hAnsi="Arial Black" w:cstheme="majorBidi"/>
      <w:b/>
      <w:bCs/>
      <w:color w:val="1F4D7F"/>
      <w:sz w:val="26"/>
      <w:szCs w:val="26"/>
    </w:rPr>
  </w:style>
  <w:style w:type="character" w:customStyle="1" w:styleId="Heading3Char">
    <w:name w:val="Heading 3 Char"/>
    <w:basedOn w:val="DefaultParagraphFont"/>
    <w:link w:val="Heading3"/>
    <w:uiPriority w:val="9"/>
    <w:rsid w:val="008207CE"/>
    <w:rPr>
      <w:rFonts w:ascii="Arial Black" w:hAnsi="Arial Black"/>
      <w:b/>
      <w:i/>
      <w:color w:val="1F4D7F"/>
    </w:rPr>
  </w:style>
  <w:style w:type="character" w:customStyle="1" w:styleId="Heading4Char">
    <w:name w:val="Heading 4 Char"/>
    <w:basedOn w:val="DefaultParagraphFont"/>
    <w:link w:val="Heading4"/>
    <w:uiPriority w:val="9"/>
    <w:rsid w:val="00BC2B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0115A"/>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B3339D"/>
    <w:rPr>
      <w:sz w:val="16"/>
      <w:szCs w:val="16"/>
    </w:rPr>
  </w:style>
  <w:style w:type="paragraph" w:styleId="CommentText">
    <w:name w:val="annotation text"/>
    <w:basedOn w:val="Normal"/>
    <w:link w:val="CommentTextChar"/>
    <w:uiPriority w:val="99"/>
    <w:semiHidden/>
    <w:unhideWhenUsed/>
    <w:rsid w:val="00B3339D"/>
    <w:pPr>
      <w:spacing w:line="240" w:lineRule="auto"/>
    </w:pPr>
    <w:rPr>
      <w:sz w:val="20"/>
      <w:szCs w:val="20"/>
    </w:rPr>
  </w:style>
  <w:style w:type="character" w:customStyle="1" w:styleId="CommentTextChar">
    <w:name w:val="Comment Text Char"/>
    <w:basedOn w:val="DefaultParagraphFont"/>
    <w:link w:val="CommentText"/>
    <w:uiPriority w:val="99"/>
    <w:semiHidden/>
    <w:rsid w:val="00B3339D"/>
    <w:rPr>
      <w:sz w:val="20"/>
      <w:szCs w:val="20"/>
    </w:rPr>
  </w:style>
  <w:style w:type="paragraph" w:styleId="CommentSubject">
    <w:name w:val="annotation subject"/>
    <w:basedOn w:val="CommentText"/>
    <w:next w:val="CommentText"/>
    <w:link w:val="CommentSubjectChar"/>
    <w:uiPriority w:val="99"/>
    <w:semiHidden/>
    <w:unhideWhenUsed/>
    <w:rsid w:val="00B3339D"/>
    <w:rPr>
      <w:b/>
      <w:bCs/>
    </w:rPr>
  </w:style>
  <w:style w:type="character" w:customStyle="1" w:styleId="CommentSubjectChar">
    <w:name w:val="Comment Subject Char"/>
    <w:basedOn w:val="CommentTextChar"/>
    <w:link w:val="CommentSubject"/>
    <w:uiPriority w:val="99"/>
    <w:semiHidden/>
    <w:rsid w:val="00B3339D"/>
    <w:rPr>
      <w:b/>
      <w:bCs/>
      <w:sz w:val="20"/>
      <w:szCs w:val="20"/>
    </w:rPr>
  </w:style>
  <w:style w:type="table" w:styleId="TableGrid">
    <w:name w:val="Table Grid"/>
    <w:basedOn w:val="TableNormal"/>
    <w:uiPriority w:val="59"/>
    <w:rsid w:val="00477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77F4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477F4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BC1143"/>
    <w:pPr>
      <w:spacing w:line="240" w:lineRule="auto"/>
    </w:pPr>
    <w:rPr>
      <w:sz w:val="20"/>
      <w:szCs w:val="20"/>
    </w:rPr>
  </w:style>
  <w:style w:type="character" w:customStyle="1" w:styleId="FootnoteTextChar">
    <w:name w:val="Footnote Text Char"/>
    <w:basedOn w:val="DefaultParagraphFont"/>
    <w:link w:val="FootnoteText"/>
    <w:uiPriority w:val="99"/>
    <w:semiHidden/>
    <w:rsid w:val="00BC1143"/>
    <w:rPr>
      <w:sz w:val="20"/>
      <w:szCs w:val="20"/>
    </w:rPr>
  </w:style>
  <w:style w:type="character" w:styleId="FootnoteReference">
    <w:name w:val="footnote reference"/>
    <w:basedOn w:val="DefaultParagraphFont"/>
    <w:uiPriority w:val="99"/>
    <w:semiHidden/>
    <w:unhideWhenUsed/>
    <w:rsid w:val="00BC1143"/>
    <w:rPr>
      <w:vertAlign w:val="superscript"/>
    </w:rPr>
  </w:style>
  <w:style w:type="paragraph" w:styleId="Subtitle">
    <w:name w:val="Subtitle"/>
    <w:basedOn w:val="Normal"/>
    <w:next w:val="Normal"/>
    <w:link w:val="SubtitleChar"/>
    <w:uiPriority w:val="11"/>
    <w:qFormat/>
    <w:rsid w:val="000E01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01F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29317562">
      <w:bodyDiv w:val="1"/>
      <w:marLeft w:val="0"/>
      <w:marRight w:val="0"/>
      <w:marTop w:val="0"/>
      <w:marBottom w:val="0"/>
      <w:divBdr>
        <w:top w:val="none" w:sz="0" w:space="0" w:color="auto"/>
        <w:left w:val="none" w:sz="0" w:space="0" w:color="auto"/>
        <w:bottom w:val="none" w:sz="0" w:space="0" w:color="auto"/>
        <w:right w:val="none" w:sz="0" w:space="0" w:color="auto"/>
      </w:divBdr>
    </w:div>
    <w:div w:id="1135414142">
      <w:bodyDiv w:val="1"/>
      <w:marLeft w:val="0"/>
      <w:marRight w:val="0"/>
      <w:marTop w:val="0"/>
      <w:marBottom w:val="0"/>
      <w:divBdr>
        <w:top w:val="none" w:sz="0" w:space="0" w:color="auto"/>
        <w:left w:val="none" w:sz="0" w:space="0" w:color="auto"/>
        <w:bottom w:val="none" w:sz="0" w:space="0" w:color="auto"/>
        <w:right w:val="none" w:sz="0" w:space="0" w:color="auto"/>
      </w:divBdr>
    </w:div>
    <w:div w:id="1421490046">
      <w:bodyDiv w:val="1"/>
      <w:marLeft w:val="0"/>
      <w:marRight w:val="0"/>
      <w:marTop w:val="0"/>
      <w:marBottom w:val="0"/>
      <w:divBdr>
        <w:top w:val="none" w:sz="0" w:space="0" w:color="auto"/>
        <w:left w:val="none" w:sz="0" w:space="0" w:color="auto"/>
        <w:bottom w:val="none" w:sz="0" w:space="0" w:color="auto"/>
        <w:right w:val="none" w:sz="0" w:space="0" w:color="auto"/>
      </w:divBdr>
    </w:div>
    <w:div w:id="17452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popest/" TargetMode="External"/><Relationship Id="rId2" Type="http://schemas.openxmlformats.org/officeDocument/2006/relationships/hyperlink" Target="http://www.ahaonlinestore.com/ProductDisplay.asp?ProductID=637" TargetMode="External"/><Relationship Id="rId1" Type="http://schemas.openxmlformats.org/officeDocument/2006/relationships/hyperlink" Target="http://kff.org/stat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582FA0-7939-42AE-9BE9-0D0E8180C206}"/>
</file>

<file path=customXml/itemProps2.xml><?xml version="1.0" encoding="utf-8"?>
<ds:datastoreItem xmlns:ds="http://schemas.openxmlformats.org/officeDocument/2006/customXml" ds:itemID="{CAAC8BFF-D77C-40A5-AB8F-4B95EFB0BAA9}"/>
</file>

<file path=customXml/itemProps3.xml><?xml version="1.0" encoding="utf-8"?>
<ds:datastoreItem xmlns:ds="http://schemas.openxmlformats.org/officeDocument/2006/customXml" ds:itemID="{D8B0838B-EEBD-474E-A255-9E5152191DCC}"/>
</file>

<file path=customXml/itemProps4.xml><?xml version="1.0" encoding="utf-8"?>
<ds:datastoreItem xmlns:ds="http://schemas.openxmlformats.org/officeDocument/2006/customXml" ds:itemID="{3BD7330A-D0FB-426C-8162-CCD2D7CEA6F4}"/>
</file>

<file path=docProps/app.xml><?xml version="1.0" encoding="utf-8"?>
<Properties xmlns="http://schemas.openxmlformats.org/officeDocument/2006/extended-properties" xmlns:vt="http://schemas.openxmlformats.org/officeDocument/2006/docPropsVTypes">
  <Template>Normal.dotm</Template>
  <TotalTime>2</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Horrocks</dc:creator>
  <cp:lastModifiedBy>Donna Kinzer</cp:lastModifiedBy>
  <cp:revision>2</cp:revision>
  <cp:lastPrinted>2014-03-14T18:02:00Z</cp:lastPrinted>
  <dcterms:created xsi:type="dcterms:W3CDTF">2014-03-16T11:34:00Z</dcterms:created>
  <dcterms:modified xsi:type="dcterms:W3CDTF">2014-03-16T11:34:00Z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