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B51" w:rsidRDefault="00C34B51"/>
    <w:p w:rsidR="00C34B51" w:rsidRDefault="00C34B51" w:rsidP="00C34B51"/>
    <w:p w:rsidR="00C34B51" w:rsidRPr="00C34B51" w:rsidRDefault="00C34B51" w:rsidP="00C34B51"/>
    <w:p w:rsidR="00C34B51" w:rsidRPr="00C34B51" w:rsidRDefault="00C34B51" w:rsidP="00C34B51"/>
    <w:p w:rsidR="00C34B51" w:rsidRPr="00C34B51" w:rsidRDefault="00C34B51" w:rsidP="00C34B51">
      <w:pPr>
        <w:rPr>
          <w:sz w:val="28"/>
          <w:szCs w:val="28"/>
        </w:rPr>
      </w:pPr>
    </w:p>
    <w:p w:rsidR="00C34B51" w:rsidRPr="00C34B51" w:rsidRDefault="00C34B51" w:rsidP="00C34B51"/>
    <w:p w:rsidR="00C34B51" w:rsidRPr="00C34B51" w:rsidRDefault="00C34B51" w:rsidP="00C34B51"/>
    <w:p w:rsidR="00C34B51" w:rsidRPr="00C34B51" w:rsidRDefault="00C34B51" w:rsidP="00C34B51"/>
    <w:p w:rsidR="00C34B51" w:rsidRDefault="00C34B51" w:rsidP="00C34B51">
      <w:pPr>
        <w:tabs>
          <w:tab w:val="left" w:pos="358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RY 2021 MHAC Program Potentially Preventable Complications: </w:t>
      </w:r>
    </w:p>
    <w:p w:rsidR="00C34B51" w:rsidRPr="00C34B51" w:rsidRDefault="00C34B51" w:rsidP="00C34B51">
      <w:pPr>
        <w:tabs>
          <w:tab w:val="left" w:pos="358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Rate and Variation Detail</w:t>
      </w:r>
    </w:p>
    <w:p w:rsidR="00930905" w:rsidRPr="00C34B51" w:rsidRDefault="00C34B51" w:rsidP="00C34B51">
      <w:pPr>
        <w:tabs>
          <w:tab w:val="left" w:pos="3589"/>
        </w:tabs>
        <w:jc w:val="center"/>
        <w:sectPr w:rsidR="00930905" w:rsidRPr="00C34B51" w:rsidSect="00F3506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t>Prepared for December 19, 2018 Performance Measurement Work Group</w:t>
      </w:r>
      <w:r w:rsidR="00482FC4">
        <w:t xml:space="preserve"> Meeting</w:t>
      </w:r>
    </w:p>
    <w:p w:rsidR="00930905" w:rsidRDefault="00D157E1">
      <w:r>
        <w:t>PPC List</w:t>
      </w:r>
    </w:p>
    <w:tbl>
      <w:tblPr>
        <w:tblW w:w="13563" w:type="dxa"/>
        <w:tblLayout w:type="fixed"/>
        <w:tblLook w:val="04A0" w:firstRow="1" w:lastRow="0" w:firstColumn="1" w:lastColumn="0" w:noHBand="0" w:noVBand="1"/>
      </w:tblPr>
      <w:tblGrid>
        <w:gridCol w:w="715"/>
        <w:gridCol w:w="2700"/>
        <w:gridCol w:w="1170"/>
        <w:gridCol w:w="1260"/>
        <w:gridCol w:w="1350"/>
        <w:gridCol w:w="1473"/>
        <w:gridCol w:w="1407"/>
        <w:gridCol w:w="3488"/>
      </w:tblGrid>
      <w:tr w:rsidR="00930905" w:rsidRPr="00141C02" w:rsidTr="00930905">
        <w:trPr>
          <w:trHeight w:val="218"/>
          <w:tblHeader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0905" w:rsidRPr="00141C02" w:rsidRDefault="00930905" w:rsidP="00141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PPC #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0905" w:rsidRPr="00141C02" w:rsidRDefault="00930905" w:rsidP="00141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41C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PPC Description 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0905" w:rsidRPr="00141C02" w:rsidRDefault="00930905" w:rsidP="00141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41C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Eligible Hospitals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0905" w:rsidRDefault="00930905" w:rsidP="00141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41C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Observed PPCs</w:t>
            </w:r>
          </w:p>
          <w:p w:rsidR="00930905" w:rsidRPr="00141C02" w:rsidRDefault="00930905" w:rsidP="00141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(2 yrs)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0905" w:rsidRDefault="00930905" w:rsidP="00141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41C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At Risk Discharges</w:t>
            </w:r>
          </w:p>
          <w:p w:rsidR="00930905" w:rsidRPr="00141C02" w:rsidRDefault="00930905" w:rsidP="00141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(2 yrs)</w:t>
            </w:r>
            <w:r w:rsidRPr="00141C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0905" w:rsidRPr="00141C02" w:rsidRDefault="00930905" w:rsidP="00141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41C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Obs/At-Risk*1,000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0905" w:rsidRPr="00141C02" w:rsidRDefault="00930905" w:rsidP="00930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41C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3M v33 PPC Wt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-B</w:t>
            </w:r>
            <w:r w:rsidRPr="00141C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ased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</w:t>
            </w:r>
            <w:r w:rsidRPr="00141C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arginal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</w:t>
            </w:r>
            <w:r w:rsidRPr="00141C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ost</w:t>
            </w:r>
          </w:p>
        </w:tc>
        <w:tc>
          <w:tcPr>
            <w:tcW w:w="34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30905" w:rsidRPr="00141C02" w:rsidRDefault="00930905" w:rsidP="00141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41C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HSCRC Staff Recommendation</w:t>
            </w:r>
          </w:p>
        </w:tc>
      </w:tr>
      <w:tr w:rsidR="00930905" w:rsidRPr="00141C02" w:rsidTr="00930905">
        <w:trPr>
          <w:trHeight w:val="218"/>
          <w:tblHeader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30905" w:rsidRDefault="00930905" w:rsidP="00141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930905" w:rsidRPr="00141C02" w:rsidRDefault="00930905" w:rsidP="00141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930905" w:rsidRPr="00141C02" w:rsidRDefault="00930905" w:rsidP="00141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930905" w:rsidRPr="00141C02" w:rsidRDefault="00930905" w:rsidP="00141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930905" w:rsidRPr="00141C02" w:rsidRDefault="00930905" w:rsidP="00141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30905" w:rsidRPr="00930905" w:rsidRDefault="00930905" w:rsidP="00141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41C02">
              <w:rPr>
                <w:rFonts w:ascii="Calibri" w:eastAsia="Times New Roman" w:hAnsi="Calibri" w:cs="Calibri"/>
                <w:b/>
                <w:color w:val="000000"/>
              </w:rPr>
              <w:t>Rate &gt;1.0 per 1,000</w:t>
            </w:r>
          </w:p>
        </w:tc>
        <w:tc>
          <w:tcPr>
            <w:tcW w:w="1407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930905" w:rsidRPr="00141C02" w:rsidRDefault="00930905" w:rsidP="00930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88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930905" w:rsidRPr="00141C02" w:rsidRDefault="00930905" w:rsidP="00141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0905" w:rsidRPr="00141C02" w:rsidTr="00930905">
        <w:trPr>
          <w:trHeight w:val="467"/>
          <w:tblHeader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30905" w:rsidRDefault="00930905" w:rsidP="00141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30905" w:rsidRPr="00141C02" w:rsidRDefault="00930905" w:rsidP="00141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30905" w:rsidRPr="00141C02" w:rsidRDefault="00930905" w:rsidP="00141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30905" w:rsidRPr="00141C02" w:rsidRDefault="00930905" w:rsidP="00141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30905" w:rsidRPr="00141C02" w:rsidRDefault="00930905" w:rsidP="00141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930905" w:rsidRPr="00930905" w:rsidRDefault="00930905" w:rsidP="00141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41C02">
              <w:rPr>
                <w:rFonts w:ascii="Calibri" w:eastAsia="Times New Roman" w:hAnsi="Calibri" w:cs="Calibri"/>
                <w:b/>
                <w:color w:val="000000"/>
              </w:rPr>
              <w:t>Rate &gt;0.5 per 1,000</w:t>
            </w:r>
          </w:p>
        </w:tc>
        <w:tc>
          <w:tcPr>
            <w:tcW w:w="1407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930905" w:rsidRPr="00141C02" w:rsidRDefault="00930905" w:rsidP="00930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30905" w:rsidRPr="00141C02" w:rsidRDefault="00930905" w:rsidP="00141C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291D" w:rsidRPr="00141C02" w:rsidTr="00930905">
        <w:trPr>
          <w:trHeight w:val="147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41C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41C0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Acute Pulmonary Edema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and Resp Failure w/o </w:t>
            </w:r>
            <w:r w:rsidRPr="00141C0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Ventilation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1238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696950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1.78</w:t>
            </w:r>
          </w:p>
        </w:tc>
        <w:tc>
          <w:tcPr>
            <w:tcW w:w="140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41C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0.7958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91D" w:rsidRDefault="004F291D" w:rsidP="004F2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 xml:space="preserve">Meets rate and variation criteria. </w:t>
            </w:r>
            <w:r w:rsidR="00482FC4">
              <w:rPr>
                <w:rFonts w:ascii="Calibri" w:eastAsia="Times New Roman" w:hAnsi="Calibri" w:cs="Calibri"/>
                <w:color w:val="000000"/>
              </w:rPr>
              <w:t xml:space="preserve">Clinically supported. </w:t>
            </w:r>
            <w:r>
              <w:rPr>
                <w:rFonts w:ascii="Calibri" w:eastAsia="Times New Roman" w:hAnsi="Calibri" w:cs="Calibri"/>
                <w:color w:val="000000"/>
              </w:rPr>
              <w:t>S</w:t>
            </w:r>
            <w:r w:rsidRPr="00141C02">
              <w:rPr>
                <w:rFonts w:ascii="Calibri" w:eastAsia="Times New Roman" w:hAnsi="Calibri" w:cs="Calibri"/>
                <w:color w:val="000000"/>
              </w:rPr>
              <w:t xml:space="preserve">mall overlap with PSI 11 Postoperative Respiratory Failure. PSI is limited to post-operative patients but PPC applies to broader patient population. </w:t>
            </w:r>
          </w:p>
          <w:p w:rsidR="004F291D" w:rsidRPr="00141C02" w:rsidRDefault="004F291D" w:rsidP="004F2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Include in payment program</w:t>
            </w:r>
          </w:p>
        </w:tc>
      </w:tr>
      <w:tr w:rsidR="004F291D" w:rsidRPr="00141C02" w:rsidTr="00930905">
        <w:trPr>
          <w:trHeight w:val="147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41C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41C0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Acute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Pulmonary Edema, Resp Failure w/v</w:t>
            </w:r>
            <w:r w:rsidRPr="00141C0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entilation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848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698946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1.21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41C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2.7409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05" w:rsidRDefault="004F291D" w:rsidP="004F2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 xml:space="preserve">Meets rate and variation criteria. </w:t>
            </w:r>
            <w:r w:rsidR="00482FC4">
              <w:rPr>
                <w:rFonts w:ascii="Calibri" w:eastAsia="Times New Roman" w:hAnsi="Calibri" w:cs="Calibri"/>
                <w:color w:val="000000"/>
              </w:rPr>
              <w:t xml:space="preserve">Clinically supported. </w:t>
            </w:r>
            <w:r>
              <w:rPr>
                <w:rFonts w:ascii="Calibri" w:eastAsia="Times New Roman" w:hAnsi="Calibri" w:cs="Calibri"/>
                <w:color w:val="000000"/>
              </w:rPr>
              <w:t>Sma</w:t>
            </w:r>
            <w:r w:rsidRPr="00141C02">
              <w:rPr>
                <w:rFonts w:ascii="Calibri" w:eastAsia="Times New Roman" w:hAnsi="Calibri" w:cs="Calibri"/>
                <w:color w:val="000000"/>
              </w:rPr>
              <w:t xml:space="preserve">ll overlap with PSI 11 Postoperative Respiratory Failure. PSI is limited to post-operative patients but PPC applies to broader patient population. </w:t>
            </w:r>
          </w:p>
          <w:p w:rsidR="004F291D" w:rsidRPr="00141C02" w:rsidRDefault="004F291D" w:rsidP="004F2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Include in payment program</w:t>
            </w:r>
          </w:p>
        </w:tc>
      </w:tr>
      <w:tr w:rsidR="004F291D" w:rsidRPr="00141C02" w:rsidTr="00930905">
        <w:trPr>
          <w:trHeight w:val="2258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41C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41C0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Pulmonary Embolism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407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824106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0.49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41C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1.3671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91D" w:rsidRDefault="004F291D" w:rsidP="004F2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Nearly meets rate criteria and has variation. C</w:t>
            </w:r>
            <w:r>
              <w:rPr>
                <w:rFonts w:ascii="Calibri" w:eastAsia="Times New Roman" w:hAnsi="Calibri" w:cs="Calibri"/>
                <w:color w:val="000000"/>
              </w:rPr>
              <w:t>linically preventable with well-</w:t>
            </w:r>
            <w:r w:rsidRPr="00141C02">
              <w:rPr>
                <w:rFonts w:ascii="Calibri" w:eastAsia="Times New Roman" w:hAnsi="Calibri" w:cs="Calibri"/>
                <w:color w:val="000000"/>
              </w:rPr>
              <w:t xml:space="preserve">defined interventions.  Overlap 25% with PSI 12 Perioperative Pulmonary Embolism and Deep Vein Thrombosis but PPC includes broader patient population. DRA HAC is measured only in patients with total knee or hip replacements. </w:t>
            </w:r>
          </w:p>
          <w:p w:rsidR="004F291D" w:rsidRPr="00141C02" w:rsidRDefault="004F291D" w:rsidP="004F2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Include in payment program.</w:t>
            </w:r>
          </w:p>
        </w:tc>
      </w:tr>
      <w:tr w:rsidR="004F291D" w:rsidRPr="00141C02" w:rsidTr="00930905">
        <w:trPr>
          <w:trHeight w:val="6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41C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41C0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Shock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984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833605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1.18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41C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1.5133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91D" w:rsidRDefault="004F291D" w:rsidP="004F2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 xml:space="preserve">Meets rate criteria and has variation Clinically preventable. </w:t>
            </w:r>
          </w:p>
          <w:p w:rsidR="004F291D" w:rsidRPr="00141C02" w:rsidRDefault="004F291D" w:rsidP="004F2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Include in payment program.</w:t>
            </w:r>
          </w:p>
        </w:tc>
      </w:tr>
      <w:tr w:rsidR="004F291D" w:rsidRPr="00141C02" w:rsidTr="00930905">
        <w:trPr>
          <w:trHeight w:val="205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41C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41C0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Venous Thrombosis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297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822712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0.36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41C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1.4346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91D" w:rsidRDefault="004F291D" w:rsidP="004F2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Below rate thr</w:t>
            </w:r>
            <w:r w:rsidR="00482FC4">
              <w:rPr>
                <w:rFonts w:ascii="Calibri" w:eastAsia="Times New Roman" w:hAnsi="Calibri" w:cs="Calibri"/>
                <w:color w:val="000000"/>
              </w:rPr>
              <w:t>eshold but has variation. C</w:t>
            </w:r>
            <w:r>
              <w:rPr>
                <w:rFonts w:ascii="Calibri" w:eastAsia="Times New Roman" w:hAnsi="Calibri" w:cs="Calibri"/>
                <w:color w:val="000000"/>
              </w:rPr>
              <w:t>linically preventable with well-</w:t>
            </w:r>
            <w:r w:rsidRPr="00141C02">
              <w:rPr>
                <w:rFonts w:ascii="Calibri" w:eastAsia="Times New Roman" w:hAnsi="Calibri" w:cs="Calibri"/>
                <w:color w:val="000000"/>
              </w:rPr>
              <w:t xml:space="preserve">defined interventions.  Some overlap with PPC 12 but PPC rate is lower </w:t>
            </w:r>
            <w:r w:rsidR="00C34B51">
              <w:rPr>
                <w:rFonts w:ascii="Calibri" w:eastAsia="Times New Roman" w:hAnsi="Calibri" w:cs="Calibri"/>
                <w:color w:val="000000"/>
              </w:rPr>
              <w:t xml:space="preserve">but with </w:t>
            </w:r>
            <w:r w:rsidRPr="00141C02">
              <w:rPr>
                <w:rFonts w:ascii="Calibri" w:eastAsia="Times New Roman" w:hAnsi="Calibri" w:cs="Calibri"/>
                <w:color w:val="000000"/>
              </w:rPr>
              <w:t>applicability to a broader population. DRA HAC is measured only in patients with total knee or hip replacements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  <w:r w:rsidRPr="00141C0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:rsidR="004F291D" w:rsidRPr="00141C02" w:rsidRDefault="004F291D" w:rsidP="004F2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Include in the payment program.</w:t>
            </w:r>
          </w:p>
        </w:tc>
      </w:tr>
      <w:tr w:rsidR="004F291D" w:rsidRPr="00141C02" w:rsidTr="00930905">
        <w:trPr>
          <w:trHeight w:val="234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41C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41C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In-Hospital Trauma and Fractures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827456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0.13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41C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0.3353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91D" w:rsidRPr="00141C02" w:rsidRDefault="00851754" w:rsidP="00851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</w:t>
            </w:r>
            <w:r w:rsidRPr="00141C02">
              <w:rPr>
                <w:rFonts w:ascii="Calibri" w:eastAsia="Times New Roman" w:hAnsi="Calibri" w:cs="Calibri"/>
                <w:color w:val="000000"/>
              </w:rPr>
              <w:t xml:space="preserve">n hospital injuries are highly preventable and serious. </w:t>
            </w:r>
            <w:r w:rsidR="004F291D" w:rsidRPr="00141C02">
              <w:rPr>
                <w:rFonts w:ascii="Calibri" w:eastAsia="Times New Roman" w:hAnsi="Calibri" w:cs="Calibri"/>
                <w:color w:val="000000"/>
              </w:rPr>
              <w:t>PPC include</w:t>
            </w:r>
            <w:r>
              <w:rPr>
                <w:rFonts w:ascii="Calibri" w:eastAsia="Times New Roman" w:hAnsi="Calibri" w:cs="Calibri"/>
                <w:color w:val="000000"/>
              </w:rPr>
              <w:t>s more injury types than PSI 08</w:t>
            </w:r>
            <w:r w:rsidR="004F291D" w:rsidRPr="00141C02">
              <w:rPr>
                <w:rFonts w:ascii="Calibri" w:eastAsia="Times New Roman" w:hAnsi="Calibri" w:cs="Calibri"/>
                <w:color w:val="000000"/>
              </w:rPr>
              <w:t xml:space="preserve"> In Hospital Fall with Hip Fracture Rate but PPC rate is lower as it is applicable to a broader patient population.  DRA HAC applies to a broader set of in hospital injuries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="004F291D" w:rsidRPr="00141C02">
              <w:rPr>
                <w:rFonts w:ascii="Calibri" w:eastAsia="Times New Roman" w:hAnsi="Calibri" w:cs="Calibri"/>
                <w:color w:val="000000"/>
              </w:rPr>
              <w:t xml:space="preserve">Include in payment </w:t>
            </w:r>
            <w:r>
              <w:rPr>
                <w:rFonts w:ascii="Calibri" w:eastAsia="Times New Roman" w:hAnsi="Calibri" w:cs="Calibri"/>
                <w:color w:val="000000"/>
              </w:rPr>
              <w:t>program.</w:t>
            </w:r>
          </w:p>
        </w:tc>
      </w:tr>
      <w:tr w:rsidR="004F291D" w:rsidRPr="00141C02" w:rsidTr="00930905">
        <w:trPr>
          <w:trHeight w:val="719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41C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41C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Septicemia &amp; Severe Infections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801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289205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2.77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41C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1.3722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754" w:rsidRDefault="004F291D" w:rsidP="004F2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 xml:space="preserve">Meets rate and variation criteria. Clinically important. </w:t>
            </w:r>
          </w:p>
          <w:p w:rsidR="004F291D" w:rsidRPr="00141C02" w:rsidRDefault="004F291D" w:rsidP="004F2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Include in payment program.</w:t>
            </w:r>
          </w:p>
        </w:tc>
      </w:tr>
      <w:tr w:rsidR="004F291D" w:rsidRPr="00141C02" w:rsidTr="00930905">
        <w:trPr>
          <w:trHeight w:val="152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41C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41C0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Post-Operative Infection &amp; Deep Wound Disruption Without Procedure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319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128674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2.48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41C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1.2701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FC4" w:rsidRDefault="004F291D" w:rsidP="00482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 xml:space="preserve">Meets rate and variation criteria. </w:t>
            </w:r>
            <w:r w:rsidR="00482FC4">
              <w:rPr>
                <w:rFonts w:ascii="Calibri" w:eastAsia="Times New Roman" w:hAnsi="Calibri" w:cs="Calibri"/>
                <w:color w:val="000000"/>
              </w:rPr>
              <w:t xml:space="preserve">Clinically preventable. </w:t>
            </w:r>
            <w:r w:rsidRPr="00141C02">
              <w:rPr>
                <w:rFonts w:ascii="Calibri" w:eastAsia="Times New Roman" w:hAnsi="Calibri" w:cs="Calibri"/>
                <w:color w:val="000000"/>
              </w:rPr>
              <w:t>Overlaps slightly with PSI 14- Postop Wound Dehis</w:t>
            </w:r>
            <w:r w:rsidR="00482FC4">
              <w:rPr>
                <w:rFonts w:ascii="Calibri" w:eastAsia="Times New Roman" w:hAnsi="Calibri" w:cs="Calibri"/>
                <w:color w:val="000000"/>
              </w:rPr>
              <w:t>c</w:t>
            </w:r>
            <w:r w:rsidRPr="00141C02">
              <w:rPr>
                <w:rFonts w:ascii="Calibri" w:eastAsia="Times New Roman" w:hAnsi="Calibri" w:cs="Calibri"/>
                <w:color w:val="000000"/>
              </w:rPr>
              <w:t>ence, and with NHSN SSI and with DRA HAC but PPC is br</w:t>
            </w:r>
            <w:r w:rsidR="00482FC4">
              <w:rPr>
                <w:rFonts w:ascii="Calibri" w:eastAsia="Times New Roman" w:hAnsi="Calibri" w:cs="Calibri"/>
                <w:color w:val="000000"/>
              </w:rPr>
              <w:t>o</w:t>
            </w:r>
            <w:r w:rsidRPr="00141C02">
              <w:rPr>
                <w:rFonts w:ascii="Calibri" w:eastAsia="Times New Roman" w:hAnsi="Calibri" w:cs="Calibri"/>
                <w:color w:val="000000"/>
              </w:rPr>
              <w:t xml:space="preserve">ader in scope. </w:t>
            </w:r>
          </w:p>
          <w:p w:rsidR="004F291D" w:rsidRPr="00141C02" w:rsidRDefault="00482FC4" w:rsidP="00482F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Include in payment program.</w:t>
            </w:r>
            <w:r w:rsidR="004F291D" w:rsidRPr="00141C0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4F291D" w:rsidRPr="00141C02" w:rsidTr="00930905">
        <w:trPr>
          <w:trHeight w:val="234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41C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41C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Post-Operative Hemorrhage &amp; Hematoma without Hemorrhage Control Procedure or I&amp;D Proc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1067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306410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3.48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41C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0.5881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F291D" w:rsidRDefault="004F291D" w:rsidP="004F2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Meets rate and variation</w:t>
            </w:r>
            <w:r w:rsidR="00482FC4">
              <w:rPr>
                <w:rFonts w:ascii="Calibri" w:eastAsia="Times New Roman" w:hAnsi="Calibri" w:cs="Calibri"/>
                <w:color w:val="000000"/>
              </w:rPr>
              <w:t xml:space="preserve"> criteria. Overlap with PSI 15 </w:t>
            </w:r>
            <w:r w:rsidRPr="00141C02">
              <w:rPr>
                <w:rFonts w:ascii="Calibri" w:eastAsia="Times New Roman" w:hAnsi="Calibri" w:cs="Calibri"/>
                <w:color w:val="000000"/>
              </w:rPr>
              <w:t>Unrecognized Abdominopelvic Accidental Puncture or Laceration Rate. PPC is applicable to a much broader patient population but has a lower rate. Include in the payment program.</w:t>
            </w:r>
            <w:r w:rsidRPr="00141C02">
              <w:rPr>
                <w:rFonts w:ascii="Calibri" w:eastAsia="Times New Roman" w:hAnsi="Calibri" w:cs="Calibri"/>
                <w:color w:val="000000"/>
              </w:rPr>
              <w:br/>
            </w:r>
            <w:r w:rsidRPr="00141C02">
              <w:rPr>
                <w:rFonts w:ascii="Calibri" w:eastAsia="Times New Roman" w:hAnsi="Calibri" w:cs="Calibri"/>
                <w:b/>
                <w:color w:val="FF0000"/>
              </w:rPr>
              <w:t>POST SUBGROUP:</w:t>
            </w:r>
            <w:r w:rsidRPr="00141C02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Pr="00141C02">
              <w:rPr>
                <w:rFonts w:ascii="Calibri" w:eastAsia="Times New Roman" w:hAnsi="Calibri" w:cs="Calibri"/>
                <w:color w:val="000000"/>
              </w:rPr>
              <w:t xml:space="preserve"> Clinicians feel strongly there are coding issues and recom</w:t>
            </w:r>
            <w:r w:rsidR="00930905">
              <w:rPr>
                <w:rFonts w:ascii="Calibri" w:eastAsia="Times New Roman" w:hAnsi="Calibri" w:cs="Calibri"/>
                <w:color w:val="000000"/>
              </w:rPr>
              <w:t>mend removing.</w:t>
            </w:r>
          </w:p>
          <w:p w:rsidR="00930905" w:rsidRPr="00141C02" w:rsidRDefault="00930905" w:rsidP="004F2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Do not include in payment program.</w:t>
            </w:r>
          </w:p>
        </w:tc>
      </w:tr>
      <w:tr w:rsidR="004F291D" w:rsidRPr="00141C02" w:rsidTr="00930905">
        <w:trPr>
          <w:trHeight w:val="118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41C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91D" w:rsidRPr="00141C02" w:rsidRDefault="004F291D" w:rsidP="009309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41C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Post-Oper</w:t>
            </w:r>
            <w:r w:rsidR="0093090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ative Hemorrhage &amp; Hematoma w/ </w:t>
            </w:r>
            <w:r w:rsidRPr="00141C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Hemorrhage Control Procedure or I&amp;D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167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241162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41C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1.0951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05" w:rsidRDefault="004F291D" w:rsidP="004F2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 xml:space="preserve">Meets rate and variation criteria. </w:t>
            </w:r>
            <w:r w:rsidR="00851754">
              <w:rPr>
                <w:rFonts w:ascii="Calibri" w:eastAsia="Times New Roman" w:hAnsi="Calibri" w:cs="Calibri"/>
                <w:color w:val="000000"/>
              </w:rPr>
              <w:t xml:space="preserve">Clinically preventable. </w:t>
            </w:r>
            <w:r w:rsidRPr="00141C02">
              <w:rPr>
                <w:rFonts w:ascii="Calibri" w:eastAsia="Times New Roman" w:hAnsi="Calibri" w:cs="Calibri"/>
                <w:color w:val="000000"/>
              </w:rPr>
              <w:t>Overlap with PSI 09- Perioperative Hemorrhage or Hematoma Rate with PSI having similar applicability but higher rate.</w:t>
            </w:r>
          </w:p>
          <w:p w:rsidR="004F291D" w:rsidRPr="00141C02" w:rsidRDefault="004F291D" w:rsidP="004F2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 xml:space="preserve">Include in payment program. </w:t>
            </w:r>
          </w:p>
        </w:tc>
      </w:tr>
      <w:tr w:rsidR="004F291D" w:rsidRPr="00141C02" w:rsidTr="00930905">
        <w:trPr>
          <w:trHeight w:val="176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41C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41C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Accidental Puncture/Laceration During Invasive</w:t>
            </w:r>
            <w:r w:rsidRPr="00141C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br/>
              <w:t>Procedure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440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897351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0.49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41C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0.4466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905" w:rsidRDefault="004F291D" w:rsidP="004F2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 xml:space="preserve">Meets rate and variation criteria. </w:t>
            </w:r>
            <w:r w:rsidR="00851754">
              <w:rPr>
                <w:rFonts w:ascii="Calibri" w:eastAsia="Times New Roman" w:hAnsi="Calibri" w:cs="Calibri"/>
                <w:color w:val="000000"/>
              </w:rPr>
              <w:t xml:space="preserve">Clinically supported. </w:t>
            </w:r>
            <w:r w:rsidRPr="00141C02">
              <w:rPr>
                <w:rFonts w:ascii="Calibri" w:eastAsia="Times New Roman" w:hAnsi="Calibri" w:cs="Calibri"/>
                <w:color w:val="000000"/>
              </w:rPr>
              <w:t xml:space="preserve">Overlap with PSI 15 Unrecognized Abdominopelvic Accidental Puncture or Laceration Rate. PPC is applicable to a much broader patient population </w:t>
            </w:r>
            <w:r w:rsidR="00851754">
              <w:rPr>
                <w:rFonts w:ascii="Calibri" w:eastAsia="Times New Roman" w:hAnsi="Calibri" w:cs="Calibri"/>
                <w:color w:val="000000"/>
              </w:rPr>
              <w:t xml:space="preserve">so </w:t>
            </w:r>
            <w:r w:rsidRPr="00141C02">
              <w:rPr>
                <w:rFonts w:ascii="Calibri" w:eastAsia="Times New Roman" w:hAnsi="Calibri" w:cs="Calibri"/>
                <w:color w:val="000000"/>
              </w:rPr>
              <w:t xml:space="preserve">has a lower rate. </w:t>
            </w:r>
          </w:p>
          <w:p w:rsidR="004F291D" w:rsidRPr="00141C02" w:rsidRDefault="004F291D" w:rsidP="004F2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Include in the payment program.</w:t>
            </w:r>
          </w:p>
        </w:tc>
      </w:tr>
      <w:tr w:rsidR="004F291D" w:rsidRPr="00141C02" w:rsidTr="00930905">
        <w:trPr>
          <w:trHeight w:val="263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41C0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41C0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Iatrogenic Pneumoth</w:t>
            </w:r>
            <w:r w:rsidR="00482FC4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o</w:t>
            </w:r>
            <w:r w:rsidRPr="00141C0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rax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829953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0.19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41C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0.6090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91D" w:rsidRDefault="004F291D" w:rsidP="004F2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Does not meet rate criteria but observed events are &gt;100</w:t>
            </w:r>
            <w:r w:rsidR="00851754">
              <w:rPr>
                <w:rFonts w:ascii="Calibri" w:eastAsia="Times New Roman" w:hAnsi="Calibri" w:cs="Calibri"/>
                <w:color w:val="000000"/>
              </w:rPr>
              <w:t>.</w:t>
            </w:r>
            <w:r w:rsidRPr="00141C0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851754">
              <w:rPr>
                <w:rFonts w:ascii="Calibri" w:eastAsia="Times New Roman" w:hAnsi="Calibri" w:cs="Calibri"/>
                <w:color w:val="000000"/>
              </w:rPr>
              <w:t>T</w:t>
            </w:r>
            <w:r w:rsidR="00851754" w:rsidRPr="00141C02">
              <w:rPr>
                <w:rFonts w:ascii="Calibri" w:eastAsia="Times New Roman" w:hAnsi="Calibri" w:cs="Calibri"/>
                <w:color w:val="000000"/>
              </w:rPr>
              <w:t xml:space="preserve">his is an important clinical measure with national focus. </w:t>
            </w:r>
            <w:r w:rsidR="00851754">
              <w:rPr>
                <w:rFonts w:ascii="Calibri" w:eastAsia="Times New Roman" w:hAnsi="Calibri" w:cs="Calibri"/>
                <w:color w:val="000000"/>
              </w:rPr>
              <w:t>T</w:t>
            </w:r>
            <w:r w:rsidRPr="00141C02">
              <w:rPr>
                <w:rFonts w:ascii="Calibri" w:eastAsia="Times New Roman" w:hAnsi="Calibri" w:cs="Calibri"/>
                <w:color w:val="000000"/>
              </w:rPr>
              <w:t>here is hospital variation in performance, some PSI 06 Iatrogenic Pneumothorax Rate overlap andDRA HAC is applicable to patients with infusion catheter insertion procedures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only</w:t>
            </w:r>
            <w:r w:rsidRPr="00141C02">
              <w:rPr>
                <w:rFonts w:ascii="Calibri" w:eastAsia="Times New Roman" w:hAnsi="Calibri" w:cs="Calibri"/>
                <w:color w:val="000000"/>
              </w:rPr>
              <w:t>.</w:t>
            </w:r>
          </w:p>
          <w:p w:rsidR="004F291D" w:rsidRPr="00141C02" w:rsidRDefault="004F291D" w:rsidP="004F2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Include in the payment program.</w:t>
            </w:r>
          </w:p>
        </w:tc>
      </w:tr>
      <w:tr w:rsidR="004F291D" w:rsidRPr="00141C02" w:rsidTr="00930905">
        <w:trPr>
          <w:trHeight w:val="176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41C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41C0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Major Puerperal Infection and Other Major Obstetric Complications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125667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41C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0.1729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91D" w:rsidRDefault="004F291D" w:rsidP="004F2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Meets rate and varia</w:t>
            </w:r>
            <w:r>
              <w:rPr>
                <w:rFonts w:ascii="Calibri" w:eastAsia="Times New Roman" w:hAnsi="Calibri" w:cs="Calibri"/>
                <w:color w:val="000000"/>
              </w:rPr>
              <w:t>t</w:t>
            </w:r>
            <w:r w:rsidRPr="00141C02">
              <w:rPr>
                <w:rFonts w:ascii="Calibri" w:eastAsia="Times New Roman" w:hAnsi="Calibri" w:cs="Calibri"/>
                <w:color w:val="000000"/>
              </w:rPr>
              <w:t xml:space="preserve">ion criteria; 3M believes clinical concerns are addressed in the risk adjustment, and will address this PPC's overlap with other PPCs in v. 36. Obstetric morbidity is clinically important in an all-payer environment. </w:t>
            </w:r>
          </w:p>
          <w:p w:rsidR="004F291D" w:rsidRPr="00141C02" w:rsidRDefault="004F291D" w:rsidP="004F2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Include in the payment program.</w:t>
            </w:r>
          </w:p>
        </w:tc>
      </w:tr>
      <w:tr w:rsidR="004F291D" w:rsidRPr="00141C02" w:rsidTr="00930905">
        <w:trPr>
          <w:trHeight w:val="176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41C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41C0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Other Complications of Obstetrical Surgical &amp; Perineal Wounds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122183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0.82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41C0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0.1172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91D" w:rsidRDefault="004F291D" w:rsidP="004F2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Meets rate and varia</w:t>
            </w:r>
            <w:r w:rsidR="00930905">
              <w:rPr>
                <w:rFonts w:ascii="Calibri" w:eastAsia="Times New Roman" w:hAnsi="Calibri" w:cs="Calibri"/>
                <w:color w:val="000000"/>
              </w:rPr>
              <w:t>t</w:t>
            </w:r>
            <w:r w:rsidRPr="00141C02">
              <w:rPr>
                <w:rFonts w:ascii="Calibri" w:eastAsia="Times New Roman" w:hAnsi="Calibri" w:cs="Calibri"/>
                <w:color w:val="000000"/>
              </w:rPr>
              <w:t xml:space="preserve">ion criteria; 3M believes clinical concerns are addressed in the risk adjustment, and will address this PPC's overlap with other PPCs in v. 36. Obstetric morbidity is clinically important in an all-payer environment. </w:t>
            </w:r>
          </w:p>
          <w:p w:rsidR="004F291D" w:rsidRPr="00141C02" w:rsidRDefault="004F291D" w:rsidP="004F2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Include in the payment program.</w:t>
            </w:r>
          </w:p>
        </w:tc>
      </w:tr>
      <w:tr w:rsidR="004F291D" w:rsidRPr="00141C02" w:rsidTr="00930905">
        <w:trPr>
          <w:trHeight w:val="6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41C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41C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Pneumonia Combo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1282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713219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1.80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91D" w:rsidRPr="00141C02" w:rsidRDefault="004F291D" w:rsidP="004F2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1.3002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754" w:rsidRDefault="004F291D" w:rsidP="004F2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Meets rate and variation criteria.</w:t>
            </w:r>
            <w:r w:rsidR="00851754">
              <w:rPr>
                <w:rFonts w:ascii="Calibri" w:eastAsia="Times New Roman" w:hAnsi="Calibri" w:cs="Calibri"/>
                <w:color w:val="000000"/>
              </w:rPr>
              <w:t xml:space="preserve"> Clinically supported in combined PPC.</w:t>
            </w:r>
          </w:p>
          <w:p w:rsidR="004F291D" w:rsidRPr="00141C02" w:rsidRDefault="004F291D" w:rsidP="004F2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1C02">
              <w:rPr>
                <w:rFonts w:ascii="Calibri" w:eastAsia="Times New Roman" w:hAnsi="Calibri" w:cs="Calibri"/>
                <w:color w:val="000000"/>
              </w:rPr>
              <w:t>Include in payment program.</w:t>
            </w:r>
          </w:p>
        </w:tc>
      </w:tr>
    </w:tbl>
    <w:p w:rsidR="00141C02" w:rsidRDefault="00141C02">
      <w:pPr>
        <w:rPr>
          <w:b/>
        </w:rPr>
        <w:sectPr w:rsidR="00141C02" w:rsidSect="00F35065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891715" w:rsidRPr="00891715" w:rsidRDefault="00891715">
      <w:pPr>
        <w:rPr>
          <w:b/>
        </w:rPr>
      </w:pPr>
      <w:r w:rsidRPr="00891715">
        <w:rPr>
          <w:b/>
        </w:rPr>
        <w:t>Frequency Histograms of PPCs Selected for MHAC</w:t>
      </w:r>
    </w:p>
    <w:p w:rsidR="00130992" w:rsidRDefault="00130992">
      <w:r w:rsidRPr="00141C02">
        <w:rPr>
          <w:noProof/>
          <w:sz w:val="28"/>
          <w:szCs w:val="28"/>
        </w:rPr>
        <w:drawing>
          <wp:inline distT="0" distB="0" distL="0" distR="0" wp14:anchorId="02B041E2" wp14:editId="3C2468A1">
            <wp:extent cx="6097751" cy="3036498"/>
            <wp:effectExtent l="19050" t="19050" r="17780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1172" cy="3048161"/>
                    </a:xfrm>
                    <a:prstGeom prst="rect">
                      <a:avLst/>
                    </a:prstGeom>
                    <a:ln w="3175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130992" w:rsidRDefault="00130992"/>
    <w:p w:rsidR="00130992" w:rsidRDefault="00130992">
      <w:r>
        <w:rPr>
          <w:noProof/>
        </w:rPr>
        <w:drawing>
          <wp:inline distT="0" distB="0" distL="0" distR="0" wp14:anchorId="638A5A35" wp14:editId="4F2653F5">
            <wp:extent cx="6220480" cy="3053751"/>
            <wp:effectExtent l="19050" t="19050" r="27940" b="133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39980" cy="3063324"/>
                    </a:xfrm>
                    <a:prstGeom prst="rect">
                      <a:avLst/>
                    </a:prstGeom>
                    <a:ln w="3175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FF4AE2" w:rsidRDefault="00130992" w:rsidP="00972470">
      <w:pPr>
        <w:spacing w:after="120"/>
      </w:pPr>
      <w:r>
        <w:rPr>
          <w:noProof/>
        </w:rPr>
        <w:drawing>
          <wp:inline distT="0" distB="0" distL="0" distR="0" wp14:anchorId="1D671472" wp14:editId="23F97D94">
            <wp:extent cx="6176513" cy="2950341"/>
            <wp:effectExtent l="19050" t="19050" r="15240" b="215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94172" cy="2958776"/>
                    </a:xfrm>
                    <a:prstGeom prst="rect">
                      <a:avLst/>
                    </a:prstGeom>
                    <a:ln w="3175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FF4AE2" w:rsidRDefault="00FF4AE2" w:rsidP="00972470">
      <w:pPr>
        <w:spacing w:after="120"/>
      </w:pPr>
    </w:p>
    <w:p w:rsidR="00FF4AE2" w:rsidRDefault="00130992" w:rsidP="00972470">
      <w:pPr>
        <w:spacing w:after="120"/>
      </w:pPr>
      <w:r>
        <w:rPr>
          <w:noProof/>
        </w:rPr>
        <w:drawing>
          <wp:inline distT="0" distB="0" distL="0" distR="0" wp14:anchorId="4F1ED2AE" wp14:editId="75227542">
            <wp:extent cx="6224692" cy="3053751"/>
            <wp:effectExtent l="19050" t="19050" r="24130" b="133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24692" cy="3053751"/>
                    </a:xfrm>
                    <a:prstGeom prst="rect">
                      <a:avLst/>
                    </a:prstGeom>
                    <a:ln w="3175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FF4AE2" w:rsidRDefault="00130992" w:rsidP="00972470">
      <w:pPr>
        <w:spacing w:after="120"/>
      </w:pPr>
      <w:r>
        <w:rPr>
          <w:noProof/>
        </w:rPr>
        <w:drawing>
          <wp:inline distT="0" distB="0" distL="0" distR="0" wp14:anchorId="5EE0059E" wp14:editId="19FCECD4">
            <wp:extent cx="6219645" cy="2943293"/>
            <wp:effectExtent l="19050" t="19050" r="1016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27644" cy="2947078"/>
                    </a:xfrm>
                    <a:prstGeom prst="rect">
                      <a:avLst/>
                    </a:prstGeom>
                    <a:ln w="3175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FF4AE2" w:rsidRDefault="00FF4AE2" w:rsidP="00972470">
      <w:pPr>
        <w:spacing w:after="120"/>
      </w:pPr>
    </w:p>
    <w:p w:rsidR="00FF4AE2" w:rsidRDefault="00130992" w:rsidP="00972470">
      <w:pPr>
        <w:spacing w:after="120"/>
      </w:pPr>
      <w:r>
        <w:rPr>
          <w:noProof/>
        </w:rPr>
        <w:drawing>
          <wp:inline distT="0" distB="0" distL="0" distR="0" wp14:anchorId="17439E5A" wp14:editId="524B3703">
            <wp:extent cx="6262777" cy="3009612"/>
            <wp:effectExtent l="19050" t="19050" r="24130" b="196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79397" cy="3017599"/>
                    </a:xfrm>
                    <a:prstGeom prst="rect">
                      <a:avLst/>
                    </a:prstGeom>
                    <a:ln w="3175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072FFF" w:rsidRDefault="00891715" w:rsidP="00972470">
      <w:pPr>
        <w:spacing w:after="120"/>
      </w:pPr>
      <w:r>
        <w:rPr>
          <w:noProof/>
        </w:rPr>
        <w:drawing>
          <wp:inline distT="0" distB="0" distL="0" distR="0" wp14:anchorId="65E9770F" wp14:editId="1E8F7ACD">
            <wp:extent cx="5943600" cy="2894965"/>
            <wp:effectExtent l="19050" t="19050" r="19050" b="196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4965"/>
                    </a:xfrm>
                    <a:prstGeom prst="rect">
                      <a:avLst/>
                    </a:prstGeom>
                    <a:ln w="3175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972470" w:rsidRDefault="00972470" w:rsidP="00972470">
      <w:pPr>
        <w:spacing w:after="120"/>
      </w:pPr>
    </w:p>
    <w:p w:rsidR="00891715" w:rsidRDefault="00891715">
      <w:r>
        <w:rPr>
          <w:noProof/>
        </w:rPr>
        <w:drawing>
          <wp:inline distT="0" distB="0" distL="0" distR="0" wp14:anchorId="69FDC22C" wp14:editId="36D0AECC">
            <wp:extent cx="5943600" cy="2894965"/>
            <wp:effectExtent l="19050" t="19050" r="19050" b="196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4965"/>
                    </a:xfrm>
                    <a:prstGeom prst="rect">
                      <a:avLst/>
                    </a:prstGeom>
                    <a:ln w="3175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891715" w:rsidRDefault="00891715">
      <w:r>
        <w:rPr>
          <w:noProof/>
        </w:rPr>
        <w:drawing>
          <wp:inline distT="0" distB="0" distL="0" distR="0" wp14:anchorId="24CED629" wp14:editId="7686DA0E">
            <wp:extent cx="5943600" cy="2801620"/>
            <wp:effectExtent l="19050" t="19050" r="19050" b="177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1620"/>
                    </a:xfrm>
                    <a:prstGeom prst="rect">
                      <a:avLst/>
                    </a:prstGeom>
                    <a:ln w="3175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891715" w:rsidRDefault="00891715">
      <w:pPr>
        <w:rPr>
          <w:sz w:val="20"/>
          <w:szCs w:val="20"/>
        </w:rPr>
      </w:pPr>
      <w:r w:rsidRPr="00891715">
        <w:rPr>
          <w:sz w:val="20"/>
          <w:szCs w:val="20"/>
        </w:rPr>
        <w:t>*MedStar Union Memorial (210024) removed as outlier with O/E of 4.988</w:t>
      </w:r>
    </w:p>
    <w:p w:rsidR="00972470" w:rsidRPr="00891715" w:rsidRDefault="00972470">
      <w:pPr>
        <w:rPr>
          <w:sz w:val="20"/>
          <w:szCs w:val="20"/>
        </w:rPr>
      </w:pPr>
    </w:p>
    <w:p w:rsidR="00891715" w:rsidRDefault="00972470">
      <w:r>
        <w:rPr>
          <w:noProof/>
        </w:rPr>
        <w:drawing>
          <wp:inline distT="0" distB="0" distL="0" distR="0" wp14:anchorId="29F80DF7" wp14:editId="2C3C8530">
            <wp:extent cx="6125351" cy="2941608"/>
            <wp:effectExtent l="19050" t="19050" r="27940" b="1143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28641" cy="2943188"/>
                    </a:xfrm>
                    <a:prstGeom prst="rect">
                      <a:avLst/>
                    </a:prstGeom>
                    <a:ln w="3175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891715" w:rsidRDefault="00891715"/>
    <w:p w:rsidR="00972470" w:rsidRDefault="00972470">
      <w:r>
        <w:rPr>
          <w:noProof/>
        </w:rPr>
        <w:drawing>
          <wp:inline distT="0" distB="0" distL="0" distR="0" wp14:anchorId="67DCCC49" wp14:editId="550EB55A">
            <wp:extent cx="5943600" cy="2871470"/>
            <wp:effectExtent l="19050" t="19050" r="19050" b="2413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1470"/>
                    </a:xfrm>
                    <a:prstGeom prst="rect">
                      <a:avLst/>
                    </a:prstGeom>
                    <a:ln w="3175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972470" w:rsidRDefault="00972470"/>
    <w:p w:rsidR="00972470" w:rsidRDefault="00972470">
      <w:r>
        <w:rPr>
          <w:noProof/>
        </w:rPr>
        <w:drawing>
          <wp:inline distT="0" distB="0" distL="0" distR="0" wp14:anchorId="6628ED1C" wp14:editId="2598DB43">
            <wp:extent cx="5943600" cy="2912745"/>
            <wp:effectExtent l="19050" t="19050" r="19050" b="209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2745"/>
                    </a:xfrm>
                    <a:prstGeom prst="rect">
                      <a:avLst/>
                    </a:prstGeom>
                    <a:ln w="3175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972470" w:rsidRDefault="00972470" w:rsidP="00972470">
      <w:r w:rsidRPr="00972470">
        <w:t>*</w:t>
      </w:r>
      <w:r>
        <w:t>Washington Adventist</w:t>
      </w:r>
      <w:r w:rsidRPr="00972470">
        <w:t xml:space="preserve"> (210016) removed as outlier with O/E of </w:t>
      </w:r>
      <w:r>
        <w:t xml:space="preserve"> 3</w:t>
      </w:r>
      <w:r w:rsidRPr="00972470">
        <w:t>.988</w:t>
      </w:r>
    </w:p>
    <w:p w:rsidR="00972470" w:rsidRDefault="00972470" w:rsidP="00972470">
      <w:pPr>
        <w:rPr>
          <w:noProof/>
        </w:rPr>
      </w:pPr>
    </w:p>
    <w:p w:rsidR="00972470" w:rsidRDefault="00972470" w:rsidP="00972470">
      <w:pPr>
        <w:spacing w:after="0"/>
      </w:pPr>
      <w:r>
        <w:rPr>
          <w:noProof/>
        </w:rPr>
        <w:drawing>
          <wp:inline distT="0" distB="0" distL="0" distR="0" wp14:anchorId="57746417" wp14:editId="3BB42073">
            <wp:extent cx="5943600" cy="2874010"/>
            <wp:effectExtent l="19050" t="19050" r="19050" b="215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4010"/>
                    </a:xfrm>
                    <a:prstGeom prst="rect">
                      <a:avLst/>
                    </a:prstGeom>
                    <a:ln w="3175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972470" w:rsidRDefault="00972470" w:rsidP="00972470">
      <w:pPr>
        <w:spacing w:after="0"/>
      </w:pPr>
      <w:r w:rsidRPr="00972470">
        <w:t>*</w:t>
      </w:r>
      <w:r>
        <w:t>UM-Charles Regional</w:t>
      </w:r>
      <w:r w:rsidRPr="00972470">
        <w:t xml:space="preserve"> (210035) removed as outlier with O/E of 3.</w:t>
      </w:r>
      <w:r>
        <w:t>615</w:t>
      </w:r>
    </w:p>
    <w:p w:rsidR="006C0149" w:rsidRDefault="006C0149" w:rsidP="00972470">
      <w:pPr>
        <w:spacing w:after="0"/>
      </w:pPr>
    </w:p>
    <w:p w:rsidR="006C0149" w:rsidRDefault="006C0149" w:rsidP="00972470">
      <w:pPr>
        <w:spacing w:after="0"/>
      </w:pPr>
      <w:r>
        <w:rPr>
          <w:noProof/>
        </w:rPr>
        <w:drawing>
          <wp:inline distT="0" distB="0" distL="0" distR="0" wp14:anchorId="268DEAA9" wp14:editId="6DA2A671">
            <wp:extent cx="5943600" cy="2795270"/>
            <wp:effectExtent l="19050" t="19050" r="19050" b="2413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5270"/>
                    </a:xfrm>
                    <a:prstGeom prst="rect">
                      <a:avLst/>
                    </a:prstGeom>
                    <a:ln w="3175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972470" w:rsidRPr="00972470" w:rsidRDefault="00972470" w:rsidP="00972470">
      <w:pPr>
        <w:spacing w:after="0"/>
      </w:pPr>
    </w:p>
    <w:p w:rsidR="00972470" w:rsidRPr="00972470" w:rsidRDefault="00972470" w:rsidP="00972470"/>
    <w:p w:rsidR="00972470" w:rsidRDefault="00972470"/>
    <w:sectPr w:rsidR="00972470" w:rsidSect="00F35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91D" w:rsidRDefault="004F291D" w:rsidP="004F291D">
      <w:pPr>
        <w:spacing w:after="0" w:line="240" w:lineRule="auto"/>
      </w:pPr>
      <w:r>
        <w:separator/>
      </w:r>
    </w:p>
  </w:endnote>
  <w:endnote w:type="continuationSeparator" w:id="0">
    <w:p w:rsidR="004F291D" w:rsidRDefault="004F291D" w:rsidP="004F2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754" w:rsidRDefault="008517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278370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F35065" w:rsidRDefault="00F350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51754" w:rsidRDefault="008517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065" w:rsidRDefault="00F35065">
    <w:pPr>
      <w:pStyle w:val="Footer"/>
      <w:jc w:val="center"/>
    </w:pPr>
  </w:p>
  <w:p w:rsidR="00851754" w:rsidRDefault="008517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91D" w:rsidRDefault="004F291D" w:rsidP="004F291D">
      <w:pPr>
        <w:spacing w:after="0" w:line="240" w:lineRule="auto"/>
      </w:pPr>
      <w:r>
        <w:separator/>
      </w:r>
    </w:p>
  </w:footnote>
  <w:footnote w:type="continuationSeparator" w:id="0">
    <w:p w:rsidR="004F291D" w:rsidRDefault="004F291D" w:rsidP="004F2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754" w:rsidRDefault="008517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05" w:rsidRDefault="00930905">
    <w:pPr>
      <w:pStyle w:val="Header"/>
    </w:pPr>
    <w:r>
      <w:t>RY 2021</w:t>
    </w:r>
    <w:r w:rsidR="00C34B51">
      <w:t xml:space="preserve"> MHAC PPCs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754" w:rsidRDefault="008517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FF"/>
    <w:rsid w:val="00072FFF"/>
    <w:rsid w:val="00130992"/>
    <w:rsid w:val="00141C02"/>
    <w:rsid w:val="00482FC4"/>
    <w:rsid w:val="004F291D"/>
    <w:rsid w:val="006C0149"/>
    <w:rsid w:val="00851754"/>
    <w:rsid w:val="00891715"/>
    <w:rsid w:val="00930905"/>
    <w:rsid w:val="00972470"/>
    <w:rsid w:val="00C34B51"/>
    <w:rsid w:val="00D157E1"/>
    <w:rsid w:val="00F11AE3"/>
    <w:rsid w:val="00F35065"/>
    <w:rsid w:val="00FF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249F9F-3B01-4BD7-8094-2D80E3CA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91D"/>
  </w:style>
  <w:style w:type="paragraph" w:styleId="Footer">
    <w:name w:val="footer"/>
    <w:basedOn w:val="Normal"/>
    <w:link w:val="FooterChar"/>
    <w:uiPriority w:val="99"/>
    <w:unhideWhenUsed/>
    <w:rsid w:val="004F2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image" Target="media/image13.png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customXml" Target="../customXml/item1.xml"/><Relationship Id="rId10" Type="http://schemas.openxmlformats.org/officeDocument/2006/relationships/header" Target="header3.xml"/><Relationship Id="rId19" Type="http://schemas.openxmlformats.org/officeDocument/2006/relationships/image" Target="media/image8.pn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theme" Target="theme/theme1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FE2233-4A35-47BA-B329-CFD1304CD9BF}"/>
</file>

<file path=customXml/itemProps2.xml><?xml version="1.0" encoding="utf-8"?>
<ds:datastoreItem xmlns:ds="http://schemas.openxmlformats.org/officeDocument/2006/customXml" ds:itemID="{95F4FACF-D185-4FC4-AC02-44F11F237991}"/>
</file>

<file path=customXml/itemProps3.xml><?xml version="1.0" encoding="utf-8"?>
<ds:datastoreItem xmlns:ds="http://schemas.openxmlformats.org/officeDocument/2006/customXml" ds:itemID="{3E856C38-8157-4635-8B78-60C35F6A6E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Orshan</dc:creator>
  <cp:keywords/>
  <dc:description/>
  <cp:lastModifiedBy>Dianne Feeney</cp:lastModifiedBy>
  <cp:revision>2</cp:revision>
  <dcterms:created xsi:type="dcterms:W3CDTF">2018-12-17T20:57:00Z</dcterms:created>
  <dcterms:modified xsi:type="dcterms:W3CDTF">2018-12-17T20:57:00Z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</Properties>
</file>