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26869" w14:textId="2088FA45" w:rsidR="003E6807" w:rsidRPr="00B62CB4" w:rsidRDefault="003D0E41" w:rsidP="003E6807">
      <w:pPr>
        <w:pStyle w:val="ReportTitle"/>
        <w:spacing w:before="2520"/>
        <w:rPr>
          <w:szCs w:val="40"/>
        </w:rPr>
      </w:pPr>
      <w:bookmarkStart w:id="0" w:name="_GoBack"/>
      <w:bookmarkEnd w:id="0"/>
      <w:r>
        <w:rPr>
          <w:szCs w:val="40"/>
        </w:rPr>
        <w:t xml:space="preserve"> </w:t>
      </w:r>
      <w:r w:rsidR="007667E2">
        <w:rPr>
          <w:szCs w:val="40"/>
        </w:rPr>
        <w:t>Final</w:t>
      </w:r>
      <w:r w:rsidR="003E6807">
        <w:rPr>
          <w:szCs w:val="40"/>
        </w:rPr>
        <w:t xml:space="preserve"> Recommendations for </w:t>
      </w:r>
      <w:r w:rsidR="00666357">
        <w:rPr>
          <w:szCs w:val="40"/>
        </w:rPr>
        <w:t>a</w:t>
      </w:r>
      <w:r w:rsidR="003E6807">
        <w:rPr>
          <w:szCs w:val="40"/>
        </w:rPr>
        <w:t xml:space="preserve"> Capital Financing Policy</w:t>
      </w:r>
    </w:p>
    <w:p w14:paraId="59AC4C73" w14:textId="4A959AE6" w:rsidR="003E6807" w:rsidRPr="00B62CB4" w:rsidRDefault="004C3946" w:rsidP="003E6807">
      <w:pPr>
        <w:pStyle w:val="ReportDate"/>
      </w:pPr>
      <w:r>
        <w:t>December 11</w:t>
      </w:r>
      <w:r w:rsidR="003E6807">
        <w:t>, 2019</w:t>
      </w:r>
    </w:p>
    <w:p w14:paraId="41FDBC7B" w14:textId="77777777" w:rsidR="003E6807" w:rsidRPr="00B62CB4" w:rsidRDefault="003E6807" w:rsidP="003E6807">
      <w:pPr>
        <w:pStyle w:val="Default"/>
        <w:spacing w:before="2640"/>
        <w:jc w:val="center"/>
        <w:rPr>
          <w:rFonts w:asciiTheme="minorHAnsi" w:hAnsiTheme="minorHAnsi"/>
          <w:color w:val="4F81BC"/>
          <w:sz w:val="28"/>
          <w:szCs w:val="28"/>
        </w:rPr>
      </w:pPr>
      <w:r w:rsidRPr="00B62CB4">
        <w:rPr>
          <w:rFonts w:asciiTheme="minorHAnsi" w:hAnsiTheme="minorHAnsi"/>
          <w:color w:val="4F81BC"/>
          <w:sz w:val="28"/>
          <w:szCs w:val="28"/>
        </w:rPr>
        <w:t>Health Services Cost Review Commission</w:t>
      </w:r>
    </w:p>
    <w:p w14:paraId="3E349952" w14:textId="77777777" w:rsidR="003E6807" w:rsidRPr="00B62CB4" w:rsidRDefault="003E6807" w:rsidP="003E6807">
      <w:pPr>
        <w:pStyle w:val="Default"/>
        <w:jc w:val="center"/>
        <w:rPr>
          <w:rFonts w:asciiTheme="minorHAnsi" w:hAnsiTheme="minorHAnsi"/>
          <w:color w:val="4F81BC"/>
          <w:sz w:val="28"/>
          <w:szCs w:val="28"/>
        </w:rPr>
      </w:pPr>
      <w:r w:rsidRPr="00B62CB4">
        <w:rPr>
          <w:rFonts w:asciiTheme="minorHAnsi" w:hAnsiTheme="minorHAnsi"/>
          <w:color w:val="4F81BC"/>
          <w:sz w:val="28"/>
          <w:szCs w:val="28"/>
        </w:rPr>
        <w:t>4160 Patterson Avenue</w:t>
      </w:r>
    </w:p>
    <w:p w14:paraId="02EAA214" w14:textId="77777777" w:rsidR="003E6807" w:rsidRPr="00B62CB4" w:rsidRDefault="003E6807" w:rsidP="003E6807">
      <w:pPr>
        <w:pStyle w:val="Default"/>
        <w:jc w:val="center"/>
        <w:rPr>
          <w:rFonts w:asciiTheme="minorHAnsi" w:hAnsiTheme="minorHAnsi"/>
          <w:color w:val="4F81BC"/>
          <w:sz w:val="28"/>
          <w:szCs w:val="28"/>
        </w:rPr>
      </w:pPr>
      <w:r w:rsidRPr="00B62CB4">
        <w:rPr>
          <w:rFonts w:asciiTheme="minorHAnsi" w:hAnsiTheme="minorHAnsi"/>
          <w:color w:val="4F81BC"/>
          <w:sz w:val="28"/>
          <w:szCs w:val="28"/>
        </w:rPr>
        <w:t>Baltimore, Maryland 21215</w:t>
      </w:r>
    </w:p>
    <w:p w14:paraId="7E589115" w14:textId="77777777" w:rsidR="003E6807" w:rsidRPr="00B62CB4" w:rsidRDefault="003E6807" w:rsidP="003E6807">
      <w:pPr>
        <w:pStyle w:val="Default"/>
        <w:jc w:val="center"/>
        <w:rPr>
          <w:rFonts w:asciiTheme="minorHAnsi" w:hAnsiTheme="minorHAnsi"/>
          <w:color w:val="4F81BC"/>
          <w:sz w:val="28"/>
          <w:szCs w:val="28"/>
        </w:rPr>
      </w:pPr>
      <w:r w:rsidRPr="00B62CB4">
        <w:rPr>
          <w:rFonts w:asciiTheme="minorHAnsi" w:hAnsiTheme="minorHAnsi"/>
          <w:color w:val="4F81BC"/>
          <w:sz w:val="28"/>
          <w:szCs w:val="28"/>
        </w:rPr>
        <w:t>(410) 764-2605</w:t>
      </w:r>
    </w:p>
    <w:p w14:paraId="26C2DF33" w14:textId="77777777" w:rsidR="003E6807" w:rsidRPr="00B62CB4" w:rsidRDefault="003E6807" w:rsidP="003E6807">
      <w:pPr>
        <w:pStyle w:val="Default"/>
        <w:jc w:val="center"/>
        <w:rPr>
          <w:rFonts w:asciiTheme="minorHAnsi" w:hAnsiTheme="minorHAnsi"/>
          <w:color w:val="4F81BC"/>
          <w:sz w:val="28"/>
          <w:szCs w:val="28"/>
        </w:rPr>
      </w:pPr>
      <w:r w:rsidRPr="00B62CB4">
        <w:rPr>
          <w:rFonts w:asciiTheme="minorHAnsi" w:hAnsiTheme="minorHAnsi"/>
          <w:color w:val="4F81BC"/>
          <w:sz w:val="28"/>
          <w:szCs w:val="28"/>
        </w:rPr>
        <w:t>FAX: (410) 358-6217</w:t>
      </w:r>
    </w:p>
    <w:p w14:paraId="1CF968CB" w14:textId="77777777" w:rsidR="003E6807" w:rsidRDefault="003E6807" w:rsidP="003E6807"/>
    <w:p w14:paraId="2735EF3E" w14:textId="77777777" w:rsidR="003E6807" w:rsidRDefault="003E6807" w:rsidP="003E6807"/>
    <w:p w14:paraId="5B27D98A" w14:textId="12763703" w:rsidR="003E6807" w:rsidRPr="00AB4556" w:rsidRDefault="003D0E41" w:rsidP="003E6807">
      <w:pPr>
        <w:pStyle w:val="FigureTitle"/>
        <w:rPr>
          <w:rFonts w:ascii="Times New Roman" w:eastAsiaTheme="minorHAnsi" w:hAnsi="Times New Roman"/>
          <w:b w:val="0"/>
        </w:rPr>
      </w:pPr>
      <w:r>
        <w:rPr>
          <w:rFonts w:eastAsiaTheme="minorHAnsi"/>
          <w:b w:val="0"/>
        </w:rPr>
        <w:t xml:space="preserve">This </w:t>
      </w:r>
      <w:r w:rsidR="00666357">
        <w:rPr>
          <w:rFonts w:eastAsiaTheme="minorHAnsi"/>
          <w:b w:val="0"/>
        </w:rPr>
        <w:t>document includes the final staff recommendation for a Capital Financing Policy</w:t>
      </w:r>
      <w:r w:rsidR="003E6807" w:rsidRPr="009F0040">
        <w:rPr>
          <w:rFonts w:eastAsiaTheme="minorHAnsi"/>
          <w:b w:val="0"/>
        </w:rPr>
        <w:t>.</w:t>
      </w:r>
    </w:p>
    <w:p w14:paraId="22D16FEE" w14:textId="77777777" w:rsidR="003E6807" w:rsidRDefault="003E6807" w:rsidP="003E6807">
      <w:pPr>
        <w:jc w:val="center"/>
        <w:rPr>
          <w:rFonts w:ascii="Candara" w:hAnsi="Candara"/>
          <w:b/>
        </w:rPr>
      </w:pPr>
      <w:r>
        <w:rPr>
          <w:rFonts w:ascii="Candara" w:hAnsi="Candara"/>
          <w:b/>
        </w:rPr>
        <w:br w:type="page"/>
      </w:r>
    </w:p>
    <w:sdt>
      <w:sdtPr>
        <w:rPr>
          <w:rFonts w:asciiTheme="minorHAnsi" w:eastAsiaTheme="minorHAnsi" w:hAnsiTheme="minorHAnsi" w:cstheme="minorBidi"/>
          <w:color w:val="auto"/>
          <w:sz w:val="22"/>
          <w:szCs w:val="22"/>
        </w:rPr>
        <w:id w:val="2001071701"/>
        <w:docPartObj>
          <w:docPartGallery w:val="Table of Contents"/>
          <w:docPartUnique/>
        </w:docPartObj>
      </w:sdtPr>
      <w:sdtEndPr>
        <w:rPr>
          <w:b/>
          <w:bCs/>
          <w:noProof/>
        </w:rPr>
      </w:sdtEndPr>
      <w:sdtContent>
        <w:p w14:paraId="450A2F17" w14:textId="7E6C4E32" w:rsidR="00E3430B" w:rsidRPr="001E1DFD" w:rsidRDefault="00E3430B" w:rsidP="00E3430B">
          <w:pPr>
            <w:pStyle w:val="TOCHeading"/>
            <w:jc w:val="center"/>
            <w:rPr>
              <w:b/>
              <w:bCs/>
            </w:rPr>
          </w:pPr>
          <w:r w:rsidRPr="001E1DFD">
            <w:rPr>
              <w:b/>
              <w:bCs/>
            </w:rPr>
            <w:t>Table of Contents</w:t>
          </w:r>
        </w:p>
        <w:p w14:paraId="0EA32BE4" w14:textId="77777777" w:rsidR="00185514" w:rsidRDefault="00E3430B">
          <w:pPr>
            <w:pStyle w:val="TOC1"/>
            <w:tabs>
              <w:tab w:val="right" w:leader="dot" w:pos="9350"/>
            </w:tabs>
            <w:rPr>
              <w:rFonts w:eastAsiaTheme="minorEastAsia"/>
              <w:noProof/>
            </w:rPr>
          </w:pPr>
          <w:r w:rsidRPr="001E1DFD">
            <w:fldChar w:fldCharType="begin"/>
          </w:r>
          <w:r w:rsidRPr="001E1DFD">
            <w:instrText xml:space="preserve"> TOC \o "1-3" \h \z \u </w:instrText>
          </w:r>
          <w:r w:rsidRPr="001E1DFD">
            <w:fldChar w:fldCharType="separate"/>
          </w:r>
          <w:hyperlink w:anchor="_Toc26373843" w:history="1">
            <w:r w:rsidR="00185514" w:rsidRPr="001D368C">
              <w:rPr>
                <w:rStyle w:val="Hyperlink"/>
                <w:b/>
                <w:bCs/>
                <w:noProof/>
              </w:rPr>
              <w:t>Introduction</w:t>
            </w:r>
            <w:r w:rsidR="00185514">
              <w:rPr>
                <w:noProof/>
                <w:webHidden/>
              </w:rPr>
              <w:tab/>
            </w:r>
            <w:r w:rsidR="00185514">
              <w:rPr>
                <w:noProof/>
                <w:webHidden/>
              </w:rPr>
              <w:fldChar w:fldCharType="begin"/>
            </w:r>
            <w:r w:rsidR="00185514">
              <w:rPr>
                <w:noProof/>
                <w:webHidden/>
              </w:rPr>
              <w:instrText xml:space="preserve"> PAGEREF _Toc26373843 \h </w:instrText>
            </w:r>
            <w:r w:rsidR="00185514">
              <w:rPr>
                <w:noProof/>
                <w:webHidden/>
              </w:rPr>
            </w:r>
            <w:r w:rsidR="00185514">
              <w:rPr>
                <w:noProof/>
                <w:webHidden/>
              </w:rPr>
              <w:fldChar w:fldCharType="separate"/>
            </w:r>
            <w:r w:rsidR="000D0D4B">
              <w:rPr>
                <w:noProof/>
                <w:webHidden/>
              </w:rPr>
              <w:t>3</w:t>
            </w:r>
            <w:r w:rsidR="00185514">
              <w:rPr>
                <w:noProof/>
                <w:webHidden/>
              </w:rPr>
              <w:fldChar w:fldCharType="end"/>
            </w:r>
          </w:hyperlink>
        </w:p>
        <w:p w14:paraId="24D77A63" w14:textId="77777777" w:rsidR="00185514" w:rsidRDefault="00521BB4">
          <w:pPr>
            <w:pStyle w:val="TOC1"/>
            <w:tabs>
              <w:tab w:val="right" w:leader="dot" w:pos="9350"/>
            </w:tabs>
            <w:rPr>
              <w:rFonts w:eastAsiaTheme="minorEastAsia"/>
              <w:noProof/>
            </w:rPr>
          </w:pPr>
          <w:hyperlink w:anchor="_Toc26373844" w:history="1">
            <w:r w:rsidR="00185514" w:rsidRPr="001D368C">
              <w:rPr>
                <w:rStyle w:val="Hyperlink"/>
                <w:b/>
                <w:bCs/>
                <w:noProof/>
              </w:rPr>
              <w:t>Recommendations</w:t>
            </w:r>
            <w:r w:rsidR="00185514">
              <w:rPr>
                <w:noProof/>
                <w:webHidden/>
              </w:rPr>
              <w:tab/>
            </w:r>
            <w:r w:rsidR="00185514">
              <w:rPr>
                <w:noProof/>
                <w:webHidden/>
              </w:rPr>
              <w:fldChar w:fldCharType="begin"/>
            </w:r>
            <w:r w:rsidR="00185514">
              <w:rPr>
                <w:noProof/>
                <w:webHidden/>
              </w:rPr>
              <w:instrText xml:space="preserve"> PAGEREF _Toc26373844 \h </w:instrText>
            </w:r>
            <w:r w:rsidR="00185514">
              <w:rPr>
                <w:noProof/>
                <w:webHidden/>
              </w:rPr>
            </w:r>
            <w:r w:rsidR="00185514">
              <w:rPr>
                <w:noProof/>
                <w:webHidden/>
              </w:rPr>
              <w:fldChar w:fldCharType="separate"/>
            </w:r>
            <w:r w:rsidR="000D0D4B">
              <w:rPr>
                <w:noProof/>
                <w:webHidden/>
              </w:rPr>
              <w:t>3</w:t>
            </w:r>
            <w:r w:rsidR="00185514">
              <w:rPr>
                <w:noProof/>
                <w:webHidden/>
              </w:rPr>
              <w:fldChar w:fldCharType="end"/>
            </w:r>
          </w:hyperlink>
        </w:p>
        <w:p w14:paraId="797EE70D" w14:textId="77777777" w:rsidR="00185514" w:rsidRDefault="00521BB4">
          <w:pPr>
            <w:pStyle w:val="TOC2"/>
            <w:tabs>
              <w:tab w:val="right" w:leader="dot" w:pos="9350"/>
            </w:tabs>
            <w:rPr>
              <w:rFonts w:eastAsiaTheme="minorEastAsia"/>
              <w:noProof/>
            </w:rPr>
          </w:pPr>
          <w:hyperlink w:anchor="_Toc26373845" w:history="1">
            <w:r w:rsidR="00185514" w:rsidRPr="001D368C">
              <w:rPr>
                <w:rStyle w:val="Hyperlink"/>
                <w:b/>
                <w:bCs/>
                <w:noProof/>
              </w:rPr>
              <w:t>Capital Funding under a Total Revenue Constraint</w:t>
            </w:r>
            <w:r w:rsidR="00185514">
              <w:rPr>
                <w:noProof/>
                <w:webHidden/>
              </w:rPr>
              <w:tab/>
            </w:r>
            <w:r w:rsidR="00185514">
              <w:rPr>
                <w:noProof/>
                <w:webHidden/>
              </w:rPr>
              <w:fldChar w:fldCharType="begin"/>
            </w:r>
            <w:r w:rsidR="00185514">
              <w:rPr>
                <w:noProof/>
                <w:webHidden/>
              </w:rPr>
              <w:instrText xml:space="preserve"> PAGEREF _Toc26373845 \h </w:instrText>
            </w:r>
            <w:r w:rsidR="00185514">
              <w:rPr>
                <w:noProof/>
                <w:webHidden/>
              </w:rPr>
            </w:r>
            <w:r w:rsidR="00185514">
              <w:rPr>
                <w:noProof/>
                <w:webHidden/>
              </w:rPr>
              <w:fldChar w:fldCharType="separate"/>
            </w:r>
            <w:r w:rsidR="000D0D4B">
              <w:rPr>
                <w:noProof/>
                <w:webHidden/>
              </w:rPr>
              <w:t>3</w:t>
            </w:r>
            <w:r w:rsidR="00185514">
              <w:rPr>
                <w:noProof/>
                <w:webHidden/>
              </w:rPr>
              <w:fldChar w:fldCharType="end"/>
            </w:r>
          </w:hyperlink>
        </w:p>
        <w:p w14:paraId="1472DBAE" w14:textId="77777777" w:rsidR="00185514" w:rsidRDefault="00521BB4">
          <w:pPr>
            <w:pStyle w:val="TOC2"/>
            <w:tabs>
              <w:tab w:val="right" w:leader="dot" w:pos="9350"/>
            </w:tabs>
            <w:rPr>
              <w:rFonts w:eastAsiaTheme="minorEastAsia"/>
              <w:noProof/>
            </w:rPr>
          </w:pPr>
          <w:hyperlink w:anchor="_Toc26373846" w:history="1">
            <w:r w:rsidR="00185514" w:rsidRPr="001D368C">
              <w:rPr>
                <w:rStyle w:val="Hyperlink"/>
                <w:b/>
                <w:bCs/>
                <w:noProof/>
              </w:rPr>
              <w:t>Algorithm to Determine Capital Financing</w:t>
            </w:r>
            <w:r w:rsidR="00185514">
              <w:rPr>
                <w:noProof/>
                <w:webHidden/>
              </w:rPr>
              <w:tab/>
            </w:r>
            <w:r w:rsidR="00185514">
              <w:rPr>
                <w:noProof/>
                <w:webHidden/>
              </w:rPr>
              <w:fldChar w:fldCharType="begin"/>
            </w:r>
            <w:r w:rsidR="00185514">
              <w:rPr>
                <w:noProof/>
                <w:webHidden/>
              </w:rPr>
              <w:instrText xml:space="preserve"> PAGEREF _Toc26373846 \h </w:instrText>
            </w:r>
            <w:r w:rsidR="00185514">
              <w:rPr>
                <w:noProof/>
                <w:webHidden/>
              </w:rPr>
            </w:r>
            <w:r w:rsidR="00185514">
              <w:rPr>
                <w:noProof/>
                <w:webHidden/>
              </w:rPr>
              <w:fldChar w:fldCharType="separate"/>
            </w:r>
            <w:r w:rsidR="000D0D4B">
              <w:rPr>
                <w:noProof/>
                <w:webHidden/>
              </w:rPr>
              <w:t>5</w:t>
            </w:r>
            <w:r w:rsidR="00185514">
              <w:rPr>
                <w:noProof/>
                <w:webHidden/>
              </w:rPr>
              <w:fldChar w:fldCharType="end"/>
            </w:r>
          </w:hyperlink>
        </w:p>
        <w:p w14:paraId="156262BA" w14:textId="77777777" w:rsidR="00185514" w:rsidRDefault="00521BB4">
          <w:pPr>
            <w:pStyle w:val="TOC1"/>
            <w:tabs>
              <w:tab w:val="right" w:leader="dot" w:pos="9350"/>
            </w:tabs>
            <w:rPr>
              <w:rFonts w:eastAsiaTheme="minorEastAsia"/>
              <w:noProof/>
            </w:rPr>
          </w:pPr>
          <w:hyperlink w:anchor="_Toc26373847" w:history="1">
            <w:r w:rsidR="00185514" w:rsidRPr="001D368C">
              <w:rPr>
                <w:rStyle w:val="Hyperlink"/>
                <w:b/>
                <w:bCs/>
                <w:noProof/>
              </w:rPr>
              <w:t>Step 1: Determine the Hospital’s Eligible Funding</w:t>
            </w:r>
            <w:r w:rsidR="00185514">
              <w:rPr>
                <w:noProof/>
                <w:webHidden/>
              </w:rPr>
              <w:tab/>
            </w:r>
            <w:r w:rsidR="00185514">
              <w:rPr>
                <w:noProof/>
                <w:webHidden/>
              </w:rPr>
              <w:fldChar w:fldCharType="begin"/>
            </w:r>
            <w:r w:rsidR="00185514">
              <w:rPr>
                <w:noProof/>
                <w:webHidden/>
              </w:rPr>
              <w:instrText xml:space="preserve"> PAGEREF _Toc26373847 \h </w:instrText>
            </w:r>
            <w:r w:rsidR="00185514">
              <w:rPr>
                <w:noProof/>
                <w:webHidden/>
              </w:rPr>
            </w:r>
            <w:r w:rsidR="00185514">
              <w:rPr>
                <w:noProof/>
                <w:webHidden/>
              </w:rPr>
              <w:fldChar w:fldCharType="separate"/>
            </w:r>
            <w:r w:rsidR="000D0D4B">
              <w:rPr>
                <w:noProof/>
                <w:webHidden/>
              </w:rPr>
              <w:t>5</w:t>
            </w:r>
            <w:r w:rsidR="00185514">
              <w:rPr>
                <w:noProof/>
                <w:webHidden/>
              </w:rPr>
              <w:fldChar w:fldCharType="end"/>
            </w:r>
          </w:hyperlink>
        </w:p>
        <w:p w14:paraId="7A723C1A" w14:textId="77777777" w:rsidR="00185514" w:rsidRDefault="00521BB4">
          <w:pPr>
            <w:pStyle w:val="TOC1"/>
            <w:tabs>
              <w:tab w:val="right" w:leader="dot" w:pos="9350"/>
            </w:tabs>
            <w:rPr>
              <w:rFonts w:eastAsiaTheme="minorEastAsia"/>
              <w:noProof/>
            </w:rPr>
          </w:pPr>
          <w:hyperlink w:anchor="_Toc26373848" w:history="1">
            <w:r w:rsidR="00185514" w:rsidRPr="001D368C">
              <w:rPr>
                <w:rStyle w:val="Hyperlink"/>
                <w:b/>
                <w:bCs/>
                <w:noProof/>
              </w:rPr>
              <w:t>Step 2: Apply a Scaling Factor based on Efficiency</w:t>
            </w:r>
            <w:r w:rsidR="00185514">
              <w:rPr>
                <w:noProof/>
                <w:webHidden/>
              </w:rPr>
              <w:tab/>
            </w:r>
            <w:r w:rsidR="00185514">
              <w:rPr>
                <w:noProof/>
                <w:webHidden/>
              </w:rPr>
              <w:fldChar w:fldCharType="begin"/>
            </w:r>
            <w:r w:rsidR="00185514">
              <w:rPr>
                <w:noProof/>
                <w:webHidden/>
              </w:rPr>
              <w:instrText xml:space="preserve"> PAGEREF _Toc26373848 \h </w:instrText>
            </w:r>
            <w:r w:rsidR="00185514">
              <w:rPr>
                <w:noProof/>
                <w:webHidden/>
              </w:rPr>
            </w:r>
            <w:r w:rsidR="00185514">
              <w:rPr>
                <w:noProof/>
                <w:webHidden/>
              </w:rPr>
              <w:fldChar w:fldCharType="separate"/>
            </w:r>
            <w:r w:rsidR="000D0D4B">
              <w:rPr>
                <w:noProof/>
                <w:webHidden/>
              </w:rPr>
              <w:t>5</w:t>
            </w:r>
            <w:r w:rsidR="00185514">
              <w:rPr>
                <w:noProof/>
                <w:webHidden/>
              </w:rPr>
              <w:fldChar w:fldCharType="end"/>
            </w:r>
          </w:hyperlink>
        </w:p>
        <w:p w14:paraId="0B78BD0A" w14:textId="77777777" w:rsidR="00185514" w:rsidRDefault="00521BB4">
          <w:pPr>
            <w:pStyle w:val="TOC2"/>
            <w:tabs>
              <w:tab w:val="right" w:leader="dot" w:pos="9350"/>
            </w:tabs>
            <w:rPr>
              <w:rFonts w:eastAsiaTheme="minorEastAsia"/>
              <w:noProof/>
            </w:rPr>
          </w:pPr>
          <w:hyperlink w:anchor="_Toc26373849" w:history="1">
            <w:r w:rsidR="00185514" w:rsidRPr="001D368C">
              <w:rPr>
                <w:rStyle w:val="Hyperlink"/>
                <w:b/>
                <w:bCs/>
                <w:noProof/>
              </w:rPr>
              <w:t>Step 2A: Compare the Hospital’s Requested Capital Costs with its Peer Group</w:t>
            </w:r>
            <w:r w:rsidR="00185514">
              <w:rPr>
                <w:noProof/>
                <w:webHidden/>
              </w:rPr>
              <w:tab/>
            </w:r>
            <w:r w:rsidR="00185514">
              <w:rPr>
                <w:noProof/>
                <w:webHidden/>
              </w:rPr>
              <w:fldChar w:fldCharType="begin"/>
            </w:r>
            <w:r w:rsidR="00185514">
              <w:rPr>
                <w:noProof/>
                <w:webHidden/>
              </w:rPr>
              <w:instrText xml:space="preserve"> PAGEREF _Toc26373849 \h </w:instrText>
            </w:r>
            <w:r w:rsidR="00185514">
              <w:rPr>
                <w:noProof/>
                <w:webHidden/>
              </w:rPr>
            </w:r>
            <w:r w:rsidR="00185514">
              <w:rPr>
                <w:noProof/>
                <w:webHidden/>
              </w:rPr>
              <w:fldChar w:fldCharType="separate"/>
            </w:r>
            <w:r w:rsidR="000D0D4B">
              <w:rPr>
                <w:noProof/>
                <w:webHidden/>
              </w:rPr>
              <w:t>6</w:t>
            </w:r>
            <w:r w:rsidR="00185514">
              <w:rPr>
                <w:noProof/>
                <w:webHidden/>
              </w:rPr>
              <w:fldChar w:fldCharType="end"/>
            </w:r>
          </w:hyperlink>
        </w:p>
        <w:p w14:paraId="31F8EB65" w14:textId="77777777" w:rsidR="00185514" w:rsidRDefault="00521BB4">
          <w:pPr>
            <w:pStyle w:val="TOC2"/>
            <w:tabs>
              <w:tab w:val="right" w:leader="dot" w:pos="9350"/>
            </w:tabs>
            <w:rPr>
              <w:rFonts w:eastAsiaTheme="minorEastAsia"/>
              <w:noProof/>
            </w:rPr>
          </w:pPr>
          <w:hyperlink w:anchor="_Toc26373850" w:history="1">
            <w:r w:rsidR="00185514" w:rsidRPr="001D368C">
              <w:rPr>
                <w:rStyle w:val="Hyperlink"/>
                <w:b/>
                <w:bCs/>
                <w:noProof/>
              </w:rPr>
              <w:t>Step 2B: Scale the Hospitals Eligible Funding based on its Capital ICC Score</w:t>
            </w:r>
            <w:r w:rsidR="00185514">
              <w:rPr>
                <w:noProof/>
                <w:webHidden/>
              </w:rPr>
              <w:tab/>
            </w:r>
            <w:r w:rsidR="00185514">
              <w:rPr>
                <w:noProof/>
                <w:webHidden/>
              </w:rPr>
              <w:fldChar w:fldCharType="begin"/>
            </w:r>
            <w:r w:rsidR="00185514">
              <w:rPr>
                <w:noProof/>
                <w:webHidden/>
              </w:rPr>
              <w:instrText xml:space="preserve"> PAGEREF _Toc26373850 \h </w:instrText>
            </w:r>
            <w:r w:rsidR="00185514">
              <w:rPr>
                <w:noProof/>
                <w:webHidden/>
              </w:rPr>
            </w:r>
            <w:r w:rsidR="00185514">
              <w:rPr>
                <w:noProof/>
                <w:webHidden/>
              </w:rPr>
              <w:fldChar w:fldCharType="separate"/>
            </w:r>
            <w:r w:rsidR="000D0D4B">
              <w:rPr>
                <w:noProof/>
                <w:webHidden/>
              </w:rPr>
              <w:t>7</w:t>
            </w:r>
            <w:r w:rsidR="00185514">
              <w:rPr>
                <w:noProof/>
                <w:webHidden/>
              </w:rPr>
              <w:fldChar w:fldCharType="end"/>
            </w:r>
          </w:hyperlink>
        </w:p>
        <w:p w14:paraId="356B5576" w14:textId="77777777" w:rsidR="00185514" w:rsidRDefault="00521BB4">
          <w:pPr>
            <w:pStyle w:val="TOC1"/>
            <w:tabs>
              <w:tab w:val="right" w:leader="dot" w:pos="9350"/>
            </w:tabs>
            <w:rPr>
              <w:rFonts w:eastAsiaTheme="minorEastAsia"/>
              <w:noProof/>
            </w:rPr>
          </w:pPr>
          <w:hyperlink w:anchor="_Toc26373851" w:history="1">
            <w:r w:rsidR="00185514" w:rsidRPr="001D368C">
              <w:rPr>
                <w:rStyle w:val="Hyperlink"/>
                <w:b/>
                <w:bCs/>
                <w:noProof/>
              </w:rPr>
              <w:t>Step 3: Adjust for PAU and Excess Capacity</w:t>
            </w:r>
            <w:r w:rsidR="00185514">
              <w:rPr>
                <w:noProof/>
                <w:webHidden/>
              </w:rPr>
              <w:tab/>
            </w:r>
            <w:r w:rsidR="00185514">
              <w:rPr>
                <w:noProof/>
                <w:webHidden/>
              </w:rPr>
              <w:fldChar w:fldCharType="begin"/>
            </w:r>
            <w:r w:rsidR="00185514">
              <w:rPr>
                <w:noProof/>
                <w:webHidden/>
              </w:rPr>
              <w:instrText xml:space="preserve"> PAGEREF _Toc26373851 \h </w:instrText>
            </w:r>
            <w:r w:rsidR="00185514">
              <w:rPr>
                <w:noProof/>
                <w:webHidden/>
              </w:rPr>
            </w:r>
            <w:r w:rsidR="00185514">
              <w:rPr>
                <w:noProof/>
                <w:webHidden/>
              </w:rPr>
              <w:fldChar w:fldCharType="separate"/>
            </w:r>
            <w:r w:rsidR="000D0D4B">
              <w:rPr>
                <w:noProof/>
                <w:webHidden/>
              </w:rPr>
              <w:t>8</w:t>
            </w:r>
            <w:r w:rsidR="00185514">
              <w:rPr>
                <w:noProof/>
                <w:webHidden/>
              </w:rPr>
              <w:fldChar w:fldCharType="end"/>
            </w:r>
          </w:hyperlink>
        </w:p>
        <w:p w14:paraId="71BA6C8D" w14:textId="77777777" w:rsidR="00185514" w:rsidRDefault="00521BB4">
          <w:pPr>
            <w:pStyle w:val="TOC2"/>
            <w:tabs>
              <w:tab w:val="right" w:leader="dot" w:pos="9350"/>
            </w:tabs>
            <w:rPr>
              <w:rFonts w:eastAsiaTheme="minorEastAsia"/>
              <w:noProof/>
            </w:rPr>
          </w:pPr>
          <w:hyperlink w:anchor="_Toc26373852" w:history="1">
            <w:r w:rsidR="00185514" w:rsidRPr="001D368C">
              <w:rPr>
                <w:rStyle w:val="Hyperlink"/>
                <w:b/>
                <w:bCs/>
                <w:noProof/>
              </w:rPr>
              <w:t>Step 3A: Potentially Avoidable Utilization (PAU) Adjustment</w:t>
            </w:r>
            <w:r w:rsidR="00185514">
              <w:rPr>
                <w:noProof/>
                <w:webHidden/>
              </w:rPr>
              <w:tab/>
            </w:r>
            <w:r w:rsidR="00185514">
              <w:rPr>
                <w:noProof/>
                <w:webHidden/>
              </w:rPr>
              <w:fldChar w:fldCharType="begin"/>
            </w:r>
            <w:r w:rsidR="00185514">
              <w:rPr>
                <w:noProof/>
                <w:webHidden/>
              </w:rPr>
              <w:instrText xml:space="preserve"> PAGEREF _Toc26373852 \h </w:instrText>
            </w:r>
            <w:r w:rsidR="00185514">
              <w:rPr>
                <w:noProof/>
                <w:webHidden/>
              </w:rPr>
            </w:r>
            <w:r w:rsidR="00185514">
              <w:rPr>
                <w:noProof/>
                <w:webHidden/>
              </w:rPr>
              <w:fldChar w:fldCharType="separate"/>
            </w:r>
            <w:r w:rsidR="000D0D4B">
              <w:rPr>
                <w:noProof/>
                <w:webHidden/>
              </w:rPr>
              <w:t>9</w:t>
            </w:r>
            <w:r w:rsidR="00185514">
              <w:rPr>
                <w:noProof/>
                <w:webHidden/>
              </w:rPr>
              <w:fldChar w:fldCharType="end"/>
            </w:r>
          </w:hyperlink>
        </w:p>
        <w:p w14:paraId="17E35184" w14:textId="77777777" w:rsidR="00185514" w:rsidRDefault="00521BB4">
          <w:pPr>
            <w:pStyle w:val="TOC2"/>
            <w:tabs>
              <w:tab w:val="right" w:leader="dot" w:pos="9350"/>
            </w:tabs>
            <w:rPr>
              <w:rFonts w:eastAsiaTheme="minorEastAsia"/>
              <w:noProof/>
            </w:rPr>
          </w:pPr>
          <w:hyperlink w:anchor="_Toc26373853" w:history="1">
            <w:r w:rsidR="00185514" w:rsidRPr="001D368C">
              <w:rPr>
                <w:rStyle w:val="Hyperlink"/>
                <w:b/>
                <w:bCs/>
                <w:noProof/>
              </w:rPr>
              <w:t>Step 3B: Excess Capacity Adjustment</w:t>
            </w:r>
            <w:r w:rsidR="00185514">
              <w:rPr>
                <w:noProof/>
                <w:webHidden/>
              </w:rPr>
              <w:tab/>
            </w:r>
            <w:r w:rsidR="00185514">
              <w:rPr>
                <w:noProof/>
                <w:webHidden/>
              </w:rPr>
              <w:fldChar w:fldCharType="begin"/>
            </w:r>
            <w:r w:rsidR="00185514">
              <w:rPr>
                <w:noProof/>
                <w:webHidden/>
              </w:rPr>
              <w:instrText xml:space="preserve"> PAGEREF _Toc26373853 \h </w:instrText>
            </w:r>
            <w:r w:rsidR="00185514">
              <w:rPr>
                <w:noProof/>
                <w:webHidden/>
              </w:rPr>
            </w:r>
            <w:r w:rsidR="00185514">
              <w:rPr>
                <w:noProof/>
                <w:webHidden/>
              </w:rPr>
              <w:fldChar w:fldCharType="separate"/>
            </w:r>
            <w:r w:rsidR="000D0D4B">
              <w:rPr>
                <w:noProof/>
                <w:webHidden/>
              </w:rPr>
              <w:t>10</w:t>
            </w:r>
            <w:r w:rsidR="00185514">
              <w:rPr>
                <w:noProof/>
                <w:webHidden/>
              </w:rPr>
              <w:fldChar w:fldCharType="end"/>
            </w:r>
          </w:hyperlink>
        </w:p>
        <w:p w14:paraId="06BAE4D6" w14:textId="77777777" w:rsidR="00185514" w:rsidRDefault="00521BB4">
          <w:pPr>
            <w:pStyle w:val="TOC1"/>
            <w:tabs>
              <w:tab w:val="right" w:leader="dot" w:pos="9350"/>
            </w:tabs>
            <w:rPr>
              <w:rFonts w:eastAsiaTheme="minorEastAsia"/>
              <w:noProof/>
            </w:rPr>
          </w:pPr>
          <w:hyperlink w:anchor="_Toc26373854" w:history="1">
            <w:r w:rsidR="00185514" w:rsidRPr="001D368C">
              <w:rPr>
                <w:rStyle w:val="Hyperlink"/>
                <w:b/>
                <w:bCs/>
                <w:noProof/>
              </w:rPr>
              <w:t>Stakeholder Comments</w:t>
            </w:r>
            <w:r w:rsidR="00185514">
              <w:rPr>
                <w:noProof/>
                <w:webHidden/>
              </w:rPr>
              <w:tab/>
            </w:r>
            <w:r w:rsidR="00185514">
              <w:rPr>
                <w:noProof/>
                <w:webHidden/>
              </w:rPr>
              <w:fldChar w:fldCharType="begin"/>
            </w:r>
            <w:r w:rsidR="00185514">
              <w:rPr>
                <w:noProof/>
                <w:webHidden/>
              </w:rPr>
              <w:instrText xml:space="preserve"> PAGEREF _Toc26373854 \h </w:instrText>
            </w:r>
            <w:r w:rsidR="00185514">
              <w:rPr>
                <w:noProof/>
                <w:webHidden/>
              </w:rPr>
            </w:r>
            <w:r w:rsidR="00185514">
              <w:rPr>
                <w:noProof/>
                <w:webHidden/>
              </w:rPr>
              <w:fldChar w:fldCharType="separate"/>
            </w:r>
            <w:r w:rsidR="000D0D4B">
              <w:rPr>
                <w:noProof/>
                <w:webHidden/>
              </w:rPr>
              <w:t>11</w:t>
            </w:r>
            <w:r w:rsidR="00185514">
              <w:rPr>
                <w:noProof/>
                <w:webHidden/>
              </w:rPr>
              <w:fldChar w:fldCharType="end"/>
            </w:r>
          </w:hyperlink>
        </w:p>
        <w:p w14:paraId="4AE99BD7" w14:textId="77777777" w:rsidR="00185514" w:rsidRDefault="00521BB4">
          <w:pPr>
            <w:pStyle w:val="TOC1"/>
            <w:tabs>
              <w:tab w:val="right" w:leader="dot" w:pos="9350"/>
            </w:tabs>
            <w:rPr>
              <w:rFonts w:eastAsiaTheme="minorEastAsia"/>
              <w:noProof/>
            </w:rPr>
          </w:pPr>
          <w:hyperlink w:anchor="_Toc26373855" w:history="1">
            <w:r w:rsidR="00185514" w:rsidRPr="001D368C">
              <w:rPr>
                <w:rStyle w:val="Hyperlink"/>
                <w:b/>
                <w:bCs/>
                <w:noProof/>
              </w:rPr>
              <w:t>Recommendations</w:t>
            </w:r>
            <w:r w:rsidR="00185514">
              <w:rPr>
                <w:noProof/>
                <w:webHidden/>
              </w:rPr>
              <w:tab/>
            </w:r>
            <w:r w:rsidR="00185514">
              <w:rPr>
                <w:noProof/>
                <w:webHidden/>
              </w:rPr>
              <w:fldChar w:fldCharType="begin"/>
            </w:r>
            <w:r w:rsidR="00185514">
              <w:rPr>
                <w:noProof/>
                <w:webHidden/>
              </w:rPr>
              <w:instrText xml:space="preserve"> PAGEREF _Toc26373855 \h </w:instrText>
            </w:r>
            <w:r w:rsidR="00185514">
              <w:rPr>
                <w:noProof/>
                <w:webHidden/>
              </w:rPr>
            </w:r>
            <w:r w:rsidR="00185514">
              <w:rPr>
                <w:noProof/>
                <w:webHidden/>
              </w:rPr>
              <w:fldChar w:fldCharType="separate"/>
            </w:r>
            <w:r w:rsidR="000D0D4B">
              <w:rPr>
                <w:noProof/>
                <w:webHidden/>
              </w:rPr>
              <w:t>12</w:t>
            </w:r>
            <w:r w:rsidR="00185514">
              <w:rPr>
                <w:noProof/>
                <w:webHidden/>
              </w:rPr>
              <w:fldChar w:fldCharType="end"/>
            </w:r>
          </w:hyperlink>
        </w:p>
        <w:p w14:paraId="32BD5B00" w14:textId="0D920CAB" w:rsidR="00E3430B" w:rsidRDefault="00E3430B">
          <w:r w:rsidRPr="001E1DFD">
            <w:rPr>
              <w:noProof/>
            </w:rPr>
            <w:fldChar w:fldCharType="end"/>
          </w:r>
        </w:p>
      </w:sdtContent>
    </w:sdt>
    <w:p w14:paraId="35EE9E63" w14:textId="77777777" w:rsidR="00E3430B" w:rsidRDefault="00E3430B">
      <w:pPr>
        <w:rPr>
          <w:rFonts w:asciiTheme="majorHAnsi" w:eastAsiaTheme="majorEastAsia" w:hAnsiTheme="majorHAnsi" w:cstheme="majorBidi"/>
          <w:b/>
          <w:bCs/>
          <w:color w:val="2F5496" w:themeColor="accent1" w:themeShade="BF"/>
        </w:rPr>
      </w:pPr>
      <w:r>
        <w:rPr>
          <w:b/>
          <w:bCs/>
        </w:rPr>
        <w:br w:type="page"/>
      </w:r>
    </w:p>
    <w:p w14:paraId="48CD1677" w14:textId="3991F529" w:rsidR="007B7DE8" w:rsidRDefault="00EA2AC4" w:rsidP="00E233AE">
      <w:pPr>
        <w:pStyle w:val="Heading1"/>
        <w:rPr>
          <w:b/>
          <w:bCs/>
          <w:sz w:val="22"/>
          <w:szCs w:val="22"/>
        </w:rPr>
      </w:pPr>
      <w:bookmarkStart w:id="1" w:name="_Toc26373843"/>
      <w:r>
        <w:rPr>
          <w:b/>
          <w:bCs/>
          <w:sz w:val="22"/>
          <w:szCs w:val="22"/>
        </w:rPr>
        <w:lastRenderedPageBreak/>
        <w:t>Introduction</w:t>
      </w:r>
      <w:bookmarkEnd w:id="1"/>
    </w:p>
    <w:p w14:paraId="2F76E73C" w14:textId="114C180B" w:rsidR="00304553" w:rsidRDefault="00257E30" w:rsidP="00304553">
      <w:r>
        <w:t xml:space="preserve">Since 2014, the State has </w:t>
      </w:r>
      <w:r w:rsidR="00635218">
        <w:t xml:space="preserve">operated </w:t>
      </w:r>
      <w:r w:rsidR="00010614">
        <w:t xml:space="preserve">under </w:t>
      </w:r>
      <w:r w:rsidR="00671B56">
        <w:t xml:space="preserve">a per capita </w:t>
      </w:r>
      <w:r w:rsidR="00A9674D">
        <w:t xml:space="preserve">constraint imposed by the Centers for Medicare and Medicaid </w:t>
      </w:r>
      <w:r w:rsidR="003D0E41">
        <w:t xml:space="preserve">Services </w:t>
      </w:r>
      <w:r w:rsidR="00A9674D">
        <w:t xml:space="preserve">(CMS) as a condition of the All-Payer Model and the Total Cost of Care </w:t>
      </w:r>
      <w:r w:rsidR="00B04D81">
        <w:t xml:space="preserve">(TCOC) </w:t>
      </w:r>
      <w:r w:rsidR="00A9674D">
        <w:t>Model.</w:t>
      </w:r>
      <w:r w:rsidR="00663732">
        <w:t xml:space="preserve"> The Commission </w:t>
      </w:r>
      <w:r w:rsidR="00461D28">
        <w:t xml:space="preserve">has set the Global Budget Revenue (GBR) for hospitals and the annual update factor to </w:t>
      </w:r>
      <w:r w:rsidR="002B5349">
        <w:t xml:space="preserve">manage the per capita growth rate. </w:t>
      </w:r>
      <w:r w:rsidR="00FC04BA">
        <w:t xml:space="preserve">The GBR limits a hospital’s incentive to </w:t>
      </w:r>
      <w:r w:rsidR="00E22B77">
        <w:t>grow volume</w:t>
      </w:r>
      <w:r w:rsidR="009C56A0">
        <w:t xml:space="preserve"> unnecessarily</w:t>
      </w:r>
      <w:r w:rsidR="00A279AE">
        <w:t>. However, volume</w:t>
      </w:r>
      <w:r w:rsidR="00EE76F9">
        <w:t xml:space="preserve"> growth</w:t>
      </w:r>
      <w:r w:rsidR="00A279AE">
        <w:t xml:space="preserve"> </w:t>
      </w:r>
      <w:r w:rsidR="00173E3D">
        <w:t xml:space="preserve">combined with </w:t>
      </w:r>
      <w:r w:rsidR="00517260">
        <w:t>HSCRC rate support</w:t>
      </w:r>
      <w:r w:rsidR="00C11865">
        <w:t xml:space="preserve"> were historically used to </w:t>
      </w:r>
      <w:r w:rsidR="00173689">
        <w:t xml:space="preserve">finance </w:t>
      </w:r>
      <w:r w:rsidR="009876FD">
        <w:t xml:space="preserve">new </w:t>
      </w:r>
      <w:r w:rsidR="00050544">
        <w:t>capital projects</w:t>
      </w:r>
      <w:r w:rsidR="00B04D81">
        <w:t>, creating an inherent tension between the incentives of the TCOC Model and the ability to generate sufficient revenue to replace aging facilities</w:t>
      </w:r>
      <w:r w:rsidR="00050544">
        <w:t xml:space="preserve">. </w:t>
      </w:r>
    </w:p>
    <w:p w14:paraId="3094EC92" w14:textId="0C8FA9D7" w:rsidR="009876FD" w:rsidRDefault="009876FD" w:rsidP="00304553">
      <w:r>
        <w:t xml:space="preserve">Stakeholders </w:t>
      </w:r>
      <w:r w:rsidR="00D34CC7">
        <w:t>have</w:t>
      </w:r>
      <w:r w:rsidR="00374477">
        <w:t xml:space="preserve"> thus</w:t>
      </w:r>
      <w:r w:rsidR="00D34CC7">
        <w:t xml:space="preserve"> expressed concern that there is no </w:t>
      </w:r>
      <w:r w:rsidR="005F6D02">
        <w:t xml:space="preserve">defined </w:t>
      </w:r>
      <w:r w:rsidR="00627EEC">
        <w:t xml:space="preserve">or predictable </w:t>
      </w:r>
      <w:r w:rsidR="00C828B4">
        <w:t>route for hospitals to receive additional money for new capital projects</w:t>
      </w:r>
      <w:r w:rsidR="00374477">
        <w:t xml:space="preserve"> under the GBR methodology</w:t>
      </w:r>
      <w:r w:rsidR="00C828B4">
        <w:t xml:space="preserve">. </w:t>
      </w:r>
      <w:r w:rsidR="006D1A69">
        <w:t>This recommend</w:t>
      </w:r>
      <w:r w:rsidR="00635218">
        <w:t>ation</w:t>
      </w:r>
      <w:r w:rsidR="006D1A69">
        <w:t xml:space="preserve"> </w:t>
      </w:r>
      <w:r w:rsidR="00D444C5">
        <w:t xml:space="preserve">establishes a policy </w:t>
      </w:r>
      <w:r w:rsidR="00CB3CB1">
        <w:t xml:space="preserve">to provide </w:t>
      </w:r>
      <w:r w:rsidR="00881B80">
        <w:t>predictabl</w:t>
      </w:r>
      <w:r w:rsidR="00635218">
        <w:t>e</w:t>
      </w:r>
      <w:r w:rsidR="00881B80">
        <w:t xml:space="preserve"> </w:t>
      </w:r>
      <w:r w:rsidR="00E51F91">
        <w:t>rate update</w:t>
      </w:r>
      <w:r w:rsidR="00635218">
        <w:t>s</w:t>
      </w:r>
      <w:r w:rsidR="00E51F91">
        <w:t xml:space="preserve"> for new capital project</w:t>
      </w:r>
      <w:r w:rsidR="00B04D81">
        <w:t>s, while also taking into account increased excess capacity produced by volume declines</w:t>
      </w:r>
      <w:r w:rsidR="00C7675C">
        <w:t xml:space="preserve"> over the past 5 years</w:t>
      </w:r>
      <w:r w:rsidR="00B04D81">
        <w:t xml:space="preserve"> and the inefficient use of </w:t>
      </w:r>
      <w:r w:rsidR="005A0679">
        <w:t xml:space="preserve">fixed costs. </w:t>
      </w:r>
      <w:r w:rsidR="00144AAE">
        <w:t xml:space="preserve">Therefore, </w:t>
      </w:r>
      <w:r w:rsidR="00CF582E">
        <w:t>s</w:t>
      </w:r>
      <w:r w:rsidR="004323DB">
        <w:t xml:space="preserve">taff recommend </w:t>
      </w:r>
      <w:r w:rsidR="00D777F0">
        <w:t xml:space="preserve">that the </w:t>
      </w:r>
      <w:r w:rsidR="00D64330">
        <w:t xml:space="preserve">rate updates for capital financing be </w:t>
      </w:r>
      <w:r w:rsidR="00E144FF">
        <w:t>scaled by the hospital</w:t>
      </w:r>
      <w:r w:rsidR="00D54C5E">
        <w:t xml:space="preserve">’s </w:t>
      </w:r>
      <w:r w:rsidR="00F55466">
        <w:t>efficiency</w:t>
      </w:r>
      <w:r w:rsidR="00DA2DB0">
        <w:t xml:space="preserve"> </w:t>
      </w:r>
      <w:r w:rsidR="00F55466">
        <w:t>and excess capacity.</w:t>
      </w:r>
      <w:r w:rsidR="00CF582E">
        <w:t xml:space="preserve">  The following final staff recommendation takes into account stakeholder feedback and staff work on an appropriate policy to fund capital projects under the TCOC Model.  </w:t>
      </w:r>
    </w:p>
    <w:p w14:paraId="584C0B3F" w14:textId="77777777" w:rsidR="00F00BD5" w:rsidRPr="00C646DA" w:rsidRDefault="00F00BD5" w:rsidP="00F00BD5">
      <w:pPr>
        <w:pStyle w:val="Heading1"/>
        <w:rPr>
          <w:b/>
          <w:bCs/>
          <w:sz w:val="22"/>
          <w:szCs w:val="22"/>
        </w:rPr>
      </w:pPr>
      <w:bookmarkStart w:id="2" w:name="_Toc26373844"/>
      <w:r w:rsidRPr="00C646DA">
        <w:rPr>
          <w:b/>
          <w:bCs/>
          <w:sz w:val="22"/>
          <w:szCs w:val="22"/>
        </w:rPr>
        <w:t>Recommendations</w:t>
      </w:r>
      <w:bookmarkEnd w:id="2"/>
    </w:p>
    <w:p w14:paraId="78585A22" w14:textId="59474163" w:rsidR="00F00BD5" w:rsidRDefault="00F00BD5" w:rsidP="00F00BD5">
      <w:r>
        <w:t>Staff recommend that rate support be limited to capital proje</w:t>
      </w:r>
      <w:r w:rsidR="005976EB">
        <w:t>cts that exceed a threshold of 2</w:t>
      </w:r>
      <w:r>
        <w:t>5 percent</w:t>
      </w:r>
      <w:r w:rsidR="003D0E41">
        <w:t xml:space="preserve"> of permanent revenue</w:t>
      </w:r>
      <w:r>
        <w:t xml:space="preserve"> for hospitals that have </w:t>
      </w:r>
      <w:r w:rsidR="003D0E41">
        <w:t xml:space="preserve">a </w:t>
      </w:r>
      <w:r>
        <w:t xml:space="preserve">permanent revenue </w:t>
      </w:r>
      <w:r w:rsidR="003D0E41">
        <w:t xml:space="preserve">base </w:t>
      </w:r>
      <w:r>
        <w:t xml:space="preserve">of $300 million or greater.  For smaller hospitals with permanent GBR revenue less than $300 million, the threshold will be scaled up to 50 percent of the hospital’s permanent revenue.  Further, the amount of funding for which a hospital’s capital project is eligible should be determined through the following three-step algorithm: </w:t>
      </w:r>
    </w:p>
    <w:p w14:paraId="7086B9EB" w14:textId="77777777" w:rsidR="00F00BD5" w:rsidRDefault="00F00BD5" w:rsidP="00F00BD5">
      <w:pPr>
        <w:pStyle w:val="ListParagraph"/>
        <w:numPr>
          <w:ilvl w:val="0"/>
          <w:numId w:val="9"/>
        </w:numPr>
      </w:pPr>
      <w:r>
        <w:t>Determine the Hospital’s eligible funding based on the proposed project</w:t>
      </w:r>
    </w:p>
    <w:p w14:paraId="7B97580A" w14:textId="77777777" w:rsidR="00F00BD5" w:rsidRDefault="00F00BD5" w:rsidP="00F00BD5">
      <w:pPr>
        <w:pStyle w:val="ListParagraph"/>
        <w:numPr>
          <w:ilvl w:val="0"/>
          <w:numId w:val="9"/>
        </w:numPr>
      </w:pPr>
      <w:r>
        <w:t>Apply a scaling factor based on efficiency</w:t>
      </w:r>
    </w:p>
    <w:p w14:paraId="78197895" w14:textId="77777777" w:rsidR="00F00BD5" w:rsidRDefault="00F00BD5" w:rsidP="00F00BD5">
      <w:pPr>
        <w:pStyle w:val="ListParagraph"/>
        <w:numPr>
          <w:ilvl w:val="0"/>
          <w:numId w:val="9"/>
        </w:numPr>
      </w:pPr>
      <w:r>
        <w:t>Adjust for PAU and excess capacity</w:t>
      </w:r>
    </w:p>
    <w:p w14:paraId="0433DD33" w14:textId="1DA44863" w:rsidR="00F00BD5" w:rsidRDefault="00F00BD5" w:rsidP="00F00BD5">
      <w:r>
        <w:t xml:space="preserve">Staff further recommends that the amount </w:t>
      </w:r>
      <w:r w:rsidR="003D0E41">
        <w:t xml:space="preserve">of funding </w:t>
      </w:r>
      <w:r>
        <w:t>determined by the algorithm be added to the hospitals permanent revenue beginning in the year in which a capital project comes online. In that year, staff will recommend that the amount of the capital project be subtracted from the inflation portion of the update factor, if the update factor inclusive of capital funding would cause Maryland to exceed the</w:t>
      </w:r>
      <w:r w:rsidR="007D63C8">
        <w:t xml:space="preserve"> Medicare</w:t>
      </w:r>
      <w:r>
        <w:t xml:space="preserve"> total cost of care</w:t>
      </w:r>
      <w:r w:rsidR="00E505A8">
        <w:t xml:space="preserve"> guardrail tests</w:t>
      </w:r>
      <w:r>
        <w:t xml:space="preserve"> </w:t>
      </w:r>
      <w:r w:rsidR="00565B76">
        <w:t xml:space="preserve">or the </w:t>
      </w:r>
      <w:r w:rsidR="007277E3">
        <w:t>growth in the gross state product (GSP)</w:t>
      </w:r>
      <w:r w:rsidR="007D63C8">
        <w:t xml:space="preserve">. </w:t>
      </w:r>
    </w:p>
    <w:p w14:paraId="5D45C2B9" w14:textId="2E49F7A5" w:rsidR="00F00BD5" w:rsidRPr="00304553" w:rsidRDefault="00F00BD5" w:rsidP="00304553">
      <w:r>
        <w:t xml:space="preserve">Finally, if a hospital applies for a rate increase for a project after the conclusion of the Certificate of Need approval process, staff recommends that the amount of funding they receive should be equal to the lesser of the algorithm when the hospital submits a rate request and the year that the project was approved through the Certificate of Need process. </w:t>
      </w:r>
    </w:p>
    <w:p w14:paraId="70A8282B" w14:textId="799B35AD" w:rsidR="008D1123" w:rsidRDefault="008D1123" w:rsidP="0043571A">
      <w:pPr>
        <w:pStyle w:val="Heading2"/>
        <w:tabs>
          <w:tab w:val="left" w:pos="5373"/>
        </w:tabs>
        <w:rPr>
          <w:b/>
          <w:bCs/>
          <w:sz w:val="22"/>
          <w:szCs w:val="22"/>
        </w:rPr>
      </w:pPr>
      <w:bookmarkStart w:id="3" w:name="_Toc26373845"/>
      <w:r w:rsidRPr="001140AE">
        <w:rPr>
          <w:b/>
          <w:bCs/>
          <w:sz w:val="22"/>
          <w:szCs w:val="22"/>
        </w:rPr>
        <w:t>Capital Funding under a Total Revenue Constraint</w:t>
      </w:r>
      <w:bookmarkEnd w:id="3"/>
      <w:r w:rsidR="0043571A">
        <w:rPr>
          <w:b/>
          <w:bCs/>
          <w:sz w:val="22"/>
          <w:szCs w:val="22"/>
        </w:rPr>
        <w:tab/>
      </w:r>
    </w:p>
    <w:p w14:paraId="75166719" w14:textId="61062589" w:rsidR="00C605EC" w:rsidRDefault="00C70EF5" w:rsidP="00C70EF5">
      <w:r>
        <w:t xml:space="preserve">Predictability </w:t>
      </w:r>
      <w:r w:rsidR="00304553">
        <w:t xml:space="preserve">in </w:t>
      </w:r>
      <w:r w:rsidR="00E37041">
        <w:t xml:space="preserve">capital funding is important </w:t>
      </w:r>
      <w:r w:rsidR="00304553">
        <w:t>not just for hospitals but also for</w:t>
      </w:r>
      <w:r w:rsidR="00374477">
        <w:t xml:space="preserve"> the</w:t>
      </w:r>
      <w:r w:rsidR="00304553">
        <w:t xml:space="preserve"> Commission to manage the</w:t>
      </w:r>
      <w:r w:rsidR="007776F5">
        <w:t xml:space="preserve"> </w:t>
      </w:r>
      <w:r w:rsidR="00374477">
        <w:t xml:space="preserve">various </w:t>
      </w:r>
      <w:r w:rsidR="00EE6B24">
        <w:t>total revenue constraints</w:t>
      </w:r>
      <w:r w:rsidR="00374477">
        <w:t xml:space="preserve"> incorporated in the Total Cost of Care Model</w:t>
      </w:r>
      <w:r w:rsidR="003261AF">
        <w:t>, as capital projects could increase costs suddenly when they come online</w:t>
      </w:r>
      <w:r w:rsidR="00A9674D">
        <w:t>.</w:t>
      </w:r>
      <w:r w:rsidR="00EE6B24">
        <w:t xml:space="preserve"> </w:t>
      </w:r>
      <w:r w:rsidR="003261AF">
        <w:t xml:space="preserve"> </w:t>
      </w:r>
      <w:r w:rsidR="00DA0F04">
        <w:t xml:space="preserve">If </w:t>
      </w:r>
      <w:r w:rsidR="007D6332">
        <w:t>a very large project or several simultaneous</w:t>
      </w:r>
      <w:r w:rsidR="00DA0F04">
        <w:t xml:space="preserve"> projects </w:t>
      </w:r>
      <w:r w:rsidR="00744798">
        <w:t xml:space="preserve">come </w:t>
      </w:r>
      <w:r w:rsidR="007D6332">
        <w:t xml:space="preserve">online, the increase in costs </w:t>
      </w:r>
      <w:r w:rsidR="005F7287">
        <w:t>could en</w:t>
      </w:r>
      <w:r w:rsidR="000C06C3">
        <w:t xml:space="preserve">danger the </w:t>
      </w:r>
      <w:r w:rsidR="00374477">
        <w:t>State’s annual total cost of care guardrail test</w:t>
      </w:r>
      <w:r w:rsidR="00CF582E">
        <w:t>,</w:t>
      </w:r>
      <w:r w:rsidR="00374477">
        <w:t xml:space="preserve"> as well as its annual total cost of care savings rate test.  </w:t>
      </w:r>
    </w:p>
    <w:p w14:paraId="5837EE7D" w14:textId="4279B423" w:rsidR="00A9674D" w:rsidRDefault="00E03937" w:rsidP="00C70EF5">
      <w:r>
        <w:lastRenderedPageBreak/>
        <w:t>Staff</w:t>
      </w:r>
      <w:r w:rsidR="00374477">
        <w:t>, therefore,</w:t>
      </w:r>
      <w:r>
        <w:t xml:space="preserve"> considered </w:t>
      </w:r>
      <w:r w:rsidR="00031130">
        <w:t xml:space="preserve">limiting the amount of capital funding </w:t>
      </w:r>
      <w:r w:rsidR="007E23E3">
        <w:t xml:space="preserve">that could be </w:t>
      </w:r>
      <w:r w:rsidR="009D11DA">
        <w:t xml:space="preserve">distributed </w:t>
      </w:r>
      <w:r w:rsidR="008A0D46">
        <w:t>in any given year</w:t>
      </w:r>
      <w:r w:rsidR="00374477">
        <w:t>, which would require</w:t>
      </w:r>
      <w:r w:rsidR="009D11DA">
        <w:t xml:space="preserve"> hosp</w:t>
      </w:r>
      <w:r w:rsidR="00547781">
        <w:t xml:space="preserve">itals to </w:t>
      </w:r>
      <w:r w:rsidR="00374477">
        <w:t xml:space="preserve">potentially </w:t>
      </w:r>
      <w:r w:rsidR="00547781">
        <w:t>wait until the system could afford capital funding</w:t>
      </w:r>
      <w:r w:rsidR="008A0D46">
        <w:t xml:space="preserve">. </w:t>
      </w:r>
      <w:r w:rsidR="00662359">
        <w:t xml:space="preserve">However, the </w:t>
      </w:r>
      <w:r w:rsidR="00CF582E">
        <w:t>s</w:t>
      </w:r>
      <w:r w:rsidR="00662359">
        <w:t xml:space="preserve">taff also believe that the two-pronged test used to set the hospital update factor, which limits growth to be less than both </w:t>
      </w:r>
      <w:r w:rsidR="00CF582E">
        <w:t>Maryland Gross State Product (</w:t>
      </w:r>
      <w:r w:rsidR="00662359">
        <w:t>GSP</w:t>
      </w:r>
      <w:r w:rsidR="00CF582E">
        <w:t>)</w:t>
      </w:r>
      <w:r w:rsidR="00662359">
        <w:t xml:space="preserve"> growth and national Medicare growth</w:t>
      </w:r>
      <w:r w:rsidR="00E505A8">
        <w:t xml:space="preserve"> guardrail tests</w:t>
      </w:r>
      <w:r w:rsidR="00662359">
        <w:t xml:space="preserve">, is a sufficient limitation on hospital cost growth. If the update factor would cause Maryland to exceed </w:t>
      </w:r>
      <w:r w:rsidR="00296D48">
        <w:t xml:space="preserve">either GSP </w:t>
      </w:r>
      <w:r w:rsidR="003D0E41">
        <w:t xml:space="preserve">growth </w:t>
      </w:r>
      <w:r w:rsidR="00296D48">
        <w:t>or national Medicare growth</w:t>
      </w:r>
      <w:r w:rsidR="00E505A8">
        <w:t xml:space="preserve"> guardrail tests</w:t>
      </w:r>
      <w:r w:rsidR="00150387">
        <w:t>,</w:t>
      </w:r>
      <w:r w:rsidR="00662359">
        <w:t xml:space="preserve"> then the amount of capital funding will be subtra</w:t>
      </w:r>
      <w:r w:rsidR="00374517">
        <w:t xml:space="preserve">cted from </w:t>
      </w:r>
      <w:r w:rsidR="004E2FB3">
        <w:t xml:space="preserve">general inflation in </w:t>
      </w:r>
      <w:r w:rsidR="00374517">
        <w:t>the update factor. But sho</w:t>
      </w:r>
      <w:r w:rsidR="00C605EC">
        <w:t>uld the update factor – inclusive of capital funding –</w:t>
      </w:r>
      <w:r w:rsidR="00B01C3D">
        <w:t xml:space="preserve"> comply with the lesser of test then the staff do not recommend that an adjustment should be made to inflation.</w:t>
      </w:r>
    </w:p>
    <w:p w14:paraId="0422C253" w14:textId="1F78865D" w:rsidR="002E6045" w:rsidRDefault="00165C8B" w:rsidP="0065765F">
      <w:r>
        <w:t xml:space="preserve">In order to avoid </w:t>
      </w:r>
      <w:r w:rsidR="002E6045">
        <w:t xml:space="preserve">a </w:t>
      </w:r>
      <w:r w:rsidR="00130F1F">
        <w:t xml:space="preserve">large </w:t>
      </w:r>
      <w:r w:rsidR="00C0713E">
        <w:t xml:space="preserve">growth </w:t>
      </w:r>
      <w:r w:rsidR="00201C34">
        <w:t>in capital costs</w:t>
      </w:r>
      <w:r w:rsidR="00A205A2">
        <w:t xml:space="preserve"> and to ensure that hospitals utilize retained revenues related to avoided utilization to finance smaller projects</w:t>
      </w:r>
      <w:r w:rsidR="00201C34">
        <w:t xml:space="preserve">, </w:t>
      </w:r>
      <w:r w:rsidR="002C53AD">
        <w:t>s</w:t>
      </w:r>
      <w:r w:rsidR="00201C34">
        <w:t xml:space="preserve">taff recommend </w:t>
      </w:r>
      <w:r w:rsidR="001C5949">
        <w:t xml:space="preserve">that </w:t>
      </w:r>
      <w:r w:rsidR="00E978EA">
        <w:t xml:space="preserve">a rate update be </w:t>
      </w:r>
      <w:r w:rsidR="0065703B">
        <w:t xml:space="preserve">limited </w:t>
      </w:r>
      <w:r w:rsidR="007E5B2A">
        <w:t>to projects whose value exceeds</w:t>
      </w:r>
      <w:r w:rsidR="002E6045">
        <w:t xml:space="preserve"> at least</w:t>
      </w:r>
      <w:r w:rsidR="007E5B2A">
        <w:t xml:space="preserve"> </w:t>
      </w:r>
      <w:r w:rsidR="00BB4E06">
        <w:t>2</w:t>
      </w:r>
      <w:r w:rsidR="008D5227">
        <w:t>5</w:t>
      </w:r>
      <w:r w:rsidR="00CF582E">
        <w:t xml:space="preserve"> percent</w:t>
      </w:r>
      <w:r w:rsidR="00831481">
        <w:t xml:space="preserve"> of a requesting hospital’s permanent revenue base</w:t>
      </w:r>
      <w:r w:rsidR="002E6045">
        <w:t>. Staff considered limiting rate increases to proje</w:t>
      </w:r>
      <w:r w:rsidR="00BB4E06">
        <w:t>cts that exceed the greater of 2</w:t>
      </w:r>
      <w:r w:rsidR="002E6045">
        <w:t>5</w:t>
      </w:r>
      <w:r w:rsidR="00CF582E">
        <w:t xml:space="preserve"> percent</w:t>
      </w:r>
      <w:r w:rsidR="00831481">
        <w:t xml:space="preserve"> of a requesting hospital’s permanent revenue base</w:t>
      </w:r>
      <w:r w:rsidR="002E6045">
        <w:t xml:space="preserve"> or $50 million.</w:t>
      </w:r>
      <w:r w:rsidR="00AA4990">
        <w:t xml:space="preserve"> </w:t>
      </w:r>
      <w:r w:rsidR="005B058B">
        <w:t xml:space="preserve">However, $50 million will exceed the permanent revenue of several small hospitals.  Therefore, staff recommend limiting the applicability of rate increase for capital based on a percentage of the hospital’s permanent </w:t>
      </w:r>
      <w:r w:rsidR="00C57BF2">
        <w:t xml:space="preserve">revenue </w:t>
      </w:r>
      <w:r w:rsidR="005B058B">
        <w:t xml:space="preserve">but scaling the threshold based on the size of the hospital. </w:t>
      </w:r>
      <w:r w:rsidR="00AA4990">
        <w:t xml:space="preserve">Staff recommends using permanent revenue instead of the annual GBR because certain allocated costs (such as the deficit assessment) can be large but are not available for funding capital. </w:t>
      </w:r>
    </w:p>
    <w:p w14:paraId="2E316139" w14:textId="1963E9F6" w:rsidR="005C546D" w:rsidRDefault="005C546D" w:rsidP="0065765F">
      <w:r>
        <w:t xml:space="preserve">The </w:t>
      </w:r>
      <w:r w:rsidR="00CF582E">
        <w:t>s</w:t>
      </w:r>
      <w:r>
        <w:t xml:space="preserve">taff recommend </w:t>
      </w:r>
      <w:r w:rsidR="00BB378D">
        <w:t>maintaining</w:t>
      </w:r>
      <w:r>
        <w:t xml:space="preserve"> the threshold for a project</w:t>
      </w:r>
      <w:r w:rsidR="00BB4E06">
        <w:t xml:space="preserve"> to receive capital funding at 2</w:t>
      </w:r>
      <w:r>
        <w:t>5</w:t>
      </w:r>
      <w:r w:rsidR="00CF582E">
        <w:t xml:space="preserve"> percent</w:t>
      </w:r>
      <w:r>
        <w:t xml:space="preserve"> of the hospital </w:t>
      </w:r>
      <w:r w:rsidR="00CC1934">
        <w:t>permanent revenue</w:t>
      </w:r>
      <w:r>
        <w:t xml:space="preserve"> for a hospital near or above the median of all hospitals (about $300 million). </w:t>
      </w:r>
      <w:r w:rsidR="000B2F8E">
        <w:t xml:space="preserve">Staff also recommend increasing the capital threshold by </w:t>
      </w:r>
      <w:r w:rsidR="00BB4E06">
        <w:t>0.10</w:t>
      </w:r>
      <w:r w:rsidR="00CF582E">
        <w:t xml:space="preserve"> percent</w:t>
      </w:r>
      <w:r w:rsidR="004D656F">
        <w:t xml:space="preserve"> for every million dollars that the hospital is below $300 million. This equates </w:t>
      </w:r>
      <w:r w:rsidR="00C37949">
        <w:t>to scaling from a threshold of 2</w:t>
      </w:r>
      <w:r w:rsidR="004D656F">
        <w:t>5</w:t>
      </w:r>
      <w:r w:rsidR="00CF582E">
        <w:t xml:space="preserve"> percent</w:t>
      </w:r>
      <w:r w:rsidR="004D656F">
        <w:t xml:space="preserve"> for a hospital with </w:t>
      </w:r>
      <w:r w:rsidR="00CC1934">
        <w:t>permanent revenue</w:t>
      </w:r>
      <w:r w:rsidR="004D656F">
        <w:t xml:space="preserve"> of $300 million to a threshold of 50</w:t>
      </w:r>
      <w:r w:rsidR="00CF582E">
        <w:t xml:space="preserve"> percent</w:t>
      </w:r>
      <w:r w:rsidR="004D656F">
        <w:t xml:space="preserve"> for a hospital with </w:t>
      </w:r>
      <w:r w:rsidR="00CC1934">
        <w:t>permanent revenue</w:t>
      </w:r>
      <w:r w:rsidR="004D656F">
        <w:t xml:space="preserve"> of $50 million. </w:t>
      </w:r>
      <w:r w:rsidR="000B2F8E">
        <w:t xml:space="preserve">For example, a hospital with </w:t>
      </w:r>
      <w:r w:rsidR="00CC1934">
        <w:t>permanent revenue</w:t>
      </w:r>
      <w:r w:rsidR="000B2F8E">
        <w:t xml:space="preserve"> of $200 million woul</w:t>
      </w:r>
      <w:r w:rsidR="00C37949">
        <w:t>d have a capital threshold of 35</w:t>
      </w:r>
      <w:r w:rsidR="00CF582E">
        <w:t xml:space="preserve"> percent</w:t>
      </w:r>
      <w:r w:rsidR="00C37949">
        <w:t xml:space="preserve"> or $70</w:t>
      </w:r>
      <w:r w:rsidR="000B2F8E">
        <w:t xml:space="preserve"> million dollars.</w:t>
      </w:r>
      <w:r w:rsidR="004D656F">
        <w:t xml:space="preserve"> The table below shows the capital threshold and the threshold amounts in increment</w:t>
      </w:r>
      <w:r w:rsidR="00C37949">
        <w:t>s</w:t>
      </w:r>
      <w:r w:rsidR="004D656F">
        <w:t xml:space="preserve"> of $50 million. </w:t>
      </w:r>
      <w:r w:rsidR="000C3BCC">
        <w:t>While the threshold is a highe</w:t>
      </w:r>
      <w:r w:rsidR="00831481">
        <w:t>r percent of the hospital’s permanent revenue base,</w:t>
      </w:r>
      <w:r w:rsidR="000C3BCC">
        <w:t xml:space="preserve"> the actual dollar value of the threshold is lower for smaller </w:t>
      </w:r>
      <w:r w:rsidR="00831481">
        <w:t>hospitals. A hospital with a permanent revenue base</w:t>
      </w:r>
      <w:r w:rsidR="000C3BCC">
        <w:t xml:space="preserve"> of $50 million would have a threshold of only $25 million, down from the original recommendation of $50 million</w:t>
      </w:r>
      <w:r w:rsidR="00831481">
        <w:t>.</w:t>
      </w:r>
      <w:r w:rsidR="00831481">
        <w:rPr>
          <w:rStyle w:val="FootnoteReference"/>
        </w:rPr>
        <w:footnoteReference w:id="2"/>
      </w:r>
      <w:r w:rsidR="000C3BCC">
        <w:t xml:space="preserve"> </w:t>
      </w:r>
    </w:p>
    <w:tbl>
      <w:tblPr>
        <w:tblStyle w:val="ListTable4-Accent1"/>
        <w:tblW w:w="0" w:type="auto"/>
        <w:tblLook w:val="04A0" w:firstRow="1" w:lastRow="0" w:firstColumn="1" w:lastColumn="0" w:noHBand="0" w:noVBand="1"/>
      </w:tblPr>
      <w:tblGrid>
        <w:gridCol w:w="3330"/>
        <w:gridCol w:w="3199"/>
        <w:gridCol w:w="2821"/>
      </w:tblGrid>
      <w:tr w:rsidR="005C546D" w14:paraId="79E59186" w14:textId="3E800612" w:rsidTr="00E505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single" w:sz="4" w:space="0" w:color="auto"/>
            </w:tcBorders>
          </w:tcPr>
          <w:p w14:paraId="0C2EC8EE" w14:textId="23AFDB2F" w:rsidR="005C546D" w:rsidRDefault="00CC1934" w:rsidP="00E505A8">
            <w:pPr>
              <w:jc w:val="center"/>
            </w:pPr>
            <w:r>
              <w:t>Permanent Revenue</w:t>
            </w:r>
          </w:p>
        </w:tc>
        <w:tc>
          <w:tcPr>
            <w:tcW w:w="3199" w:type="dxa"/>
            <w:tcBorders>
              <w:top w:val="single" w:sz="4" w:space="0" w:color="auto"/>
            </w:tcBorders>
          </w:tcPr>
          <w:p w14:paraId="79DEF839" w14:textId="1CC6215E" w:rsidR="005C546D" w:rsidRDefault="005C546D" w:rsidP="00E505A8">
            <w:pPr>
              <w:jc w:val="center"/>
              <w:cnfStyle w:val="100000000000" w:firstRow="1" w:lastRow="0" w:firstColumn="0" w:lastColumn="0" w:oddVBand="0" w:evenVBand="0" w:oddHBand="0" w:evenHBand="0" w:firstRowFirstColumn="0" w:firstRowLastColumn="0" w:lastRowFirstColumn="0" w:lastRowLastColumn="0"/>
            </w:pPr>
            <w:r>
              <w:t>Threshold for Capital Funding</w:t>
            </w:r>
          </w:p>
        </w:tc>
        <w:tc>
          <w:tcPr>
            <w:tcW w:w="2821" w:type="dxa"/>
            <w:tcBorders>
              <w:top w:val="single" w:sz="4" w:space="0" w:color="auto"/>
              <w:right w:val="single" w:sz="4" w:space="0" w:color="auto"/>
            </w:tcBorders>
          </w:tcPr>
          <w:p w14:paraId="5075A88B" w14:textId="53B14913" w:rsidR="005C546D" w:rsidRDefault="005C546D" w:rsidP="005C546D">
            <w:pPr>
              <w:jc w:val="center"/>
              <w:cnfStyle w:val="100000000000" w:firstRow="1" w:lastRow="0" w:firstColumn="0" w:lastColumn="0" w:oddVBand="0" w:evenVBand="0" w:oddHBand="0" w:evenHBand="0" w:firstRowFirstColumn="0" w:firstRowLastColumn="0" w:lastRowFirstColumn="0" w:lastRowLastColumn="0"/>
            </w:pPr>
            <w:r>
              <w:t>Threshold Amount</w:t>
            </w:r>
          </w:p>
        </w:tc>
      </w:tr>
      <w:tr w:rsidR="005C546D" w14:paraId="3E2F87A5" w14:textId="4CCFCBB0" w:rsidTr="00E505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left w:val="single" w:sz="4" w:space="0" w:color="auto"/>
            </w:tcBorders>
            <w:vAlign w:val="bottom"/>
          </w:tcPr>
          <w:p w14:paraId="22CC7A48" w14:textId="0618A074" w:rsidR="005C546D" w:rsidRDefault="005C546D" w:rsidP="00E505A8">
            <w:pPr>
              <w:jc w:val="center"/>
            </w:pPr>
            <w:r>
              <w:rPr>
                <w:rFonts w:ascii="Calibri" w:hAnsi="Calibri" w:cs="Calibri"/>
                <w:color w:val="000000"/>
              </w:rPr>
              <w:t>&gt; $300,000,000</w:t>
            </w:r>
          </w:p>
        </w:tc>
        <w:tc>
          <w:tcPr>
            <w:tcW w:w="3199" w:type="dxa"/>
            <w:vAlign w:val="bottom"/>
          </w:tcPr>
          <w:p w14:paraId="197BD1E2" w14:textId="7846F1EC" w:rsidR="005C546D" w:rsidRDefault="00C37949" w:rsidP="00E505A8">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2</w:t>
            </w:r>
            <w:r w:rsidR="005C546D">
              <w:rPr>
                <w:rFonts w:ascii="Calibri" w:hAnsi="Calibri" w:cs="Calibri"/>
                <w:color w:val="000000"/>
              </w:rPr>
              <w:t>5.0%</w:t>
            </w:r>
          </w:p>
        </w:tc>
        <w:tc>
          <w:tcPr>
            <w:tcW w:w="2821" w:type="dxa"/>
            <w:tcBorders>
              <w:right w:val="single" w:sz="4" w:space="0" w:color="auto"/>
            </w:tcBorders>
            <w:vAlign w:val="bottom"/>
          </w:tcPr>
          <w:p w14:paraId="5AC60E0E" w14:textId="21A33448" w:rsidR="005C546D" w:rsidRDefault="00C37949" w:rsidP="00E505A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                  $7</w:t>
            </w:r>
            <w:r w:rsidR="005C546D">
              <w:rPr>
                <w:rFonts w:ascii="Calibri" w:hAnsi="Calibri" w:cs="Calibri"/>
                <w:color w:val="000000"/>
              </w:rPr>
              <w:t xml:space="preserve">5,000,000 </w:t>
            </w:r>
          </w:p>
        </w:tc>
      </w:tr>
      <w:tr w:rsidR="005C546D" w14:paraId="7B0C3D06" w14:textId="7B16173C" w:rsidTr="00E505A8">
        <w:tc>
          <w:tcPr>
            <w:cnfStyle w:val="001000000000" w:firstRow="0" w:lastRow="0" w:firstColumn="1" w:lastColumn="0" w:oddVBand="0" w:evenVBand="0" w:oddHBand="0" w:evenHBand="0" w:firstRowFirstColumn="0" w:firstRowLastColumn="0" w:lastRowFirstColumn="0" w:lastRowLastColumn="0"/>
            <w:tcW w:w="3330" w:type="dxa"/>
            <w:tcBorders>
              <w:left w:val="single" w:sz="4" w:space="0" w:color="auto"/>
            </w:tcBorders>
            <w:vAlign w:val="bottom"/>
          </w:tcPr>
          <w:p w14:paraId="407395CA" w14:textId="52231ACD" w:rsidR="005C546D" w:rsidRDefault="005C546D" w:rsidP="00E505A8">
            <w:pPr>
              <w:jc w:val="center"/>
            </w:pPr>
            <w:r>
              <w:rPr>
                <w:rFonts w:ascii="Calibri" w:hAnsi="Calibri" w:cs="Calibri"/>
                <w:color w:val="000000"/>
              </w:rPr>
              <w:t>$250,000,000</w:t>
            </w:r>
          </w:p>
        </w:tc>
        <w:tc>
          <w:tcPr>
            <w:tcW w:w="3199" w:type="dxa"/>
            <w:vAlign w:val="bottom"/>
          </w:tcPr>
          <w:p w14:paraId="2D463FD9" w14:textId="461FE2BB" w:rsidR="005C546D" w:rsidRDefault="00C37949" w:rsidP="00E505A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30</w:t>
            </w:r>
            <w:r w:rsidR="005C546D">
              <w:rPr>
                <w:rFonts w:ascii="Calibri" w:hAnsi="Calibri" w:cs="Calibri"/>
                <w:color w:val="000000"/>
              </w:rPr>
              <w:t>.0%</w:t>
            </w:r>
          </w:p>
        </w:tc>
        <w:tc>
          <w:tcPr>
            <w:tcW w:w="2821" w:type="dxa"/>
            <w:tcBorders>
              <w:right w:val="single" w:sz="4" w:space="0" w:color="auto"/>
            </w:tcBorders>
            <w:vAlign w:val="bottom"/>
          </w:tcPr>
          <w:p w14:paraId="19864512" w14:textId="243E98F2" w:rsidR="005C546D" w:rsidRDefault="00C37949" w:rsidP="00E505A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$7</w:t>
            </w:r>
            <w:r w:rsidR="005C546D">
              <w:rPr>
                <w:rFonts w:ascii="Calibri" w:hAnsi="Calibri" w:cs="Calibri"/>
                <w:color w:val="000000"/>
              </w:rPr>
              <w:t xml:space="preserve">5,000,000 </w:t>
            </w:r>
          </w:p>
        </w:tc>
      </w:tr>
      <w:tr w:rsidR="005C546D" w14:paraId="35017764" w14:textId="4F148926" w:rsidTr="00E505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left w:val="single" w:sz="4" w:space="0" w:color="auto"/>
            </w:tcBorders>
            <w:vAlign w:val="bottom"/>
          </w:tcPr>
          <w:p w14:paraId="1F8DFD2D" w14:textId="27C80F67" w:rsidR="005C546D" w:rsidRDefault="005C546D" w:rsidP="00E505A8">
            <w:pPr>
              <w:jc w:val="center"/>
            </w:pPr>
            <w:r>
              <w:rPr>
                <w:rFonts w:ascii="Calibri" w:hAnsi="Calibri" w:cs="Calibri"/>
                <w:color w:val="000000"/>
              </w:rPr>
              <w:t>$200,000,000</w:t>
            </w:r>
          </w:p>
        </w:tc>
        <w:tc>
          <w:tcPr>
            <w:tcW w:w="3199" w:type="dxa"/>
            <w:vAlign w:val="bottom"/>
          </w:tcPr>
          <w:p w14:paraId="253673B4" w14:textId="40A116DF" w:rsidR="005C546D" w:rsidRDefault="00C37949" w:rsidP="00E505A8">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35</w:t>
            </w:r>
            <w:r w:rsidR="005C546D">
              <w:rPr>
                <w:rFonts w:ascii="Calibri" w:hAnsi="Calibri" w:cs="Calibri"/>
                <w:color w:val="000000"/>
              </w:rPr>
              <w:t>.0%</w:t>
            </w:r>
          </w:p>
        </w:tc>
        <w:tc>
          <w:tcPr>
            <w:tcW w:w="2821" w:type="dxa"/>
            <w:tcBorders>
              <w:right w:val="single" w:sz="4" w:space="0" w:color="auto"/>
            </w:tcBorders>
            <w:vAlign w:val="bottom"/>
          </w:tcPr>
          <w:p w14:paraId="61DE46D4" w14:textId="5559F093" w:rsidR="005C546D" w:rsidRDefault="00C37949" w:rsidP="00E505A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                    $70</w:t>
            </w:r>
            <w:r w:rsidR="005C546D">
              <w:rPr>
                <w:rFonts w:ascii="Calibri" w:hAnsi="Calibri" w:cs="Calibri"/>
                <w:color w:val="000000"/>
              </w:rPr>
              <w:t xml:space="preserve">,000,000 </w:t>
            </w:r>
          </w:p>
        </w:tc>
      </w:tr>
      <w:tr w:rsidR="005C546D" w14:paraId="04B6A878" w14:textId="27500C8F" w:rsidTr="00E505A8">
        <w:tc>
          <w:tcPr>
            <w:cnfStyle w:val="001000000000" w:firstRow="0" w:lastRow="0" w:firstColumn="1" w:lastColumn="0" w:oddVBand="0" w:evenVBand="0" w:oddHBand="0" w:evenHBand="0" w:firstRowFirstColumn="0" w:firstRowLastColumn="0" w:lastRowFirstColumn="0" w:lastRowLastColumn="0"/>
            <w:tcW w:w="3330" w:type="dxa"/>
            <w:tcBorders>
              <w:left w:val="single" w:sz="4" w:space="0" w:color="auto"/>
            </w:tcBorders>
            <w:vAlign w:val="bottom"/>
          </w:tcPr>
          <w:p w14:paraId="144DF73F" w14:textId="4103AF98" w:rsidR="005C546D" w:rsidRDefault="005C546D" w:rsidP="00E505A8">
            <w:pPr>
              <w:jc w:val="center"/>
            </w:pPr>
            <w:r>
              <w:rPr>
                <w:rFonts w:ascii="Calibri" w:hAnsi="Calibri" w:cs="Calibri"/>
                <w:color w:val="000000"/>
              </w:rPr>
              <w:t>$150,000,000</w:t>
            </w:r>
          </w:p>
        </w:tc>
        <w:tc>
          <w:tcPr>
            <w:tcW w:w="3199" w:type="dxa"/>
            <w:vAlign w:val="bottom"/>
          </w:tcPr>
          <w:p w14:paraId="0E12DD0B" w14:textId="6C1D75C6" w:rsidR="005C546D" w:rsidRDefault="00C37949" w:rsidP="00E505A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40</w:t>
            </w:r>
            <w:r w:rsidR="005C546D">
              <w:rPr>
                <w:rFonts w:ascii="Calibri" w:hAnsi="Calibri" w:cs="Calibri"/>
                <w:color w:val="000000"/>
              </w:rPr>
              <w:t>.0%</w:t>
            </w:r>
          </w:p>
        </w:tc>
        <w:tc>
          <w:tcPr>
            <w:tcW w:w="2821" w:type="dxa"/>
            <w:tcBorders>
              <w:right w:val="single" w:sz="4" w:space="0" w:color="auto"/>
            </w:tcBorders>
            <w:vAlign w:val="bottom"/>
          </w:tcPr>
          <w:p w14:paraId="44FE7FBF" w14:textId="1FF2124F" w:rsidR="005C546D" w:rsidRDefault="005C546D" w:rsidP="00E505A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w:t>
            </w:r>
            <w:r w:rsidR="00C37949">
              <w:rPr>
                <w:rFonts w:ascii="Calibri" w:hAnsi="Calibri" w:cs="Calibri"/>
                <w:color w:val="000000"/>
              </w:rPr>
              <w:t xml:space="preserve">      $60</w:t>
            </w:r>
            <w:r>
              <w:rPr>
                <w:rFonts w:ascii="Calibri" w:hAnsi="Calibri" w:cs="Calibri"/>
                <w:color w:val="000000"/>
              </w:rPr>
              <w:t xml:space="preserve">,000,000 </w:t>
            </w:r>
          </w:p>
        </w:tc>
      </w:tr>
      <w:tr w:rsidR="005C546D" w14:paraId="3A410043" w14:textId="7277AC42" w:rsidTr="00E505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left w:val="single" w:sz="4" w:space="0" w:color="auto"/>
            </w:tcBorders>
            <w:vAlign w:val="bottom"/>
          </w:tcPr>
          <w:p w14:paraId="6E69C348" w14:textId="45743781" w:rsidR="005C546D" w:rsidRDefault="005C546D" w:rsidP="00E505A8">
            <w:pPr>
              <w:jc w:val="center"/>
            </w:pPr>
            <w:r>
              <w:rPr>
                <w:rFonts w:ascii="Calibri" w:hAnsi="Calibri" w:cs="Calibri"/>
                <w:color w:val="000000"/>
              </w:rPr>
              <w:t>$100,000,000</w:t>
            </w:r>
          </w:p>
        </w:tc>
        <w:tc>
          <w:tcPr>
            <w:tcW w:w="3199" w:type="dxa"/>
            <w:vAlign w:val="bottom"/>
          </w:tcPr>
          <w:p w14:paraId="6A758A21" w14:textId="3AADD958" w:rsidR="005C546D" w:rsidRDefault="00C37949" w:rsidP="00E505A8">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45</w:t>
            </w:r>
            <w:r w:rsidR="005C546D">
              <w:rPr>
                <w:rFonts w:ascii="Calibri" w:hAnsi="Calibri" w:cs="Calibri"/>
                <w:color w:val="000000"/>
              </w:rPr>
              <w:t>.0%</w:t>
            </w:r>
          </w:p>
        </w:tc>
        <w:tc>
          <w:tcPr>
            <w:tcW w:w="2821" w:type="dxa"/>
            <w:tcBorders>
              <w:right w:val="single" w:sz="4" w:space="0" w:color="auto"/>
            </w:tcBorders>
            <w:vAlign w:val="bottom"/>
          </w:tcPr>
          <w:p w14:paraId="74185310" w14:textId="51B15592" w:rsidR="005C546D" w:rsidRDefault="00C37949" w:rsidP="00E505A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                    $45</w:t>
            </w:r>
            <w:r w:rsidR="005C546D">
              <w:rPr>
                <w:rFonts w:ascii="Calibri" w:hAnsi="Calibri" w:cs="Calibri"/>
                <w:color w:val="000000"/>
              </w:rPr>
              <w:t xml:space="preserve">,000,000 </w:t>
            </w:r>
          </w:p>
        </w:tc>
      </w:tr>
      <w:tr w:rsidR="005C546D" w14:paraId="5450929F" w14:textId="64378D03" w:rsidTr="00E505A8">
        <w:tc>
          <w:tcPr>
            <w:cnfStyle w:val="001000000000" w:firstRow="0" w:lastRow="0" w:firstColumn="1" w:lastColumn="0" w:oddVBand="0" w:evenVBand="0" w:oddHBand="0" w:evenHBand="0" w:firstRowFirstColumn="0" w:firstRowLastColumn="0" w:lastRowFirstColumn="0" w:lastRowLastColumn="0"/>
            <w:tcW w:w="3330" w:type="dxa"/>
            <w:tcBorders>
              <w:left w:val="single" w:sz="4" w:space="0" w:color="auto"/>
              <w:bottom w:val="single" w:sz="4" w:space="0" w:color="auto"/>
            </w:tcBorders>
            <w:vAlign w:val="bottom"/>
          </w:tcPr>
          <w:p w14:paraId="6AB3CFDF" w14:textId="1B5886A0" w:rsidR="005C546D" w:rsidRDefault="005C546D" w:rsidP="00E505A8">
            <w:pPr>
              <w:jc w:val="center"/>
            </w:pPr>
            <w:r>
              <w:rPr>
                <w:rFonts w:ascii="Calibri" w:hAnsi="Calibri" w:cs="Calibri"/>
                <w:color w:val="000000"/>
              </w:rPr>
              <w:t>&lt; $50,000,000</w:t>
            </w:r>
          </w:p>
        </w:tc>
        <w:tc>
          <w:tcPr>
            <w:tcW w:w="3199" w:type="dxa"/>
            <w:tcBorders>
              <w:bottom w:val="single" w:sz="4" w:space="0" w:color="auto"/>
            </w:tcBorders>
            <w:vAlign w:val="bottom"/>
          </w:tcPr>
          <w:p w14:paraId="0F3A8D6F" w14:textId="58D04B04" w:rsidR="005C546D" w:rsidRDefault="005C546D" w:rsidP="00E505A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50.0%</w:t>
            </w:r>
          </w:p>
        </w:tc>
        <w:tc>
          <w:tcPr>
            <w:tcW w:w="2821" w:type="dxa"/>
            <w:tcBorders>
              <w:bottom w:val="single" w:sz="4" w:space="0" w:color="auto"/>
              <w:right w:val="single" w:sz="4" w:space="0" w:color="auto"/>
            </w:tcBorders>
            <w:vAlign w:val="bottom"/>
          </w:tcPr>
          <w:p w14:paraId="4229A433" w14:textId="1FF25DB6" w:rsidR="005C546D" w:rsidRDefault="005C546D" w:rsidP="00E505A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$25,000,000 </w:t>
            </w:r>
          </w:p>
        </w:tc>
      </w:tr>
      <w:tr w:rsidR="000C3BCC" w14:paraId="3E46EF8C" w14:textId="77777777" w:rsidTr="00E505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nil"/>
              <w:bottom w:val="nil"/>
            </w:tcBorders>
            <w:shd w:val="clear" w:color="auto" w:fill="FFFFFF" w:themeFill="background1"/>
            <w:vAlign w:val="bottom"/>
          </w:tcPr>
          <w:p w14:paraId="00B10EFE" w14:textId="77777777" w:rsidR="000C3BCC" w:rsidRDefault="000C3BCC" w:rsidP="005C546D">
            <w:pPr>
              <w:jc w:val="center"/>
              <w:rPr>
                <w:rFonts w:ascii="Calibri" w:hAnsi="Calibri" w:cs="Calibri"/>
                <w:color w:val="000000"/>
              </w:rPr>
            </w:pPr>
          </w:p>
        </w:tc>
        <w:tc>
          <w:tcPr>
            <w:tcW w:w="0" w:type="dxa"/>
            <w:tcBorders>
              <w:top w:val="single" w:sz="4" w:space="0" w:color="auto"/>
              <w:bottom w:val="nil"/>
            </w:tcBorders>
            <w:shd w:val="clear" w:color="auto" w:fill="FFFFFF" w:themeFill="background1"/>
            <w:vAlign w:val="bottom"/>
          </w:tcPr>
          <w:p w14:paraId="2398D8C7" w14:textId="77777777" w:rsidR="000C3BCC" w:rsidRDefault="000C3BCC" w:rsidP="005C546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0" w:type="dxa"/>
            <w:tcBorders>
              <w:top w:val="single" w:sz="4" w:space="0" w:color="auto"/>
              <w:bottom w:val="nil"/>
              <w:right w:val="nil"/>
            </w:tcBorders>
            <w:shd w:val="clear" w:color="auto" w:fill="FFFFFF" w:themeFill="background1"/>
            <w:vAlign w:val="bottom"/>
          </w:tcPr>
          <w:p w14:paraId="39C10E1B" w14:textId="77777777" w:rsidR="000C3BCC" w:rsidRDefault="000C3BCC" w:rsidP="005C546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bl>
    <w:p w14:paraId="119DE898" w14:textId="64426E5D" w:rsidR="00782599" w:rsidRDefault="005643DB" w:rsidP="0065765F">
      <w:r>
        <w:t>Staff believe this will</w:t>
      </w:r>
      <w:r w:rsidR="00C57BF2">
        <w:t xml:space="preserve"> continue to</w:t>
      </w:r>
      <w:r>
        <w:t xml:space="preserve"> limit </w:t>
      </w:r>
      <w:r w:rsidR="00B93DB7">
        <w:t xml:space="preserve">applications for capital funding </w:t>
      </w:r>
      <w:r w:rsidR="00582CCE">
        <w:t xml:space="preserve">to </w:t>
      </w:r>
      <w:r w:rsidR="00B93DB7">
        <w:t xml:space="preserve">large </w:t>
      </w:r>
      <w:r w:rsidR="008457A7">
        <w:t>projects that could not be financed without</w:t>
      </w:r>
      <w:r w:rsidR="00930F1A">
        <w:t xml:space="preserve"> rate support</w:t>
      </w:r>
      <w:r w:rsidR="00CD6D5E">
        <w:t xml:space="preserve">, primarily </w:t>
      </w:r>
      <w:r w:rsidR="00E17072">
        <w:t xml:space="preserve">projects that include building new </w:t>
      </w:r>
      <w:r w:rsidR="00CF582E">
        <w:t xml:space="preserve">physical </w:t>
      </w:r>
      <w:r w:rsidR="00E17072">
        <w:t>plan</w:t>
      </w:r>
      <w:r w:rsidR="00CF582E">
        <w:t>t</w:t>
      </w:r>
      <w:r w:rsidR="00E17072">
        <w:t>s</w:t>
      </w:r>
      <w:r w:rsidR="00C57BF2">
        <w:t xml:space="preserve">, while at the </w:t>
      </w:r>
      <w:r w:rsidR="00C57BF2">
        <w:lastRenderedPageBreak/>
        <w:t>same time recognizing the smaller hospitals do not have the same level of capital reserves to finance projects that are large relative to their size</w:t>
      </w:r>
      <w:r w:rsidR="00930F1A">
        <w:t>. Smaller project</w:t>
      </w:r>
      <w:r w:rsidR="003660CF">
        <w:t>s</w:t>
      </w:r>
      <w:r w:rsidR="00C57BF2">
        <w:t>, i.e. less than the proposed scaled thresholds for capital funding listed in the above table,</w:t>
      </w:r>
      <w:r w:rsidR="00930F1A">
        <w:t xml:space="preserve"> </w:t>
      </w:r>
      <w:r w:rsidR="002C53AD">
        <w:t>should</w:t>
      </w:r>
      <w:r w:rsidR="00930F1A">
        <w:t xml:space="preserve"> be </w:t>
      </w:r>
      <w:r w:rsidR="001854B8">
        <w:t xml:space="preserve">financed </w:t>
      </w:r>
      <w:r w:rsidR="00BE6E1D">
        <w:t>out of existing revenues</w:t>
      </w:r>
      <w:r w:rsidR="00334DB1">
        <w:t>.</w:t>
      </w:r>
      <w:r w:rsidR="00BE6E1D">
        <w:t xml:space="preserve"> </w:t>
      </w:r>
      <w:r w:rsidR="00334DB1">
        <w:t>H</w:t>
      </w:r>
      <w:r w:rsidR="005F66F1">
        <w:t xml:space="preserve">ospitals </w:t>
      </w:r>
      <w:r w:rsidR="00672361">
        <w:t xml:space="preserve">currently </w:t>
      </w:r>
      <w:r w:rsidR="006046A1">
        <w:t xml:space="preserve">receive </w:t>
      </w:r>
      <w:r w:rsidR="00635218">
        <w:t xml:space="preserve">funding </w:t>
      </w:r>
      <w:r w:rsidR="006046A1">
        <w:t xml:space="preserve">for capital projects in the annual update factor and </w:t>
      </w:r>
      <w:r w:rsidR="00730831">
        <w:t xml:space="preserve">hospitals </w:t>
      </w:r>
      <w:r w:rsidR="00417365">
        <w:t xml:space="preserve">retain the </w:t>
      </w:r>
      <w:r w:rsidR="00454B45">
        <w:t xml:space="preserve">average annual </w:t>
      </w:r>
      <w:r w:rsidR="00417365">
        <w:t xml:space="preserve">interest and depreciation costs </w:t>
      </w:r>
      <w:r w:rsidR="00930030">
        <w:t xml:space="preserve">on all their previous </w:t>
      </w:r>
      <w:r w:rsidR="006A2E98">
        <w:t>capital projects</w:t>
      </w:r>
      <w:r w:rsidR="00D90C63">
        <w:t>, even after those projects have completed their useful life</w:t>
      </w:r>
      <w:r w:rsidR="00C57BF2">
        <w:t>.</w:t>
      </w:r>
      <w:r w:rsidR="00C027CC">
        <w:t xml:space="preserve"> </w:t>
      </w:r>
    </w:p>
    <w:p w14:paraId="0FF784CD" w14:textId="736DD072" w:rsidR="0065765F" w:rsidRDefault="00D957AA" w:rsidP="0065765F">
      <w:r>
        <w:t xml:space="preserve">Staff considered lowering the threshold for larger hospitals but </w:t>
      </w:r>
      <w:r w:rsidR="00C57BF2">
        <w:t xml:space="preserve">did </w:t>
      </w:r>
      <w:r>
        <w:t xml:space="preserve">not recommend doing so for two reasons: </w:t>
      </w:r>
      <w:r w:rsidR="002142B2">
        <w:t>first, capital is already funded through the update factor and projects smaller than a major plant replacement should have sufficient funding</w:t>
      </w:r>
      <w:r w:rsidR="00B225F4">
        <w:t>;</w:t>
      </w:r>
      <w:r w:rsidR="002142B2">
        <w:t xml:space="preserve"> and</w:t>
      </w:r>
      <w:r w:rsidR="00B225F4">
        <w:t xml:space="preserve"> second, larger hospitals likely have additional financial flexibility to fund projects, such as philanthropy or large cash balances.</w:t>
      </w:r>
    </w:p>
    <w:p w14:paraId="026339C7" w14:textId="7C9D15C5" w:rsidR="00BF7304" w:rsidRPr="00C70EF5" w:rsidRDefault="000E086B" w:rsidP="003664F7">
      <w:r>
        <w:t xml:space="preserve">Additionally, </w:t>
      </w:r>
      <w:r w:rsidR="003F305F">
        <w:t>s</w:t>
      </w:r>
      <w:r w:rsidR="00704423">
        <w:t xml:space="preserve">taff recommend </w:t>
      </w:r>
      <w:r w:rsidR="00A34446">
        <w:t>establishing a policy for when</w:t>
      </w:r>
      <w:r w:rsidR="00600A74">
        <w:t xml:space="preserve"> </w:t>
      </w:r>
      <w:r w:rsidR="008461ED">
        <w:t xml:space="preserve">partial </w:t>
      </w:r>
      <w:r w:rsidR="00600A74">
        <w:t xml:space="preserve">rate applications </w:t>
      </w:r>
      <w:r w:rsidR="00FA7B0B">
        <w:t xml:space="preserve">can be considered. </w:t>
      </w:r>
      <w:r w:rsidR="00A75C46">
        <w:t xml:space="preserve">When applying for a Certificate of Need for a </w:t>
      </w:r>
      <w:r w:rsidR="003664F7">
        <w:t>capital project</w:t>
      </w:r>
      <w:r w:rsidR="00A75C46">
        <w:t xml:space="preserve">, a hospital </w:t>
      </w:r>
      <w:r w:rsidR="001D1795">
        <w:t xml:space="preserve">must indicate whether they </w:t>
      </w:r>
      <w:r w:rsidR="00912D9E">
        <w:t xml:space="preserve">are seeking a rate update to cover a portion of the costs. </w:t>
      </w:r>
      <w:r w:rsidR="0027392C">
        <w:t xml:space="preserve">A hospital is not required to seek a rate </w:t>
      </w:r>
      <w:r w:rsidR="000C74D2">
        <w:t xml:space="preserve">update </w:t>
      </w:r>
      <w:r w:rsidR="0027392C">
        <w:t>and may delay doing so until a l</w:t>
      </w:r>
      <w:r w:rsidR="0061250A">
        <w:t xml:space="preserve">ater date. </w:t>
      </w:r>
      <w:r w:rsidR="00AC42CE">
        <w:t xml:space="preserve">However, </w:t>
      </w:r>
      <w:r w:rsidR="00CF582E">
        <w:t>s</w:t>
      </w:r>
      <w:r w:rsidR="00A562F2">
        <w:t xml:space="preserve">taff are recommending a </w:t>
      </w:r>
      <w:r w:rsidR="00EA452D">
        <w:t xml:space="preserve">financing </w:t>
      </w:r>
      <w:r w:rsidR="00F3070A">
        <w:t xml:space="preserve">formula </w:t>
      </w:r>
      <w:r w:rsidR="00386053">
        <w:t xml:space="preserve">based on the ICC and </w:t>
      </w:r>
      <w:r w:rsidR="00D73495">
        <w:t xml:space="preserve">Medicare total cost of care (TCOC) growth, both of which </w:t>
      </w:r>
      <w:r w:rsidR="001B379E">
        <w:t xml:space="preserve">may change overtime. </w:t>
      </w:r>
      <w:r w:rsidR="00085581">
        <w:t xml:space="preserve">In the event that a hospital </w:t>
      </w:r>
      <w:r w:rsidR="005723B2">
        <w:t xml:space="preserve">delays applying for a rate </w:t>
      </w:r>
      <w:r w:rsidR="001A320A">
        <w:t xml:space="preserve">increase to cover the </w:t>
      </w:r>
      <w:r w:rsidR="00BA2DB6">
        <w:t xml:space="preserve">capital costs, </w:t>
      </w:r>
      <w:r w:rsidR="003F305F">
        <w:t>s</w:t>
      </w:r>
      <w:r w:rsidR="00F935B3">
        <w:t xml:space="preserve">taff recommends that the </w:t>
      </w:r>
      <w:r w:rsidR="00E40988">
        <w:t xml:space="preserve">amount of capital funding they can receive be </w:t>
      </w:r>
      <w:r w:rsidR="00131919">
        <w:t xml:space="preserve">equal to the lesser of the </w:t>
      </w:r>
      <w:r w:rsidR="00814D8C">
        <w:t xml:space="preserve">calculation </w:t>
      </w:r>
      <w:r w:rsidR="006E2705">
        <w:t xml:space="preserve">when </w:t>
      </w:r>
      <w:r w:rsidR="00EE6CFD">
        <w:t>the hospital</w:t>
      </w:r>
      <w:r w:rsidR="003660CF">
        <w:t xml:space="preserve"> certificate of need was approved</w:t>
      </w:r>
      <w:r w:rsidR="00EE6CFD">
        <w:t xml:space="preserve"> and when the </w:t>
      </w:r>
      <w:r w:rsidR="00DC16A3">
        <w:t xml:space="preserve">hospital actually applies for the </w:t>
      </w:r>
      <w:r w:rsidR="009D6C87">
        <w:t xml:space="preserve">capital </w:t>
      </w:r>
      <w:r w:rsidR="00DC16A3">
        <w:t xml:space="preserve">funding. </w:t>
      </w:r>
    </w:p>
    <w:p w14:paraId="13E0B31A" w14:textId="4C8089F1" w:rsidR="001140AE" w:rsidRDefault="002D4016" w:rsidP="00F52F91">
      <w:pPr>
        <w:pStyle w:val="Heading2"/>
        <w:rPr>
          <w:b/>
          <w:bCs/>
          <w:sz w:val="22"/>
          <w:szCs w:val="22"/>
        </w:rPr>
      </w:pPr>
      <w:bookmarkStart w:id="4" w:name="_Toc26373846"/>
      <w:r>
        <w:rPr>
          <w:b/>
          <w:bCs/>
          <w:sz w:val="22"/>
          <w:szCs w:val="22"/>
        </w:rPr>
        <w:t xml:space="preserve">Algorithm to </w:t>
      </w:r>
      <w:r w:rsidR="00BB4B50">
        <w:rPr>
          <w:b/>
          <w:bCs/>
          <w:sz w:val="22"/>
          <w:szCs w:val="22"/>
        </w:rPr>
        <w:t>Determine Capital Financing</w:t>
      </w:r>
      <w:bookmarkEnd w:id="4"/>
    </w:p>
    <w:p w14:paraId="7A38C0A8" w14:textId="11F5D3BC" w:rsidR="00C034C9" w:rsidRDefault="0044092F" w:rsidP="00C034C9">
      <w:r>
        <w:t xml:space="preserve">Staff recommend a three-step algorithm to calculate the </w:t>
      </w:r>
      <w:r w:rsidR="0038339A">
        <w:t xml:space="preserve">rate increase that a hospital can receive in order to </w:t>
      </w:r>
      <w:r w:rsidR="00032C99">
        <w:t>finance a capital project.</w:t>
      </w:r>
      <w:r w:rsidR="00BD72BE">
        <w:t xml:space="preserve"> The three steps </w:t>
      </w:r>
      <w:r w:rsidR="00635218">
        <w:t>are</w:t>
      </w:r>
      <w:r w:rsidR="00BD72BE">
        <w:t xml:space="preserve">: </w:t>
      </w:r>
    </w:p>
    <w:p w14:paraId="0F57EB64" w14:textId="2A46C418" w:rsidR="00BD72BE" w:rsidRDefault="00BD72BE" w:rsidP="00BD72BE">
      <w:pPr>
        <w:pStyle w:val="ListParagraph"/>
        <w:numPr>
          <w:ilvl w:val="0"/>
          <w:numId w:val="8"/>
        </w:numPr>
      </w:pPr>
      <w:r>
        <w:t xml:space="preserve">First, determine the amount of </w:t>
      </w:r>
      <w:r w:rsidR="004A5568">
        <w:t xml:space="preserve">a capital project that </w:t>
      </w:r>
      <w:r w:rsidR="005A05A8">
        <w:t xml:space="preserve">will be supported through rates. </w:t>
      </w:r>
    </w:p>
    <w:p w14:paraId="77DD8F7A" w14:textId="1F3D870E" w:rsidR="004C6BD9" w:rsidRDefault="004C6BD9" w:rsidP="00BD72BE">
      <w:pPr>
        <w:pStyle w:val="ListParagraph"/>
        <w:numPr>
          <w:ilvl w:val="0"/>
          <w:numId w:val="8"/>
        </w:numPr>
      </w:pPr>
      <w:r>
        <w:t xml:space="preserve">Second, scale the </w:t>
      </w:r>
      <w:r w:rsidR="00EC425C">
        <w:t xml:space="preserve">amount of funding that </w:t>
      </w:r>
      <w:r w:rsidR="00DE2148">
        <w:t xml:space="preserve">a particular </w:t>
      </w:r>
      <w:r w:rsidR="00635218">
        <w:t xml:space="preserve">hospital </w:t>
      </w:r>
      <w:r w:rsidR="00C10B88">
        <w:t xml:space="preserve">will receive for its capital project by </w:t>
      </w:r>
      <w:r w:rsidR="00B9467A">
        <w:t xml:space="preserve">determining </w:t>
      </w:r>
      <w:r w:rsidR="004B70F3">
        <w:t xml:space="preserve">its relative capital efficiency as well as </w:t>
      </w:r>
      <w:r w:rsidR="00B9467A">
        <w:t>that hospital</w:t>
      </w:r>
      <w:r w:rsidR="00635218">
        <w:t>’</w:t>
      </w:r>
      <w:r w:rsidR="00B9467A">
        <w:t>s ICC and TCOC efficiency</w:t>
      </w:r>
      <w:r w:rsidR="004B70F3">
        <w:t>.</w:t>
      </w:r>
    </w:p>
    <w:p w14:paraId="1BECA3AC" w14:textId="52005BBD" w:rsidR="003A3F82" w:rsidRPr="00C034C9" w:rsidRDefault="003A3F82" w:rsidP="00BD72BE">
      <w:pPr>
        <w:pStyle w:val="ListParagraph"/>
        <w:numPr>
          <w:ilvl w:val="0"/>
          <w:numId w:val="8"/>
        </w:numPr>
      </w:pPr>
      <w:r>
        <w:t xml:space="preserve">Third, </w:t>
      </w:r>
      <w:r w:rsidR="00613685">
        <w:t xml:space="preserve">credit/penalize hospitals based on their potentially avoidable utilization (PAU) and </w:t>
      </w:r>
      <w:r w:rsidR="008A4563">
        <w:t xml:space="preserve">excess </w:t>
      </w:r>
      <w:r w:rsidR="00A22294">
        <w:t xml:space="preserve">capacity in order to </w:t>
      </w:r>
      <w:r w:rsidR="0068446A">
        <w:t>ensure that efficien</w:t>
      </w:r>
      <w:r w:rsidR="00635218">
        <w:t>t</w:t>
      </w:r>
      <w:r w:rsidR="0068446A">
        <w:t xml:space="preserve"> </w:t>
      </w:r>
      <w:r w:rsidR="00BE1354">
        <w:t>hospitals are fund</w:t>
      </w:r>
      <w:r w:rsidR="00635218">
        <w:t>ed</w:t>
      </w:r>
      <w:r w:rsidR="00BE1354">
        <w:t xml:space="preserve"> while inefficient hospitals </w:t>
      </w:r>
      <w:r w:rsidR="006328D6">
        <w:t>finance new capital through other cost reductions.</w:t>
      </w:r>
    </w:p>
    <w:p w14:paraId="3EE4AD42" w14:textId="3371ECE6" w:rsidR="007F6E97" w:rsidRPr="00C646DA" w:rsidRDefault="00774A42" w:rsidP="00C70EF5">
      <w:pPr>
        <w:pStyle w:val="Heading1"/>
        <w:rPr>
          <w:b/>
          <w:bCs/>
          <w:sz w:val="22"/>
          <w:szCs w:val="22"/>
        </w:rPr>
      </w:pPr>
      <w:bookmarkStart w:id="5" w:name="_Toc26373847"/>
      <w:r w:rsidRPr="00C646DA">
        <w:rPr>
          <w:b/>
          <w:bCs/>
          <w:sz w:val="22"/>
          <w:szCs w:val="22"/>
        </w:rPr>
        <w:t xml:space="preserve">Step 1: Determine the Hospital’s </w:t>
      </w:r>
      <w:r w:rsidR="003D0E41">
        <w:rPr>
          <w:b/>
          <w:bCs/>
          <w:sz w:val="22"/>
          <w:szCs w:val="22"/>
        </w:rPr>
        <w:t xml:space="preserve">Maximum </w:t>
      </w:r>
      <w:r w:rsidRPr="00C646DA">
        <w:rPr>
          <w:b/>
          <w:bCs/>
          <w:sz w:val="22"/>
          <w:szCs w:val="22"/>
        </w:rPr>
        <w:t>Eligible Funding</w:t>
      </w:r>
      <w:bookmarkEnd w:id="5"/>
    </w:p>
    <w:p w14:paraId="3CCE836F" w14:textId="2CEA6A9B" w:rsidR="00CF4657" w:rsidRPr="00CF4657" w:rsidRDefault="00CF4657" w:rsidP="00CF4657">
      <w:r>
        <w:t xml:space="preserve">Staff will calculate </w:t>
      </w:r>
      <w:r w:rsidR="000F6E38">
        <w:t xml:space="preserve">the </w:t>
      </w:r>
      <w:r w:rsidR="00454B45">
        <w:t xml:space="preserve">average annual </w:t>
      </w:r>
      <w:r w:rsidR="000F6E38">
        <w:t>depreciation costs of the hospital</w:t>
      </w:r>
      <w:r w:rsidR="00635218">
        <w:t>’</w:t>
      </w:r>
      <w:r w:rsidR="000F6E38">
        <w:t xml:space="preserve">s project using </w:t>
      </w:r>
      <w:r w:rsidR="00207DB8">
        <w:t xml:space="preserve">the straight line method with the hospital’s estimate </w:t>
      </w:r>
      <w:r w:rsidR="009450BF">
        <w:t xml:space="preserve">of the project’s </w:t>
      </w:r>
      <w:r w:rsidR="00757B43">
        <w:t>useful</w:t>
      </w:r>
      <w:r w:rsidR="00243364">
        <w:t xml:space="preserve"> </w:t>
      </w:r>
      <w:r w:rsidR="009450BF">
        <w:t xml:space="preserve">lifetime. </w:t>
      </w:r>
      <w:r w:rsidR="00D425D4">
        <w:t>Staff will also calculate</w:t>
      </w:r>
      <w:r w:rsidR="00454B45">
        <w:t xml:space="preserve"> average annual </w:t>
      </w:r>
      <w:r w:rsidR="00396CBB">
        <w:t xml:space="preserve">interest </w:t>
      </w:r>
      <w:r w:rsidR="0088333B">
        <w:t xml:space="preserve">on </w:t>
      </w:r>
      <w:r w:rsidR="00DC129B">
        <w:t>10</w:t>
      </w:r>
      <w:r w:rsidR="00C35163">
        <w:t>0 percent of the project’s value</w:t>
      </w:r>
      <w:r w:rsidR="00DC129B">
        <w:t xml:space="preserve"> for establishing initial eligible funding</w:t>
      </w:r>
      <w:r w:rsidR="00C35163">
        <w:t>.</w:t>
      </w:r>
      <w:r w:rsidR="00DC129B">
        <w:t xml:space="preserve">  If the output of the capital methodology exceeds 70 percent interest, staff will cap rate support to 100 depreciation, 70 percent interest.  </w:t>
      </w:r>
      <w:r w:rsidR="00EC3921">
        <w:t xml:space="preserve">By </w:t>
      </w:r>
      <w:r w:rsidR="009D66A7">
        <w:t xml:space="preserve">financing only 70 percent of the project’s value, the staff expects that </w:t>
      </w:r>
      <w:r w:rsidR="0081575C">
        <w:t xml:space="preserve">at least 30 percent of the </w:t>
      </w:r>
      <w:r w:rsidR="007A5E91">
        <w:t xml:space="preserve">project be paid by the hospital either through cash, philanthropy, or </w:t>
      </w:r>
      <w:r w:rsidR="00D56B05">
        <w:t xml:space="preserve">other </w:t>
      </w:r>
      <w:r w:rsidR="00144113">
        <w:t xml:space="preserve">sources of funding that are not direct </w:t>
      </w:r>
      <w:r w:rsidR="00D56B05">
        <w:t xml:space="preserve">rate support. </w:t>
      </w:r>
      <w:r w:rsidR="00D03FC9">
        <w:t xml:space="preserve">Staff will calculate the </w:t>
      </w:r>
      <w:r w:rsidR="00347124">
        <w:t>hospital project’s</w:t>
      </w:r>
      <w:r w:rsidR="007B06C8">
        <w:t xml:space="preserve"> </w:t>
      </w:r>
      <w:r w:rsidR="00A52D89">
        <w:t>estimated</w:t>
      </w:r>
      <w:r w:rsidR="00974898">
        <w:t xml:space="preserve"> </w:t>
      </w:r>
      <w:r w:rsidR="00347124">
        <w:t xml:space="preserve">average </w:t>
      </w:r>
      <w:r w:rsidR="007B06C8">
        <w:t xml:space="preserve">annual interest payments </w:t>
      </w:r>
      <w:r w:rsidR="00C85ADD">
        <w:t xml:space="preserve">at </w:t>
      </w:r>
      <w:r w:rsidR="0073769B">
        <w:t>the</w:t>
      </w:r>
      <w:r w:rsidR="00C85ADD">
        <w:t xml:space="preserve"> effective annual </w:t>
      </w:r>
      <w:r w:rsidR="00347124">
        <w:t xml:space="preserve">interest </w:t>
      </w:r>
      <w:r w:rsidR="00C85ADD">
        <w:t xml:space="preserve">rate </w:t>
      </w:r>
      <w:r w:rsidR="00635218">
        <w:t xml:space="preserve">at which the </w:t>
      </w:r>
      <w:r w:rsidR="003F612A">
        <w:t xml:space="preserve">project </w:t>
      </w:r>
      <w:r w:rsidR="00635218">
        <w:t xml:space="preserve">is expected to be </w:t>
      </w:r>
      <w:r w:rsidR="00BB1521">
        <w:t>financed.</w:t>
      </w:r>
      <w:r w:rsidR="008722EC">
        <w:t xml:space="preserve"> </w:t>
      </w:r>
    </w:p>
    <w:p w14:paraId="462B4741" w14:textId="3159100F" w:rsidR="001F79A8" w:rsidRDefault="002540F0" w:rsidP="00C70EF5">
      <w:pPr>
        <w:pStyle w:val="Heading1"/>
        <w:rPr>
          <w:b/>
          <w:bCs/>
          <w:sz w:val="22"/>
          <w:szCs w:val="22"/>
        </w:rPr>
      </w:pPr>
      <w:bookmarkStart w:id="6" w:name="_Toc26373848"/>
      <w:r w:rsidRPr="00C646DA">
        <w:rPr>
          <w:b/>
          <w:bCs/>
          <w:sz w:val="22"/>
          <w:szCs w:val="22"/>
        </w:rPr>
        <w:t>Step 2: Apply a Scaling Factor based on Efficiency</w:t>
      </w:r>
      <w:bookmarkEnd w:id="6"/>
    </w:p>
    <w:p w14:paraId="08E5372D" w14:textId="38089001" w:rsidR="007E715D" w:rsidRDefault="007516F3" w:rsidP="001F79A8">
      <w:r>
        <w:t>Step 1 above determines th</w:t>
      </w:r>
      <w:r w:rsidR="003B1D01">
        <w:t>e</w:t>
      </w:r>
      <w:r>
        <w:t xml:space="preserve"> </w:t>
      </w:r>
      <w:r w:rsidR="00347124">
        <w:t xml:space="preserve">maximum </w:t>
      </w:r>
      <w:r>
        <w:t xml:space="preserve">amount of capital funding </w:t>
      </w:r>
      <w:r w:rsidR="00AF6E6B">
        <w:t xml:space="preserve">that </w:t>
      </w:r>
      <w:r w:rsidR="003B24A6">
        <w:t>the hospital could receive on a project</w:t>
      </w:r>
      <w:r w:rsidR="003B1D01">
        <w:t>, however, s</w:t>
      </w:r>
      <w:r w:rsidR="008C098D">
        <w:t xml:space="preserve">taff recommends that </w:t>
      </w:r>
      <w:r w:rsidR="005B1CAE">
        <w:t xml:space="preserve">a hospital be eligible to receive only </w:t>
      </w:r>
      <w:r w:rsidR="007137F1">
        <w:t>portion of that amount</w:t>
      </w:r>
      <w:r w:rsidR="00D17B0B">
        <w:t xml:space="preserve">, </w:t>
      </w:r>
      <w:r w:rsidR="00D17B0B">
        <w:lastRenderedPageBreak/>
        <w:t xml:space="preserve">depending on its </w:t>
      </w:r>
      <w:r w:rsidR="003B1D01">
        <w:t xml:space="preserve">relative </w:t>
      </w:r>
      <w:r w:rsidR="00890602">
        <w:t xml:space="preserve">efficiency. </w:t>
      </w:r>
      <w:r w:rsidR="0050408E">
        <w:t xml:space="preserve">The </w:t>
      </w:r>
      <w:r w:rsidR="00CF582E">
        <w:t>s</w:t>
      </w:r>
      <w:r w:rsidR="0050408E">
        <w:t>taff recommends usin</w:t>
      </w:r>
      <w:r w:rsidR="00191AF4">
        <w:t xml:space="preserve">g two measures of </w:t>
      </w:r>
      <w:r w:rsidR="00B3638F">
        <w:t xml:space="preserve">efficiency: </w:t>
      </w:r>
      <w:r w:rsidR="00974898">
        <w:t xml:space="preserve">the hospital’s capital efficiency and </w:t>
      </w:r>
      <w:r w:rsidR="00B3638F">
        <w:t>the hospital’s</w:t>
      </w:r>
      <w:r w:rsidR="00974898">
        <w:t xml:space="preserve"> integrated cost per case and total cost of care efficiency.</w:t>
      </w:r>
    </w:p>
    <w:p w14:paraId="021D1A39" w14:textId="1D3893AE" w:rsidR="00974898" w:rsidRPr="001F79A8" w:rsidRDefault="00974898" w:rsidP="00974898">
      <w:r>
        <w:t>The hospi</w:t>
      </w:r>
      <w:r w:rsidR="00347124">
        <w:t>tal’s relative capital efficiency</w:t>
      </w:r>
      <w:r>
        <w:t xml:space="preserve"> is taken into account by taking the portion of total costs the hospital spends on capital and comparing it to its peer group.  The hospital is only eligible to receive the average of its capital costs (inclusive of the new project) and its peer group average. Comparing a hospital to its peer group will discourage hospitals</w:t>
      </w:r>
      <w:r w:rsidR="00D654A4">
        <w:t xml:space="preserve"> that may be </w:t>
      </w:r>
      <w:r>
        <w:t>already more capital intensive than their peers from building additional capital projects.  Alternatively, this process will provide credit to hospitals that are further in the capital cycle and therefore</w:t>
      </w:r>
      <w:r w:rsidR="00D654A4">
        <w:t xml:space="preserve"> have greater</w:t>
      </w:r>
      <w:r>
        <w:t xml:space="preserve"> need </w:t>
      </w:r>
      <w:r w:rsidR="00D654A4">
        <w:t>for</w:t>
      </w:r>
      <w:r>
        <w:t xml:space="preserve"> a capital replacement project.</w:t>
      </w:r>
    </w:p>
    <w:p w14:paraId="0467CA3A" w14:textId="43BF4774" w:rsidR="00310860" w:rsidRDefault="001820E4" w:rsidP="001F79A8">
      <w:r>
        <w:t xml:space="preserve">To measure integrated cost per case and total cost of care efficiency, </w:t>
      </w:r>
      <w:r w:rsidR="00D654A4">
        <w:t>s</w:t>
      </w:r>
      <w:r>
        <w:t xml:space="preserve">taff employs the ICC and a Medicare total cost of care growth calculation.  </w:t>
      </w:r>
      <w:r w:rsidR="002675F5">
        <w:t xml:space="preserve">The ICC measures </w:t>
      </w:r>
      <w:r w:rsidR="001F12D2">
        <w:t xml:space="preserve">the </w:t>
      </w:r>
      <w:r w:rsidR="00482137">
        <w:t xml:space="preserve">efficiency of the </w:t>
      </w:r>
      <w:r w:rsidR="001F12D2">
        <w:t xml:space="preserve">hospital’s </w:t>
      </w:r>
      <w:r>
        <w:t>cost per</w:t>
      </w:r>
      <w:r w:rsidR="003E0AC8">
        <w:t xml:space="preserve"> case relative to its peer group</w:t>
      </w:r>
      <w:r>
        <w:t xml:space="preserve"> and in the case of capital evaluations does not include productivity adjustments, per historical practice</w:t>
      </w:r>
      <w:r w:rsidR="003E0AC8">
        <w:t>.</w:t>
      </w:r>
      <w:r w:rsidR="00310860">
        <w:t xml:space="preserve">  The ICC’s productivity adjustment was intended to eliminate costs related to excess capacity. Staff believe it is critical to address excess costs when financing capital in order to avoid rebuilding or increasing excess capacity with</w:t>
      </w:r>
      <w:r w:rsidR="00D654A4">
        <w:t xml:space="preserve"> a</w:t>
      </w:r>
      <w:r w:rsidR="00310860">
        <w:t xml:space="preserve"> new project. Therefore, staff recommend</w:t>
      </w:r>
      <w:r w:rsidR="00D654A4">
        <w:t>s</w:t>
      </w:r>
      <w:r w:rsidR="00310860">
        <w:t xml:space="preserve"> that excess capacity costs be addressed directly rather th</w:t>
      </w:r>
      <w:r w:rsidR="00D654A4">
        <w:t>a</w:t>
      </w:r>
      <w:r w:rsidR="00310860">
        <w:t>n through the ICC’s productivity adjustment and subsequent relative ranking. The excess capacity adjustment is described in Step 3.</w:t>
      </w:r>
      <w:r w:rsidR="003E0AC8">
        <w:t xml:space="preserve"> </w:t>
      </w:r>
    </w:p>
    <w:p w14:paraId="6878F063" w14:textId="3A7E9E2D" w:rsidR="00310860" w:rsidRDefault="008C4B65" w:rsidP="001F79A8">
      <w:r>
        <w:t xml:space="preserve">The ICC is an important consideration for capital financing for two reasons. First, it ensures that hospitals </w:t>
      </w:r>
      <w:r w:rsidR="001820E4">
        <w:t>that are</w:t>
      </w:r>
      <w:r>
        <w:t xml:space="preserve"> using existing fixed costs efficien</w:t>
      </w:r>
      <w:r w:rsidR="00905492">
        <w:t xml:space="preserve">tly </w:t>
      </w:r>
      <w:r w:rsidR="008D519F">
        <w:t>receive more financing tha</w:t>
      </w:r>
      <w:r w:rsidR="00635218">
        <w:t>n</w:t>
      </w:r>
      <w:r w:rsidR="008D519F">
        <w:t xml:space="preserve"> </w:t>
      </w:r>
      <w:r w:rsidR="00D1309C">
        <w:t xml:space="preserve">hospitals </w:t>
      </w:r>
      <w:r w:rsidR="001820E4">
        <w:t>that</w:t>
      </w:r>
      <w:r w:rsidR="00D1309C">
        <w:t xml:space="preserve"> are using </w:t>
      </w:r>
      <w:r w:rsidR="007540A8">
        <w:t>fixed costs less efficiently.</w:t>
      </w:r>
      <w:r w:rsidR="00E267AF">
        <w:t xml:space="preserve"> </w:t>
      </w:r>
      <w:r w:rsidR="00893983">
        <w:t xml:space="preserve">Second, it ensures that </w:t>
      </w:r>
      <w:r w:rsidR="00416083">
        <w:t xml:space="preserve">hospitals </w:t>
      </w:r>
      <w:r w:rsidR="001820E4">
        <w:t>with lower profit margins and more efficient costs receive more financing than hospitals with more significant profit margins that could more easily fund capital projects with existing rate structures.</w:t>
      </w:r>
      <w:r w:rsidR="00DB79B3">
        <w:t xml:space="preserve"> </w:t>
      </w:r>
      <w:r w:rsidR="001820E4">
        <w:t xml:space="preserve">  </w:t>
      </w:r>
    </w:p>
    <w:p w14:paraId="490DBD30" w14:textId="26870A1A" w:rsidR="007E715D" w:rsidRDefault="001820E4" w:rsidP="001F79A8">
      <w:r>
        <w:t xml:space="preserve">In terms of total cost of care, </w:t>
      </w:r>
      <w:r w:rsidR="00D654A4">
        <w:t>s</w:t>
      </w:r>
      <w:r>
        <w:t xml:space="preserve">taff is currently employing Medicare total cost of care growth using a geographic attribution relative to a 2013 base.  It is important to use a 2013 base because growth calculations are more statistically reliable with multiple years of data and because the incentives of the Models since 2013 were to reduce total cost of care in line with the annual total cost of care guardrail tests.  Because staff believes it is necessary to use growth relative to a 2013 base, the geographic attribution is necessary.  That said, </w:t>
      </w:r>
      <w:r w:rsidR="00310860">
        <w:t>staff will consider supplanting the growth calculations with attainment analyses relative to nationally selected benchmarks once this work is complete.</w:t>
      </w:r>
    </w:p>
    <w:p w14:paraId="6D2413D4" w14:textId="4AF1327F" w:rsidR="003271FD" w:rsidRPr="00C646DA" w:rsidRDefault="003271FD" w:rsidP="00C70EF5">
      <w:pPr>
        <w:pStyle w:val="Heading2"/>
        <w:rPr>
          <w:b/>
          <w:bCs/>
          <w:sz w:val="22"/>
          <w:szCs w:val="22"/>
        </w:rPr>
      </w:pPr>
      <w:bookmarkStart w:id="7" w:name="_Toc26373849"/>
      <w:r w:rsidRPr="00C646DA">
        <w:rPr>
          <w:b/>
          <w:bCs/>
          <w:sz w:val="22"/>
          <w:szCs w:val="22"/>
        </w:rPr>
        <w:t>Step 2</w:t>
      </w:r>
      <w:r w:rsidR="00891D30">
        <w:rPr>
          <w:b/>
          <w:bCs/>
          <w:sz w:val="22"/>
          <w:szCs w:val="22"/>
        </w:rPr>
        <w:t>A</w:t>
      </w:r>
      <w:r w:rsidRPr="00C646DA">
        <w:rPr>
          <w:b/>
          <w:bCs/>
          <w:sz w:val="22"/>
          <w:szCs w:val="22"/>
        </w:rPr>
        <w:t>: Compare the Hospital’s Requested Capital Costs with its Peer Group</w:t>
      </w:r>
      <w:bookmarkEnd w:id="7"/>
    </w:p>
    <w:p w14:paraId="6B77C742" w14:textId="30BE812C" w:rsidR="003271FD" w:rsidRDefault="008C0424" w:rsidP="003271FD">
      <w:r>
        <w:t xml:space="preserve">Staff will </w:t>
      </w:r>
      <w:r w:rsidR="00802831">
        <w:t xml:space="preserve">adjust the amount of funding that the </w:t>
      </w:r>
      <w:r w:rsidR="00566F15">
        <w:t xml:space="preserve">hospital can receive </w:t>
      </w:r>
      <w:r w:rsidR="003C41AA">
        <w:t xml:space="preserve">based on </w:t>
      </w:r>
      <w:r w:rsidR="000D0813">
        <w:t xml:space="preserve">the average capital intensity of the </w:t>
      </w:r>
      <w:r w:rsidR="00EE4211">
        <w:t>hospital’s peer group</w:t>
      </w:r>
      <w:r w:rsidR="00C15C08">
        <w:t xml:space="preserve">. </w:t>
      </w:r>
      <w:r w:rsidR="007117EF">
        <w:t xml:space="preserve">The adjustment is necessary to ensure that </w:t>
      </w:r>
      <w:r w:rsidR="00CC299D">
        <w:t xml:space="preserve">hospital’s </w:t>
      </w:r>
      <w:r w:rsidR="009A7C82">
        <w:t xml:space="preserve">that </w:t>
      </w:r>
      <w:r w:rsidR="009971D3">
        <w:t xml:space="preserve">are already </w:t>
      </w:r>
      <w:r w:rsidR="007001EC">
        <w:t xml:space="preserve">more capital intensive than their peers do not become more so and also to ensure that hospitals that have not recapitalized in </w:t>
      </w:r>
      <w:r w:rsidR="00C40AEF">
        <w:t xml:space="preserve">some time </w:t>
      </w:r>
      <w:r w:rsidR="00C37834">
        <w:t xml:space="preserve">have the opportunity </w:t>
      </w:r>
      <w:r w:rsidR="001577B3">
        <w:t xml:space="preserve">to do so. </w:t>
      </w:r>
    </w:p>
    <w:p w14:paraId="0CF0CC43" w14:textId="4F86A0E1" w:rsidR="005D629D" w:rsidRDefault="00E32996" w:rsidP="003271FD">
      <w:r>
        <w:t xml:space="preserve">The adjustment is calculated </w:t>
      </w:r>
      <w:r w:rsidR="00D81AFA">
        <w:t>as follows</w:t>
      </w:r>
      <w:r w:rsidR="004F311F">
        <w:t>.</w:t>
      </w:r>
    </w:p>
    <w:p w14:paraId="0BAEB2F0" w14:textId="3F2FF486" w:rsidR="005D629D" w:rsidRDefault="00636EC4" w:rsidP="005D629D">
      <w:pPr>
        <w:pStyle w:val="ListParagraph"/>
        <w:numPr>
          <w:ilvl w:val="0"/>
          <w:numId w:val="5"/>
        </w:numPr>
      </w:pPr>
      <w:r>
        <w:t xml:space="preserve">First, </w:t>
      </w:r>
      <w:r w:rsidR="00D54755">
        <w:t>s</w:t>
      </w:r>
      <w:r w:rsidR="00D244BA">
        <w:t xml:space="preserve">taff </w:t>
      </w:r>
      <w:r w:rsidR="00D64481">
        <w:t xml:space="preserve">will calculate the percent of the </w:t>
      </w:r>
      <w:r w:rsidR="00EA43C2">
        <w:t>hospital</w:t>
      </w:r>
      <w:r w:rsidR="00D94151">
        <w:t>’</w:t>
      </w:r>
      <w:r w:rsidR="00EA43C2">
        <w:t xml:space="preserve">s </w:t>
      </w:r>
      <w:r w:rsidR="00D94151">
        <w:t xml:space="preserve">operating </w:t>
      </w:r>
      <w:r w:rsidR="00EA43C2">
        <w:t xml:space="preserve">costs that </w:t>
      </w:r>
      <w:r w:rsidR="006235B6">
        <w:t>will be spent on capital</w:t>
      </w:r>
      <w:r w:rsidR="00916983">
        <w:rPr>
          <w:rStyle w:val="FootnoteReference"/>
        </w:rPr>
        <w:footnoteReference w:id="3"/>
      </w:r>
      <w:r w:rsidR="00627810">
        <w:t xml:space="preserve"> </w:t>
      </w:r>
      <w:r w:rsidR="00E4541D">
        <w:t xml:space="preserve"> (Hospital Pro Forma Capital Ratio) </w:t>
      </w:r>
      <w:r w:rsidR="000A1058">
        <w:t xml:space="preserve">if the </w:t>
      </w:r>
      <w:r w:rsidR="00717ED1">
        <w:t>hospital receiv</w:t>
      </w:r>
      <w:r w:rsidR="004E4D54">
        <w:t>ed the full amount of its eligible funding</w:t>
      </w:r>
      <w:r w:rsidR="006235B6">
        <w:t>.</w:t>
      </w:r>
      <w:r w:rsidR="008C459C">
        <w:t xml:space="preserve"> </w:t>
      </w:r>
      <w:r w:rsidR="00AF1786">
        <w:t xml:space="preserve">That is, the staff will </w:t>
      </w:r>
      <w:r w:rsidR="00F417B8">
        <w:t xml:space="preserve">take </w:t>
      </w:r>
      <w:r w:rsidR="00AB1E40">
        <w:t>the hospital</w:t>
      </w:r>
      <w:r w:rsidR="00F417B8">
        <w:t xml:space="preserve">’s </w:t>
      </w:r>
      <w:r w:rsidR="00AB1E40">
        <w:t xml:space="preserve">current </w:t>
      </w:r>
      <w:r w:rsidR="00140A44">
        <w:t xml:space="preserve">capital costs </w:t>
      </w:r>
      <w:r w:rsidR="00F417B8">
        <w:t xml:space="preserve">and add </w:t>
      </w:r>
      <w:r w:rsidR="00942D21">
        <w:t xml:space="preserve">the amount of funding the hospital </w:t>
      </w:r>
      <w:r w:rsidR="00F408EF">
        <w:t xml:space="preserve">has requested </w:t>
      </w:r>
      <w:r w:rsidR="00E4541D">
        <w:t xml:space="preserve">and divide the sum by the hospital’s </w:t>
      </w:r>
      <w:r w:rsidR="00D94151">
        <w:t xml:space="preserve">operating </w:t>
      </w:r>
      <w:r w:rsidR="00C95AEE">
        <w:t>cost structure inclusive of the new capital request.</w:t>
      </w:r>
    </w:p>
    <w:p w14:paraId="2B78B555" w14:textId="35AADFA8" w:rsidR="00D81AFA" w:rsidRDefault="0010131F" w:rsidP="00A52D89">
      <w:pPr>
        <w:pStyle w:val="ListParagraph"/>
        <w:numPr>
          <w:ilvl w:val="0"/>
          <w:numId w:val="5"/>
        </w:numPr>
      </w:pPr>
      <w:r>
        <w:lastRenderedPageBreak/>
        <w:t xml:space="preserve">Second, </w:t>
      </w:r>
      <w:r w:rsidR="00D54755">
        <w:t>s</w:t>
      </w:r>
      <w:r w:rsidR="0007307C">
        <w:t xml:space="preserve">taff will calculate </w:t>
      </w:r>
      <w:r w:rsidR="00C74C86">
        <w:t>the percent of current capital costs</w:t>
      </w:r>
      <w:r w:rsidR="001273BE">
        <w:t xml:space="preserve"> for the hospital’s </w:t>
      </w:r>
      <w:r w:rsidR="008461ED">
        <w:t xml:space="preserve">peer </w:t>
      </w:r>
      <w:r w:rsidR="001273BE">
        <w:t>group</w:t>
      </w:r>
      <w:r w:rsidR="00E4541D">
        <w:t xml:space="preserve"> as a percent of revenue (Peer Group Capital Ratio)</w:t>
      </w:r>
      <w:r w:rsidR="005E3E42">
        <w:t xml:space="preserve">. </w:t>
      </w:r>
      <w:r w:rsidR="00D81AFA">
        <w:t>Staff will then deduct the current capital c</w:t>
      </w:r>
      <w:r w:rsidR="00347124">
        <w:t>osts ratio from the average of</w:t>
      </w:r>
      <w:r w:rsidR="00D81AFA">
        <w:t xml:space="preserve"> </w:t>
      </w:r>
      <w:r w:rsidR="00D81AFA" w:rsidRPr="00875513">
        <w:t>the hospital</w:t>
      </w:r>
      <w:r w:rsidR="00347124">
        <w:t>’</w:t>
      </w:r>
      <w:r w:rsidR="00D81AFA" w:rsidRPr="00875513">
        <w:t>s Pro Forma Capital Ratio and the Peer Group Capital Ratio.</w:t>
      </w:r>
      <w:r w:rsidR="00F408EF">
        <w:t xml:space="preserve">   Finally, </w:t>
      </w:r>
      <w:r w:rsidR="00D94151">
        <w:t>staff will result</w:t>
      </w:r>
      <w:r w:rsidR="00F408EF">
        <w:t xml:space="preserve"> the prior step by current total </w:t>
      </w:r>
      <w:r w:rsidR="00D94151">
        <w:t xml:space="preserve">operating </w:t>
      </w:r>
      <w:r w:rsidR="00F408EF">
        <w:t>costs</w:t>
      </w:r>
      <w:r w:rsidR="00D94151">
        <w:t xml:space="preserve"> to yield capital funding without Integrated Efficiency scaling.</w:t>
      </w:r>
    </w:p>
    <w:p w14:paraId="75AB9682" w14:textId="66994C90" w:rsidR="00D1072D" w:rsidRPr="00C646DA" w:rsidRDefault="00D1072D" w:rsidP="00D1072D">
      <w:pPr>
        <w:pStyle w:val="Heading2"/>
        <w:rPr>
          <w:b/>
          <w:bCs/>
          <w:sz w:val="22"/>
          <w:szCs w:val="22"/>
        </w:rPr>
      </w:pPr>
      <w:bookmarkStart w:id="8" w:name="_Toc26373850"/>
      <w:r w:rsidRPr="00C646DA">
        <w:rPr>
          <w:b/>
          <w:bCs/>
          <w:sz w:val="22"/>
          <w:szCs w:val="22"/>
        </w:rPr>
        <w:t>Step 2</w:t>
      </w:r>
      <w:r>
        <w:rPr>
          <w:b/>
          <w:bCs/>
          <w:sz w:val="22"/>
          <w:szCs w:val="22"/>
        </w:rPr>
        <w:t>B</w:t>
      </w:r>
      <w:r w:rsidRPr="00C646DA">
        <w:rPr>
          <w:b/>
          <w:bCs/>
          <w:sz w:val="22"/>
          <w:szCs w:val="22"/>
        </w:rPr>
        <w:t>: Scale the Hospital</w:t>
      </w:r>
      <w:r w:rsidR="00D94151">
        <w:rPr>
          <w:b/>
          <w:bCs/>
          <w:sz w:val="22"/>
          <w:szCs w:val="22"/>
        </w:rPr>
        <w:t>’</w:t>
      </w:r>
      <w:r w:rsidRPr="00C646DA">
        <w:rPr>
          <w:b/>
          <w:bCs/>
          <w:sz w:val="22"/>
          <w:szCs w:val="22"/>
        </w:rPr>
        <w:t>s Eligible Funding based on its Capital ICC Score</w:t>
      </w:r>
      <w:bookmarkEnd w:id="8"/>
    </w:p>
    <w:p w14:paraId="52B9EBCB" w14:textId="77777777" w:rsidR="00D1072D" w:rsidRDefault="00D1072D" w:rsidP="00D1072D">
      <w:r>
        <w:t xml:space="preserve">The Staff will determine the hospitals relative rank on both the ICC and Medicare TCOC growth. Staff will equally weight the ICC and the Medicare TCOC growth rate by summing of the hospital’s rank on each of the two scores. This Total Rank will be used to scale the amount of capital funding that the hospital can receive. </w:t>
      </w:r>
    </w:p>
    <w:p w14:paraId="41979A3F" w14:textId="77777777" w:rsidR="00D1072D" w:rsidRDefault="00D1072D" w:rsidP="00D1072D">
      <w:r>
        <w:t xml:space="preserve">Staff will calculate a scaling factor based on the hospital’s total ranking relative to other hospitals in the State through a two-step process. </w:t>
      </w:r>
    </w:p>
    <w:p w14:paraId="70053202" w14:textId="221B285A" w:rsidR="00D1072D" w:rsidRDefault="00D1072D" w:rsidP="00D1072D">
      <w:pPr>
        <w:pStyle w:val="ListParagraph"/>
        <w:numPr>
          <w:ilvl w:val="0"/>
          <w:numId w:val="6"/>
        </w:numPr>
      </w:pPr>
      <w:r>
        <w:t>First, a hospital receives a base efficiency factor depending on the quintile in which the hospital falls. The most efficient quintile (lowest score) receive</w:t>
      </w:r>
      <w:r w:rsidR="00D94151">
        <w:t>s</w:t>
      </w:r>
      <w:r>
        <w:t xml:space="preserve"> a base efficiency adjustment of 80 percent and the least efficient quintile receives a base efficiency adjustment of 0 percent. </w:t>
      </w:r>
    </w:p>
    <w:p w14:paraId="125C6FBD" w14:textId="77777777" w:rsidR="00D1072D" w:rsidRDefault="00D1072D" w:rsidP="00D1072D">
      <w:pPr>
        <w:pStyle w:val="ListParagraph"/>
        <w:numPr>
          <w:ilvl w:val="0"/>
          <w:numId w:val="6"/>
        </w:numPr>
      </w:pPr>
      <w:r>
        <w:t xml:space="preserve">Second, the hospital receives an adjustment based on the variation in efficiency within its quintile. </w:t>
      </w:r>
    </w:p>
    <w:p w14:paraId="7F37669F" w14:textId="06E7B7BA" w:rsidR="00D1072D" w:rsidRDefault="00D1072D" w:rsidP="00D1072D">
      <w:r>
        <w:t xml:space="preserve">The adjustment within the quintile is calculated by dividing 20 percent by the number of hospitals within the quintile and then multiplying by the hospitals within quintile rank. The adjustment within the quintile is necessary because the number of hospitals within each </w:t>
      </w:r>
      <w:r w:rsidR="00D94151">
        <w:t xml:space="preserve">of the </w:t>
      </w:r>
      <w:r>
        <w:t>quintiles vary and because without such a calculation the policy can run afoul of adverse cliff effects. For example, there are 10 hospitals in the first quintile and so each rank is worth 2 percentage points; there are 9 hospitals in the second quintile so each rank is worth 2.2 percentage points.  Without an adjustment within the quintile the 10</w:t>
      </w:r>
      <w:r w:rsidRPr="00127A37">
        <w:rPr>
          <w:vertAlign w:val="superscript"/>
        </w:rPr>
        <w:t>th</w:t>
      </w:r>
      <w:r>
        <w:t xml:space="preserve"> hospital in the quintile and the 1</w:t>
      </w:r>
      <w:r w:rsidRPr="00127A37">
        <w:rPr>
          <w:vertAlign w:val="superscript"/>
        </w:rPr>
        <w:t>st</w:t>
      </w:r>
      <w:r>
        <w:t xml:space="preserve"> hospital in the second quintile would have a difference of 20</w:t>
      </w:r>
      <w:r w:rsidR="00CF582E">
        <w:t xml:space="preserve"> percent </w:t>
      </w:r>
      <w:r>
        <w:t xml:space="preserve">for efficiency scaling as opposed to </w:t>
      </w:r>
      <w:r w:rsidR="00CF582E">
        <w:t>0</w:t>
      </w:r>
      <w:r>
        <w:t>.2</w:t>
      </w:r>
      <w:r w:rsidR="00CF582E">
        <w:t xml:space="preserve"> percent.  </w:t>
      </w:r>
      <w:r>
        <w:t xml:space="preserve">The following table summarizes the calculation: </w:t>
      </w:r>
    </w:p>
    <w:tbl>
      <w:tblPr>
        <w:tblStyle w:val="GridTable4-Accent1"/>
        <w:tblpPr w:leftFromText="180" w:rightFromText="180" w:vertAnchor="text" w:tblpXSpec="center" w:tblpY="1"/>
        <w:tblW w:w="0" w:type="auto"/>
        <w:tblLook w:val="04A0" w:firstRow="1" w:lastRow="0" w:firstColumn="1" w:lastColumn="0" w:noHBand="0" w:noVBand="1"/>
      </w:tblPr>
      <w:tblGrid>
        <w:gridCol w:w="1890"/>
        <w:gridCol w:w="1890"/>
        <w:gridCol w:w="3415"/>
      </w:tblGrid>
      <w:tr w:rsidR="00D1072D" w14:paraId="44E56B79" w14:textId="77777777" w:rsidTr="00C57B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left w:val="single" w:sz="4" w:space="0" w:color="auto"/>
            </w:tcBorders>
          </w:tcPr>
          <w:p w14:paraId="0B68CE1D" w14:textId="77777777" w:rsidR="00D1072D" w:rsidRPr="001E67FE" w:rsidRDefault="00D1072D" w:rsidP="00C57BF2">
            <w:pPr>
              <w:jc w:val="center"/>
              <w:rPr>
                <w:sz w:val="18"/>
                <w:szCs w:val="18"/>
              </w:rPr>
            </w:pPr>
            <w:r w:rsidRPr="001E67FE">
              <w:rPr>
                <w:sz w:val="18"/>
                <w:szCs w:val="18"/>
              </w:rPr>
              <w:t>Quintile</w:t>
            </w:r>
          </w:p>
        </w:tc>
        <w:tc>
          <w:tcPr>
            <w:tcW w:w="1890" w:type="dxa"/>
            <w:tcBorders>
              <w:top w:val="single" w:sz="4" w:space="0" w:color="auto"/>
            </w:tcBorders>
          </w:tcPr>
          <w:p w14:paraId="4EB7D4D3" w14:textId="77777777" w:rsidR="00D1072D" w:rsidRPr="001E67FE" w:rsidRDefault="00D1072D" w:rsidP="00C57BF2">
            <w:pPr>
              <w:jc w:val="center"/>
              <w:cnfStyle w:val="100000000000" w:firstRow="1" w:lastRow="0" w:firstColumn="0" w:lastColumn="0" w:oddVBand="0" w:evenVBand="0" w:oddHBand="0" w:evenHBand="0" w:firstRowFirstColumn="0" w:firstRowLastColumn="0" w:lastRowFirstColumn="0" w:lastRowLastColumn="0"/>
              <w:rPr>
                <w:sz w:val="18"/>
                <w:szCs w:val="18"/>
              </w:rPr>
            </w:pPr>
            <w:r w:rsidRPr="001E67FE">
              <w:rPr>
                <w:sz w:val="18"/>
                <w:szCs w:val="18"/>
              </w:rPr>
              <w:t>Base Adjustment</w:t>
            </w:r>
          </w:p>
        </w:tc>
        <w:tc>
          <w:tcPr>
            <w:tcW w:w="3415" w:type="dxa"/>
            <w:tcBorders>
              <w:top w:val="single" w:sz="4" w:space="0" w:color="auto"/>
              <w:right w:val="single" w:sz="4" w:space="0" w:color="auto"/>
            </w:tcBorders>
          </w:tcPr>
          <w:p w14:paraId="7D6C7585" w14:textId="77777777" w:rsidR="00D1072D" w:rsidRPr="001E67FE" w:rsidRDefault="00D1072D" w:rsidP="00C57BF2">
            <w:pPr>
              <w:jc w:val="center"/>
              <w:cnfStyle w:val="100000000000" w:firstRow="1" w:lastRow="0" w:firstColumn="0" w:lastColumn="0" w:oddVBand="0" w:evenVBand="0" w:oddHBand="0" w:evenHBand="0" w:firstRowFirstColumn="0" w:firstRowLastColumn="0" w:lastRowFirstColumn="0" w:lastRowLastColumn="0"/>
              <w:rPr>
                <w:sz w:val="18"/>
                <w:szCs w:val="18"/>
              </w:rPr>
            </w:pPr>
            <w:r w:rsidRPr="001E67FE">
              <w:rPr>
                <w:sz w:val="18"/>
                <w:szCs w:val="18"/>
              </w:rPr>
              <w:t>Within Quintile Adjustment</w:t>
            </w:r>
          </w:p>
        </w:tc>
      </w:tr>
      <w:tr w:rsidR="00D1072D" w14:paraId="7801BF8E" w14:textId="77777777" w:rsidTr="00C57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auto"/>
            </w:tcBorders>
          </w:tcPr>
          <w:p w14:paraId="3058DA0C" w14:textId="77777777" w:rsidR="00D1072D" w:rsidRPr="001E67FE" w:rsidRDefault="00D1072D" w:rsidP="00C57BF2">
            <w:pPr>
              <w:jc w:val="center"/>
              <w:rPr>
                <w:sz w:val="18"/>
                <w:szCs w:val="18"/>
              </w:rPr>
            </w:pPr>
            <w:r w:rsidRPr="001E67FE">
              <w:rPr>
                <w:sz w:val="18"/>
                <w:szCs w:val="18"/>
              </w:rPr>
              <w:t>Q1</w:t>
            </w:r>
          </w:p>
        </w:tc>
        <w:tc>
          <w:tcPr>
            <w:tcW w:w="1890" w:type="dxa"/>
          </w:tcPr>
          <w:p w14:paraId="5BB1D713" w14:textId="77777777" w:rsidR="00D1072D" w:rsidRPr="001E67FE" w:rsidRDefault="00D1072D" w:rsidP="00C57BF2">
            <w:pPr>
              <w:jc w:val="center"/>
              <w:cnfStyle w:val="000000100000" w:firstRow="0" w:lastRow="0" w:firstColumn="0" w:lastColumn="0" w:oddVBand="0" w:evenVBand="0" w:oddHBand="1" w:evenHBand="0" w:firstRowFirstColumn="0" w:firstRowLastColumn="0" w:lastRowFirstColumn="0" w:lastRowLastColumn="0"/>
              <w:rPr>
                <w:sz w:val="18"/>
                <w:szCs w:val="18"/>
              </w:rPr>
            </w:pPr>
            <w:r w:rsidRPr="001E67FE">
              <w:rPr>
                <w:sz w:val="18"/>
                <w:szCs w:val="18"/>
              </w:rPr>
              <w:t>80%</w:t>
            </w:r>
          </w:p>
        </w:tc>
        <w:tc>
          <w:tcPr>
            <w:tcW w:w="3415" w:type="dxa"/>
            <w:vMerge w:val="restart"/>
            <w:tcBorders>
              <w:right w:val="single" w:sz="4" w:space="0" w:color="auto"/>
            </w:tcBorders>
            <w:vAlign w:val="center"/>
          </w:tcPr>
          <w:p w14:paraId="5094D023" w14:textId="77777777" w:rsidR="00D1072D" w:rsidRPr="001E67FE" w:rsidRDefault="00D1072D" w:rsidP="00C57BF2">
            <w:pPr>
              <w:jc w:val="center"/>
              <w:cnfStyle w:val="000000100000" w:firstRow="0" w:lastRow="0" w:firstColumn="0" w:lastColumn="0" w:oddVBand="0" w:evenVBand="0" w:oddHBand="1" w:evenHBand="0" w:firstRowFirstColumn="0" w:firstRowLastColumn="0" w:lastRowFirstColumn="0" w:lastRowLastColumn="0"/>
              <w:rPr>
                <w:sz w:val="18"/>
                <w:szCs w:val="18"/>
              </w:rPr>
            </w:pPr>
            <w:r w:rsidRPr="001E67FE">
              <w:rPr>
                <w:sz w:val="18"/>
                <w:szCs w:val="18"/>
              </w:rPr>
              <w:t>+ (20% / # hospitals within quintile) x hospitals rank within quintile</w:t>
            </w:r>
          </w:p>
        </w:tc>
      </w:tr>
      <w:tr w:rsidR="00D1072D" w14:paraId="4E6B9CAC" w14:textId="77777777" w:rsidTr="00C57BF2">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auto"/>
            </w:tcBorders>
          </w:tcPr>
          <w:p w14:paraId="761E998D" w14:textId="77777777" w:rsidR="00D1072D" w:rsidRPr="001E67FE" w:rsidRDefault="00D1072D" w:rsidP="00C57BF2">
            <w:pPr>
              <w:jc w:val="center"/>
              <w:rPr>
                <w:sz w:val="18"/>
                <w:szCs w:val="18"/>
              </w:rPr>
            </w:pPr>
            <w:r w:rsidRPr="001E67FE">
              <w:rPr>
                <w:sz w:val="18"/>
                <w:szCs w:val="18"/>
              </w:rPr>
              <w:t>Q2</w:t>
            </w:r>
          </w:p>
        </w:tc>
        <w:tc>
          <w:tcPr>
            <w:tcW w:w="1890" w:type="dxa"/>
          </w:tcPr>
          <w:p w14:paraId="0EF5B6E1" w14:textId="77777777" w:rsidR="00D1072D" w:rsidRPr="001E67FE" w:rsidRDefault="00D1072D" w:rsidP="00C57BF2">
            <w:pPr>
              <w:jc w:val="center"/>
              <w:cnfStyle w:val="000000000000" w:firstRow="0" w:lastRow="0" w:firstColumn="0" w:lastColumn="0" w:oddVBand="0" w:evenVBand="0" w:oddHBand="0" w:evenHBand="0" w:firstRowFirstColumn="0" w:firstRowLastColumn="0" w:lastRowFirstColumn="0" w:lastRowLastColumn="0"/>
              <w:rPr>
                <w:sz w:val="18"/>
                <w:szCs w:val="18"/>
              </w:rPr>
            </w:pPr>
            <w:r w:rsidRPr="001E67FE">
              <w:rPr>
                <w:sz w:val="18"/>
                <w:szCs w:val="18"/>
              </w:rPr>
              <w:t>60%</w:t>
            </w:r>
          </w:p>
        </w:tc>
        <w:tc>
          <w:tcPr>
            <w:tcW w:w="3415" w:type="dxa"/>
            <w:vMerge/>
            <w:tcBorders>
              <w:right w:val="single" w:sz="4" w:space="0" w:color="auto"/>
            </w:tcBorders>
          </w:tcPr>
          <w:p w14:paraId="03758493" w14:textId="77777777" w:rsidR="00D1072D" w:rsidRPr="001E67FE" w:rsidRDefault="00D1072D" w:rsidP="00C57BF2">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D1072D" w14:paraId="138E2CBA" w14:textId="77777777" w:rsidTr="00C57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auto"/>
            </w:tcBorders>
          </w:tcPr>
          <w:p w14:paraId="11663ED7" w14:textId="77777777" w:rsidR="00D1072D" w:rsidRPr="001E67FE" w:rsidRDefault="00D1072D" w:rsidP="00C57BF2">
            <w:pPr>
              <w:jc w:val="center"/>
              <w:rPr>
                <w:sz w:val="18"/>
                <w:szCs w:val="18"/>
              </w:rPr>
            </w:pPr>
            <w:r w:rsidRPr="001E67FE">
              <w:rPr>
                <w:sz w:val="18"/>
                <w:szCs w:val="18"/>
              </w:rPr>
              <w:t>Q3</w:t>
            </w:r>
          </w:p>
        </w:tc>
        <w:tc>
          <w:tcPr>
            <w:tcW w:w="1890" w:type="dxa"/>
          </w:tcPr>
          <w:p w14:paraId="1A85751B" w14:textId="77777777" w:rsidR="00D1072D" w:rsidRPr="001E67FE" w:rsidRDefault="00D1072D" w:rsidP="00C57BF2">
            <w:pPr>
              <w:jc w:val="center"/>
              <w:cnfStyle w:val="000000100000" w:firstRow="0" w:lastRow="0" w:firstColumn="0" w:lastColumn="0" w:oddVBand="0" w:evenVBand="0" w:oddHBand="1" w:evenHBand="0" w:firstRowFirstColumn="0" w:firstRowLastColumn="0" w:lastRowFirstColumn="0" w:lastRowLastColumn="0"/>
              <w:rPr>
                <w:sz w:val="18"/>
                <w:szCs w:val="18"/>
              </w:rPr>
            </w:pPr>
            <w:r w:rsidRPr="001E67FE">
              <w:rPr>
                <w:sz w:val="18"/>
                <w:szCs w:val="18"/>
              </w:rPr>
              <w:t>40%</w:t>
            </w:r>
          </w:p>
        </w:tc>
        <w:tc>
          <w:tcPr>
            <w:tcW w:w="3415" w:type="dxa"/>
            <w:vMerge/>
            <w:tcBorders>
              <w:right w:val="single" w:sz="4" w:space="0" w:color="auto"/>
            </w:tcBorders>
          </w:tcPr>
          <w:p w14:paraId="0CEA4CBA" w14:textId="77777777" w:rsidR="00D1072D" w:rsidRPr="001E67FE" w:rsidRDefault="00D1072D" w:rsidP="00C57BF2">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D1072D" w14:paraId="065C770F" w14:textId="77777777" w:rsidTr="00C57BF2">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auto"/>
              <w:bottom w:val="single" w:sz="4" w:space="0" w:color="8EAADB" w:themeColor="accent1" w:themeTint="99"/>
            </w:tcBorders>
          </w:tcPr>
          <w:p w14:paraId="5056950A" w14:textId="77777777" w:rsidR="00D1072D" w:rsidRPr="001E67FE" w:rsidRDefault="00D1072D" w:rsidP="00C57BF2">
            <w:pPr>
              <w:jc w:val="center"/>
              <w:rPr>
                <w:sz w:val="18"/>
                <w:szCs w:val="18"/>
              </w:rPr>
            </w:pPr>
            <w:r w:rsidRPr="001E67FE">
              <w:rPr>
                <w:sz w:val="18"/>
                <w:szCs w:val="18"/>
              </w:rPr>
              <w:t>Q4</w:t>
            </w:r>
          </w:p>
        </w:tc>
        <w:tc>
          <w:tcPr>
            <w:tcW w:w="1890" w:type="dxa"/>
            <w:tcBorders>
              <w:bottom w:val="single" w:sz="4" w:space="0" w:color="8EAADB" w:themeColor="accent1" w:themeTint="99"/>
            </w:tcBorders>
          </w:tcPr>
          <w:p w14:paraId="24A086B0" w14:textId="77777777" w:rsidR="00D1072D" w:rsidRPr="001E67FE" w:rsidRDefault="00D1072D" w:rsidP="00C57BF2">
            <w:pPr>
              <w:jc w:val="center"/>
              <w:cnfStyle w:val="000000000000" w:firstRow="0" w:lastRow="0" w:firstColumn="0" w:lastColumn="0" w:oddVBand="0" w:evenVBand="0" w:oddHBand="0" w:evenHBand="0" w:firstRowFirstColumn="0" w:firstRowLastColumn="0" w:lastRowFirstColumn="0" w:lastRowLastColumn="0"/>
              <w:rPr>
                <w:sz w:val="18"/>
                <w:szCs w:val="18"/>
              </w:rPr>
            </w:pPr>
            <w:r w:rsidRPr="001E67FE">
              <w:rPr>
                <w:sz w:val="18"/>
                <w:szCs w:val="18"/>
              </w:rPr>
              <w:t>20%</w:t>
            </w:r>
          </w:p>
        </w:tc>
        <w:tc>
          <w:tcPr>
            <w:tcW w:w="3415" w:type="dxa"/>
            <w:vMerge/>
            <w:tcBorders>
              <w:right w:val="single" w:sz="4" w:space="0" w:color="auto"/>
            </w:tcBorders>
          </w:tcPr>
          <w:p w14:paraId="3D5BD08D" w14:textId="77777777" w:rsidR="00D1072D" w:rsidRPr="001E67FE" w:rsidRDefault="00D1072D" w:rsidP="00C57BF2">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D1072D" w14:paraId="0E14A73E" w14:textId="77777777" w:rsidTr="00C57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auto"/>
              <w:bottom w:val="single" w:sz="4" w:space="0" w:color="auto"/>
            </w:tcBorders>
          </w:tcPr>
          <w:p w14:paraId="24503904" w14:textId="77777777" w:rsidR="00D1072D" w:rsidRPr="001E67FE" w:rsidRDefault="00D1072D" w:rsidP="00C57BF2">
            <w:pPr>
              <w:jc w:val="center"/>
              <w:rPr>
                <w:sz w:val="18"/>
                <w:szCs w:val="18"/>
              </w:rPr>
            </w:pPr>
            <w:r w:rsidRPr="001E67FE">
              <w:rPr>
                <w:sz w:val="18"/>
                <w:szCs w:val="18"/>
              </w:rPr>
              <w:t>Q5</w:t>
            </w:r>
          </w:p>
        </w:tc>
        <w:tc>
          <w:tcPr>
            <w:tcW w:w="1890" w:type="dxa"/>
            <w:tcBorders>
              <w:bottom w:val="single" w:sz="4" w:space="0" w:color="auto"/>
            </w:tcBorders>
          </w:tcPr>
          <w:p w14:paraId="34A81BA1" w14:textId="77777777" w:rsidR="00D1072D" w:rsidRPr="001E67FE" w:rsidRDefault="00D1072D" w:rsidP="00C57BF2">
            <w:pPr>
              <w:jc w:val="center"/>
              <w:cnfStyle w:val="000000100000" w:firstRow="0" w:lastRow="0" w:firstColumn="0" w:lastColumn="0" w:oddVBand="0" w:evenVBand="0" w:oddHBand="1" w:evenHBand="0" w:firstRowFirstColumn="0" w:firstRowLastColumn="0" w:lastRowFirstColumn="0" w:lastRowLastColumn="0"/>
              <w:rPr>
                <w:sz w:val="18"/>
                <w:szCs w:val="18"/>
              </w:rPr>
            </w:pPr>
            <w:r w:rsidRPr="001E67FE">
              <w:rPr>
                <w:sz w:val="18"/>
                <w:szCs w:val="18"/>
              </w:rPr>
              <w:t>00%</w:t>
            </w:r>
          </w:p>
        </w:tc>
        <w:tc>
          <w:tcPr>
            <w:tcW w:w="3415" w:type="dxa"/>
            <w:vMerge/>
            <w:tcBorders>
              <w:bottom w:val="single" w:sz="4" w:space="0" w:color="auto"/>
              <w:right w:val="single" w:sz="4" w:space="0" w:color="auto"/>
            </w:tcBorders>
          </w:tcPr>
          <w:p w14:paraId="3038CCC6" w14:textId="77777777" w:rsidR="00D1072D" w:rsidRPr="001E67FE" w:rsidRDefault="00D1072D" w:rsidP="00C57BF2">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D1072D" w14:paraId="63400D77" w14:textId="77777777" w:rsidTr="00C57BF2">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left w:val="nil"/>
              <w:bottom w:val="nil"/>
              <w:right w:val="nil"/>
            </w:tcBorders>
          </w:tcPr>
          <w:p w14:paraId="4960AACC" w14:textId="77777777" w:rsidR="00D1072D" w:rsidRDefault="00D1072D" w:rsidP="00C57BF2">
            <w:pPr>
              <w:jc w:val="center"/>
            </w:pPr>
          </w:p>
        </w:tc>
        <w:tc>
          <w:tcPr>
            <w:tcW w:w="1890" w:type="dxa"/>
            <w:tcBorders>
              <w:top w:val="single" w:sz="4" w:space="0" w:color="auto"/>
              <w:left w:val="nil"/>
              <w:bottom w:val="nil"/>
              <w:right w:val="nil"/>
            </w:tcBorders>
          </w:tcPr>
          <w:p w14:paraId="1C853392" w14:textId="77777777" w:rsidR="00D1072D" w:rsidRDefault="00D1072D" w:rsidP="00C57BF2">
            <w:pPr>
              <w:jc w:val="center"/>
              <w:cnfStyle w:val="000000000000" w:firstRow="0" w:lastRow="0" w:firstColumn="0" w:lastColumn="0" w:oddVBand="0" w:evenVBand="0" w:oddHBand="0" w:evenHBand="0" w:firstRowFirstColumn="0" w:firstRowLastColumn="0" w:lastRowFirstColumn="0" w:lastRowLastColumn="0"/>
            </w:pPr>
          </w:p>
        </w:tc>
        <w:tc>
          <w:tcPr>
            <w:tcW w:w="3415" w:type="dxa"/>
            <w:tcBorders>
              <w:top w:val="single" w:sz="4" w:space="0" w:color="auto"/>
              <w:left w:val="nil"/>
              <w:bottom w:val="nil"/>
              <w:right w:val="nil"/>
            </w:tcBorders>
          </w:tcPr>
          <w:p w14:paraId="3D182B40" w14:textId="77777777" w:rsidR="00D1072D" w:rsidRDefault="00D1072D" w:rsidP="00C57BF2">
            <w:pPr>
              <w:jc w:val="center"/>
              <w:cnfStyle w:val="000000000000" w:firstRow="0" w:lastRow="0" w:firstColumn="0" w:lastColumn="0" w:oddVBand="0" w:evenVBand="0" w:oddHBand="0" w:evenHBand="0" w:firstRowFirstColumn="0" w:firstRowLastColumn="0" w:lastRowFirstColumn="0" w:lastRowLastColumn="0"/>
            </w:pPr>
          </w:p>
        </w:tc>
      </w:tr>
    </w:tbl>
    <w:p w14:paraId="2B51788E" w14:textId="32B5C6C8" w:rsidR="00CF582E" w:rsidRDefault="00D1072D" w:rsidP="00D1072D">
      <w:r>
        <w:br w:type="textWrapping" w:clear="all"/>
        <w:t>Once the scaling factor has been calculated, it is multiplied by the amount of funding that the project is eligible for following capital efficiency scaling, as calculated in Step 2a. For example, the most efficient hospital in the third quintile would could receive up to 60 percent of the eligible amount of its capital project.</w:t>
      </w:r>
    </w:p>
    <w:p w14:paraId="0297AA52" w14:textId="77777777" w:rsidR="00CF582E" w:rsidRDefault="00CF582E">
      <w:r>
        <w:br w:type="page"/>
      </w:r>
    </w:p>
    <w:p w14:paraId="2C64D114" w14:textId="77777777" w:rsidR="00D1072D" w:rsidRDefault="00D1072D" w:rsidP="00D1072D"/>
    <w:p w14:paraId="6F8AAFC2" w14:textId="00ED02B2" w:rsidR="00D1072D" w:rsidRPr="00604D3F" w:rsidRDefault="00D1072D" w:rsidP="00D1072D">
      <w:pPr>
        <w:pStyle w:val="Caption"/>
        <w:keepNext/>
        <w:rPr>
          <w:b/>
          <w:bCs/>
          <w:sz w:val="22"/>
          <w:szCs w:val="22"/>
        </w:rPr>
      </w:pPr>
      <w:r w:rsidRPr="00604D3F">
        <w:rPr>
          <w:b/>
          <w:bCs/>
          <w:sz w:val="22"/>
          <w:szCs w:val="22"/>
        </w:rPr>
        <w:t xml:space="preserve">Table </w:t>
      </w:r>
      <w:r w:rsidRPr="00604D3F">
        <w:rPr>
          <w:b/>
          <w:bCs/>
          <w:sz w:val="22"/>
          <w:szCs w:val="22"/>
        </w:rPr>
        <w:fldChar w:fldCharType="begin"/>
      </w:r>
      <w:r w:rsidRPr="00604D3F">
        <w:rPr>
          <w:b/>
          <w:bCs/>
          <w:sz w:val="22"/>
          <w:szCs w:val="22"/>
        </w:rPr>
        <w:instrText xml:space="preserve"> SEQ Table \* ARABIC </w:instrText>
      </w:r>
      <w:r w:rsidRPr="00604D3F">
        <w:rPr>
          <w:b/>
          <w:bCs/>
          <w:sz w:val="22"/>
          <w:szCs w:val="22"/>
        </w:rPr>
        <w:fldChar w:fldCharType="separate"/>
      </w:r>
      <w:r w:rsidR="000D0D4B">
        <w:rPr>
          <w:b/>
          <w:bCs/>
          <w:noProof/>
          <w:sz w:val="22"/>
          <w:szCs w:val="22"/>
        </w:rPr>
        <w:t>1</w:t>
      </w:r>
      <w:r w:rsidRPr="00604D3F">
        <w:rPr>
          <w:b/>
          <w:bCs/>
          <w:sz w:val="22"/>
          <w:szCs w:val="22"/>
        </w:rPr>
        <w:fldChar w:fldCharType="end"/>
      </w:r>
      <w:r w:rsidRPr="00604D3F">
        <w:rPr>
          <w:b/>
          <w:bCs/>
          <w:sz w:val="22"/>
          <w:szCs w:val="22"/>
        </w:rPr>
        <w:t>: Efficiency Adjustment by Hospital</w:t>
      </w:r>
      <w:r>
        <w:rPr>
          <w:b/>
          <w:bCs/>
          <w:sz w:val="22"/>
          <w:szCs w:val="22"/>
        </w:rPr>
        <w:t xml:space="preserve"> based on FY202</w:t>
      </w:r>
      <w:r w:rsidR="00023FE5">
        <w:rPr>
          <w:b/>
          <w:bCs/>
          <w:sz w:val="22"/>
          <w:szCs w:val="22"/>
        </w:rPr>
        <w:t>0</w:t>
      </w:r>
    </w:p>
    <w:tbl>
      <w:tblPr>
        <w:tblStyle w:val="ListTable4-Accent1"/>
        <w:tblW w:w="9355" w:type="dxa"/>
        <w:tblLayout w:type="fixed"/>
        <w:tblLook w:val="04A0" w:firstRow="1" w:lastRow="0" w:firstColumn="1" w:lastColumn="0" w:noHBand="0" w:noVBand="1"/>
      </w:tblPr>
      <w:tblGrid>
        <w:gridCol w:w="3325"/>
        <w:gridCol w:w="1352"/>
        <w:gridCol w:w="3328"/>
        <w:gridCol w:w="1350"/>
      </w:tblGrid>
      <w:tr w:rsidR="00D1072D" w14:paraId="3DD04430" w14:textId="77777777" w:rsidTr="00C57B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36858CF4" w14:textId="77777777" w:rsidR="00D1072D" w:rsidRPr="00A34A72" w:rsidRDefault="00D1072D" w:rsidP="00C57BF2">
            <w:pPr>
              <w:rPr>
                <w:sz w:val="18"/>
                <w:szCs w:val="18"/>
              </w:rPr>
            </w:pPr>
            <w:r w:rsidRPr="00A34A72">
              <w:rPr>
                <w:sz w:val="18"/>
                <w:szCs w:val="18"/>
              </w:rPr>
              <w:t>Hospital</w:t>
            </w:r>
          </w:p>
        </w:tc>
        <w:tc>
          <w:tcPr>
            <w:tcW w:w="1352" w:type="dxa"/>
            <w:vAlign w:val="center"/>
          </w:tcPr>
          <w:p w14:paraId="3C7D40A3" w14:textId="77777777" w:rsidR="00D1072D" w:rsidRPr="00A34A72" w:rsidRDefault="00D1072D" w:rsidP="00C57BF2">
            <w:pPr>
              <w:jc w:val="center"/>
              <w:cnfStyle w:val="100000000000" w:firstRow="1" w:lastRow="0" w:firstColumn="0" w:lastColumn="0" w:oddVBand="0" w:evenVBand="0" w:oddHBand="0" w:evenHBand="0" w:firstRowFirstColumn="0" w:firstRowLastColumn="0" w:lastRowFirstColumn="0" w:lastRowLastColumn="0"/>
              <w:rPr>
                <w:sz w:val="18"/>
                <w:szCs w:val="18"/>
              </w:rPr>
            </w:pPr>
            <w:r w:rsidRPr="00A34A72">
              <w:rPr>
                <w:sz w:val="18"/>
                <w:szCs w:val="18"/>
              </w:rPr>
              <w:t>Efficiency Adjustment</w:t>
            </w:r>
          </w:p>
        </w:tc>
        <w:tc>
          <w:tcPr>
            <w:tcW w:w="3328" w:type="dxa"/>
            <w:vAlign w:val="center"/>
          </w:tcPr>
          <w:p w14:paraId="2C257872" w14:textId="77777777" w:rsidR="00D1072D" w:rsidRPr="00A34A72" w:rsidRDefault="00D1072D" w:rsidP="00C57BF2">
            <w:pPr>
              <w:cnfStyle w:val="100000000000" w:firstRow="1" w:lastRow="0" w:firstColumn="0" w:lastColumn="0" w:oddVBand="0" w:evenVBand="0" w:oddHBand="0" w:evenHBand="0" w:firstRowFirstColumn="0" w:firstRowLastColumn="0" w:lastRowFirstColumn="0" w:lastRowLastColumn="0"/>
              <w:rPr>
                <w:sz w:val="18"/>
                <w:szCs w:val="18"/>
              </w:rPr>
            </w:pPr>
            <w:r w:rsidRPr="00A34A72">
              <w:rPr>
                <w:sz w:val="18"/>
                <w:szCs w:val="18"/>
              </w:rPr>
              <w:t>Hospital</w:t>
            </w:r>
          </w:p>
        </w:tc>
        <w:tc>
          <w:tcPr>
            <w:tcW w:w="1350" w:type="dxa"/>
            <w:vAlign w:val="center"/>
          </w:tcPr>
          <w:p w14:paraId="348A6EFA" w14:textId="77777777" w:rsidR="00D1072D" w:rsidRPr="00A34A72" w:rsidRDefault="00D1072D" w:rsidP="00C57BF2">
            <w:pPr>
              <w:jc w:val="center"/>
              <w:cnfStyle w:val="100000000000" w:firstRow="1" w:lastRow="0" w:firstColumn="0" w:lastColumn="0" w:oddVBand="0" w:evenVBand="0" w:oddHBand="0" w:evenHBand="0" w:firstRowFirstColumn="0" w:firstRowLastColumn="0" w:lastRowFirstColumn="0" w:lastRowLastColumn="0"/>
              <w:rPr>
                <w:sz w:val="18"/>
                <w:szCs w:val="18"/>
              </w:rPr>
            </w:pPr>
            <w:r w:rsidRPr="00A34A72">
              <w:rPr>
                <w:sz w:val="18"/>
                <w:szCs w:val="18"/>
              </w:rPr>
              <w:t>Efficiency Adjustment</w:t>
            </w:r>
          </w:p>
        </w:tc>
      </w:tr>
      <w:tr w:rsidR="00D1072D" w:rsidRPr="00033598" w14:paraId="25C3BB7F" w14:textId="77777777" w:rsidTr="00C57BF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325" w:type="dxa"/>
          </w:tcPr>
          <w:p w14:paraId="79D4B755" w14:textId="77777777" w:rsidR="00D1072D" w:rsidRPr="00A34A72" w:rsidRDefault="00D1072D" w:rsidP="00C57BF2">
            <w:pPr>
              <w:rPr>
                <w:sz w:val="18"/>
                <w:szCs w:val="18"/>
              </w:rPr>
            </w:pPr>
            <w:r w:rsidRPr="009725EA">
              <w:rPr>
                <w:rFonts w:ascii="Calibri" w:hAnsi="Calibri" w:cs="Calibri"/>
                <w:color w:val="000000"/>
                <w:sz w:val="18"/>
                <w:szCs w:val="18"/>
              </w:rPr>
              <w:t xml:space="preserve">Anne Arundel </w:t>
            </w:r>
          </w:p>
        </w:tc>
        <w:tc>
          <w:tcPr>
            <w:tcW w:w="1352" w:type="dxa"/>
            <w:vAlign w:val="center"/>
          </w:tcPr>
          <w:p w14:paraId="708A262C"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sz w:val="18"/>
                <w:szCs w:val="18"/>
              </w:rPr>
            </w:pPr>
            <w:r w:rsidRPr="00A34A72">
              <w:rPr>
                <w:rFonts w:ascii="Calibri" w:hAnsi="Calibri" w:cs="Calibri"/>
                <w:color w:val="000000"/>
                <w:sz w:val="18"/>
                <w:szCs w:val="18"/>
              </w:rPr>
              <w:t>100%</w:t>
            </w:r>
          </w:p>
        </w:tc>
        <w:tc>
          <w:tcPr>
            <w:tcW w:w="3328" w:type="dxa"/>
            <w:vAlign w:val="bottom"/>
          </w:tcPr>
          <w:p w14:paraId="7EE74E35" w14:textId="77777777" w:rsidR="00D1072D" w:rsidRPr="00A34A72" w:rsidRDefault="00D1072D" w:rsidP="00C57BF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MedStar Union Hospital</w:t>
            </w:r>
          </w:p>
        </w:tc>
        <w:tc>
          <w:tcPr>
            <w:tcW w:w="1350" w:type="dxa"/>
            <w:vAlign w:val="center"/>
          </w:tcPr>
          <w:p w14:paraId="0AB03A92"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73%</w:t>
            </w:r>
          </w:p>
        </w:tc>
      </w:tr>
      <w:tr w:rsidR="00D1072D" w:rsidRPr="00033598" w14:paraId="63573B16" w14:textId="77777777" w:rsidTr="00C57BF2">
        <w:trPr>
          <w:trHeight w:val="202"/>
        </w:trPr>
        <w:tc>
          <w:tcPr>
            <w:cnfStyle w:val="001000000000" w:firstRow="0" w:lastRow="0" w:firstColumn="1" w:lastColumn="0" w:oddVBand="0" w:evenVBand="0" w:oddHBand="0" w:evenHBand="0" w:firstRowFirstColumn="0" w:firstRowLastColumn="0" w:lastRowFirstColumn="0" w:lastRowLastColumn="0"/>
            <w:tcW w:w="3325" w:type="dxa"/>
          </w:tcPr>
          <w:p w14:paraId="60FCC369" w14:textId="77777777" w:rsidR="00D1072D" w:rsidRPr="00A34A72" w:rsidRDefault="00D1072D" w:rsidP="00C57BF2">
            <w:pPr>
              <w:rPr>
                <w:sz w:val="18"/>
                <w:szCs w:val="18"/>
              </w:rPr>
            </w:pPr>
            <w:r w:rsidRPr="009725EA">
              <w:rPr>
                <w:rFonts w:ascii="Calibri" w:hAnsi="Calibri" w:cs="Calibri"/>
                <w:color w:val="000000"/>
                <w:sz w:val="18"/>
                <w:szCs w:val="18"/>
              </w:rPr>
              <w:t>Atlantic General Hospital</w:t>
            </w:r>
          </w:p>
        </w:tc>
        <w:tc>
          <w:tcPr>
            <w:tcW w:w="1352" w:type="dxa"/>
            <w:vAlign w:val="center"/>
          </w:tcPr>
          <w:p w14:paraId="5BE18FE6"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sz w:val="18"/>
                <w:szCs w:val="18"/>
              </w:rPr>
            </w:pPr>
            <w:r w:rsidRPr="00A34A72">
              <w:rPr>
                <w:rFonts w:ascii="Calibri" w:hAnsi="Calibri" w:cs="Calibri"/>
                <w:color w:val="000000"/>
                <w:sz w:val="18"/>
                <w:szCs w:val="18"/>
              </w:rPr>
              <w:t>98%</w:t>
            </w:r>
          </w:p>
        </w:tc>
        <w:tc>
          <w:tcPr>
            <w:tcW w:w="3328" w:type="dxa"/>
            <w:vAlign w:val="bottom"/>
          </w:tcPr>
          <w:p w14:paraId="775A54F3" w14:textId="77777777" w:rsidR="00D1072D" w:rsidRPr="00A34A72" w:rsidRDefault="00D1072D" w:rsidP="00C57BF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Mercy Medical Center</w:t>
            </w:r>
          </w:p>
        </w:tc>
        <w:tc>
          <w:tcPr>
            <w:tcW w:w="1350" w:type="dxa"/>
            <w:vAlign w:val="center"/>
          </w:tcPr>
          <w:p w14:paraId="5F79EBC8"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84%</w:t>
            </w:r>
          </w:p>
        </w:tc>
      </w:tr>
      <w:tr w:rsidR="00D1072D" w:rsidRPr="00033598" w14:paraId="73E17F9A" w14:textId="77777777" w:rsidTr="00C57BF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325" w:type="dxa"/>
          </w:tcPr>
          <w:p w14:paraId="24829642" w14:textId="77777777" w:rsidR="00D1072D" w:rsidRPr="00A34A72" w:rsidRDefault="00D1072D" w:rsidP="00C57BF2">
            <w:pPr>
              <w:rPr>
                <w:sz w:val="18"/>
                <w:szCs w:val="18"/>
              </w:rPr>
            </w:pPr>
            <w:r w:rsidRPr="009725EA">
              <w:rPr>
                <w:rFonts w:ascii="Calibri" w:hAnsi="Calibri" w:cs="Calibri"/>
                <w:color w:val="000000"/>
                <w:sz w:val="18"/>
                <w:szCs w:val="18"/>
              </w:rPr>
              <w:t>Bon Secours Hospital</w:t>
            </w:r>
          </w:p>
        </w:tc>
        <w:tc>
          <w:tcPr>
            <w:tcW w:w="1352" w:type="dxa"/>
            <w:vAlign w:val="center"/>
          </w:tcPr>
          <w:p w14:paraId="40CB1E98"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sz w:val="18"/>
                <w:szCs w:val="18"/>
              </w:rPr>
            </w:pPr>
            <w:r w:rsidRPr="00A34A72">
              <w:rPr>
                <w:rFonts w:ascii="Calibri" w:hAnsi="Calibri" w:cs="Calibri"/>
                <w:color w:val="000000"/>
                <w:sz w:val="18"/>
                <w:szCs w:val="18"/>
              </w:rPr>
              <w:t>11%</w:t>
            </w:r>
          </w:p>
        </w:tc>
        <w:tc>
          <w:tcPr>
            <w:tcW w:w="3328" w:type="dxa"/>
            <w:vAlign w:val="bottom"/>
          </w:tcPr>
          <w:p w14:paraId="4B618509" w14:textId="77777777" w:rsidR="00D1072D" w:rsidRPr="00A34A72" w:rsidRDefault="00D1072D" w:rsidP="00C57BF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Meritus Medical Center</w:t>
            </w:r>
          </w:p>
        </w:tc>
        <w:tc>
          <w:tcPr>
            <w:tcW w:w="1350" w:type="dxa"/>
            <w:vAlign w:val="center"/>
          </w:tcPr>
          <w:p w14:paraId="77397F9C"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91%</w:t>
            </w:r>
          </w:p>
        </w:tc>
      </w:tr>
      <w:tr w:rsidR="00D1072D" w:rsidRPr="00033598" w14:paraId="3604A4A7" w14:textId="77777777" w:rsidTr="00C57BF2">
        <w:trPr>
          <w:trHeight w:val="202"/>
        </w:trPr>
        <w:tc>
          <w:tcPr>
            <w:cnfStyle w:val="001000000000" w:firstRow="0" w:lastRow="0" w:firstColumn="1" w:lastColumn="0" w:oddVBand="0" w:evenVBand="0" w:oddHBand="0" w:evenHBand="0" w:firstRowFirstColumn="0" w:firstRowLastColumn="0" w:lastRowFirstColumn="0" w:lastRowLastColumn="0"/>
            <w:tcW w:w="3325" w:type="dxa"/>
          </w:tcPr>
          <w:p w14:paraId="2CE92192" w14:textId="77777777" w:rsidR="00D1072D" w:rsidRPr="00A34A72" w:rsidRDefault="00D1072D" w:rsidP="00C57BF2">
            <w:pPr>
              <w:rPr>
                <w:sz w:val="18"/>
                <w:szCs w:val="18"/>
              </w:rPr>
            </w:pPr>
            <w:r w:rsidRPr="009725EA">
              <w:rPr>
                <w:rFonts w:ascii="Calibri" w:hAnsi="Calibri" w:cs="Calibri"/>
                <w:color w:val="000000"/>
                <w:sz w:val="18"/>
                <w:szCs w:val="18"/>
              </w:rPr>
              <w:t>Calvert Memorial Hospital</w:t>
            </w:r>
          </w:p>
        </w:tc>
        <w:tc>
          <w:tcPr>
            <w:tcW w:w="1352" w:type="dxa"/>
            <w:vAlign w:val="center"/>
          </w:tcPr>
          <w:p w14:paraId="06B9A3CD"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sz w:val="18"/>
                <w:szCs w:val="18"/>
              </w:rPr>
            </w:pPr>
            <w:r w:rsidRPr="00A34A72">
              <w:rPr>
                <w:rFonts w:ascii="Calibri" w:hAnsi="Calibri" w:cs="Calibri"/>
                <w:color w:val="000000"/>
                <w:sz w:val="18"/>
                <w:szCs w:val="18"/>
              </w:rPr>
              <w:t>42%</w:t>
            </w:r>
          </w:p>
        </w:tc>
        <w:tc>
          <w:tcPr>
            <w:tcW w:w="3328" w:type="dxa"/>
            <w:vAlign w:val="bottom"/>
          </w:tcPr>
          <w:p w14:paraId="1ACDA712" w14:textId="77777777" w:rsidR="00D1072D" w:rsidRPr="00A34A72" w:rsidRDefault="00D1072D" w:rsidP="00C57BF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Northwest Hospital Center</w:t>
            </w:r>
          </w:p>
        </w:tc>
        <w:tc>
          <w:tcPr>
            <w:tcW w:w="1350" w:type="dxa"/>
            <w:vAlign w:val="center"/>
          </w:tcPr>
          <w:p w14:paraId="5E8F2ED6"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24%</w:t>
            </w:r>
          </w:p>
        </w:tc>
      </w:tr>
      <w:tr w:rsidR="00D1072D" w:rsidRPr="00033598" w14:paraId="638282E4" w14:textId="77777777" w:rsidTr="00C57BF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325" w:type="dxa"/>
          </w:tcPr>
          <w:p w14:paraId="6B2D7D7F" w14:textId="77777777" w:rsidR="00D1072D" w:rsidRPr="00A34A72" w:rsidRDefault="00D1072D" w:rsidP="00C57BF2">
            <w:pPr>
              <w:rPr>
                <w:sz w:val="18"/>
                <w:szCs w:val="18"/>
              </w:rPr>
            </w:pPr>
            <w:r w:rsidRPr="009725EA">
              <w:rPr>
                <w:rFonts w:ascii="Calibri" w:hAnsi="Calibri" w:cs="Calibri"/>
                <w:color w:val="000000"/>
                <w:sz w:val="18"/>
                <w:szCs w:val="18"/>
              </w:rPr>
              <w:t>Carroll Hospital Center</w:t>
            </w:r>
          </w:p>
        </w:tc>
        <w:tc>
          <w:tcPr>
            <w:tcW w:w="1352" w:type="dxa"/>
            <w:vAlign w:val="center"/>
          </w:tcPr>
          <w:p w14:paraId="4B346161"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sz w:val="18"/>
                <w:szCs w:val="18"/>
              </w:rPr>
            </w:pPr>
            <w:r w:rsidRPr="00A34A72">
              <w:rPr>
                <w:rFonts w:ascii="Calibri" w:hAnsi="Calibri" w:cs="Calibri"/>
                <w:color w:val="000000"/>
                <w:sz w:val="18"/>
                <w:szCs w:val="18"/>
              </w:rPr>
              <w:t>36%</w:t>
            </w:r>
          </w:p>
        </w:tc>
        <w:tc>
          <w:tcPr>
            <w:tcW w:w="3328" w:type="dxa"/>
            <w:vAlign w:val="bottom"/>
          </w:tcPr>
          <w:p w14:paraId="3388A3FA" w14:textId="77777777" w:rsidR="00D1072D" w:rsidRPr="00A34A72" w:rsidRDefault="00D1072D" w:rsidP="00C57BF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Peninsula Regional </w:t>
            </w:r>
          </w:p>
        </w:tc>
        <w:tc>
          <w:tcPr>
            <w:tcW w:w="1350" w:type="dxa"/>
            <w:vAlign w:val="center"/>
          </w:tcPr>
          <w:p w14:paraId="1C076A37"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64%</w:t>
            </w:r>
          </w:p>
        </w:tc>
      </w:tr>
      <w:tr w:rsidR="00D1072D" w:rsidRPr="00033598" w14:paraId="3AC05ADD" w14:textId="77777777" w:rsidTr="00C57BF2">
        <w:trPr>
          <w:trHeight w:val="202"/>
        </w:trPr>
        <w:tc>
          <w:tcPr>
            <w:cnfStyle w:val="001000000000" w:firstRow="0" w:lastRow="0" w:firstColumn="1" w:lastColumn="0" w:oddVBand="0" w:evenVBand="0" w:oddHBand="0" w:evenHBand="0" w:firstRowFirstColumn="0" w:firstRowLastColumn="0" w:lastRowFirstColumn="0" w:lastRowLastColumn="0"/>
            <w:tcW w:w="3325" w:type="dxa"/>
          </w:tcPr>
          <w:p w14:paraId="20E44689" w14:textId="77777777" w:rsidR="00D1072D" w:rsidRPr="00A34A72" w:rsidRDefault="00D1072D" w:rsidP="00C57BF2">
            <w:pPr>
              <w:rPr>
                <w:sz w:val="18"/>
                <w:szCs w:val="18"/>
              </w:rPr>
            </w:pPr>
            <w:r w:rsidRPr="009725EA">
              <w:rPr>
                <w:rFonts w:ascii="Calibri" w:hAnsi="Calibri" w:cs="Calibri"/>
                <w:color w:val="000000"/>
                <w:sz w:val="18"/>
                <w:szCs w:val="18"/>
              </w:rPr>
              <w:t>Doctors Community Hospital</w:t>
            </w:r>
          </w:p>
        </w:tc>
        <w:tc>
          <w:tcPr>
            <w:tcW w:w="1352" w:type="dxa"/>
            <w:vAlign w:val="center"/>
          </w:tcPr>
          <w:p w14:paraId="7072CA36"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sz w:val="18"/>
                <w:szCs w:val="18"/>
              </w:rPr>
            </w:pPr>
            <w:r w:rsidRPr="00A34A72">
              <w:rPr>
                <w:rFonts w:ascii="Calibri" w:hAnsi="Calibri" w:cs="Calibri"/>
                <w:color w:val="000000"/>
                <w:sz w:val="18"/>
                <w:szCs w:val="18"/>
              </w:rPr>
              <w:t>67%</w:t>
            </w:r>
          </w:p>
        </w:tc>
        <w:tc>
          <w:tcPr>
            <w:tcW w:w="3328" w:type="dxa"/>
            <w:vAlign w:val="bottom"/>
          </w:tcPr>
          <w:p w14:paraId="7EC46EA7" w14:textId="77777777" w:rsidR="00D1072D" w:rsidRPr="00A34A72" w:rsidRDefault="00D1072D" w:rsidP="00C57BF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Prince Georges </w:t>
            </w:r>
          </w:p>
        </w:tc>
        <w:tc>
          <w:tcPr>
            <w:tcW w:w="1350" w:type="dxa"/>
            <w:vAlign w:val="center"/>
          </w:tcPr>
          <w:p w14:paraId="50D5F261"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62%</w:t>
            </w:r>
          </w:p>
        </w:tc>
      </w:tr>
      <w:tr w:rsidR="00D1072D" w:rsidRPr="00033598" w14:paraId="7CCF5373" w14:textId="77777777" w:rsidTr="00C57BF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325" w:type="dxa"/>
          </w:tcPr>
          <w:p w14:paraId="006AB225" w14:textId="77777777" w:rsidR="00D1072D" w:rsidRPr="00A34A72" w:rsidRDefault="00D1072D" w:rsidP="00C57BF2">
            <w:pPr>
              <w:rPr>
                <w:sz w:val="18"/>
                <w:szCs w:val="18"/>
              </w:rPr>
            </w:pPr>
            <w:r w:rsidRPr="009725EA">
              <w:rPr>
                <w:rFonts w:ascii="Calibri" w:hAnsi="Calibri" w:cs="Calibri"/>
                <w:color w:val="000000"/>
                <w:sz w:val="18"/>
                <w:szCs w:val="18"/>
              </w:rPr>
              <w:t xml:space="preserve">Fort Washington </w:t>
            </w:r>
          </w:p>
        </w:tc>
        <w:tc>
          <w:tcPr>
            <w:tcW w:w="1352" w:type="dxa"/>
            <w:vAlign w:val="center"/>
          </w:tcPr>
          <w:p w14:paraId="1840F176"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sz w:val="18"/>
                <w:szCs w:val="18"/>
              </w:rPr>
            </w:pPr>
            <w:r w:rsidRPr="00A34A72">
              <w:rPr>
                <w:rFonts w:ascii="Calibri" w:hAnsi="Calibri" w:cs="Calibri"/>
                <w:color w:val="000000"/>
                <w:sz w:val="18"/>
                <w:szCs w:val="18"/>
              </w:rPr>
              <w:t>73%</w:t>
            </w:r>
          </w:p>
        </w:tc>
        <w:tc>
          <w:tcPr>
            <w:tcW w:w="3328" w:type="dxa"/>
            <w:vAlign w:val="bottom"/>
          </w:tcPr>
          <w:p w14:paraId="0E7C024E" w14:textId="77777777" w:rsidR="00D1072D" w:rsidRPr="00A34A72" w:rsidRDefault="00D1072D" w:rsidP="00C57BF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Shady Grove Adventist </w:t>
            </w:r>
          </w:p>
        </w:tc>
        <w:tc>
          <w:tcPr>
            <w:tcW w:w="1350" w:type="dxa"/>
            <w:vAlign w:val="center"/>
          </w:tcPr>
          <w:p w14:paraId="46711F6C"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32%</w:t>
            </w:r>
          </w:p>
        </w:tc>
      </w:tr>
      <w:tr w:rsidR="00D1072D" w:rsidRPr="00033598" w14:paraId="0BB40958" w14:textId="77777777" w:rsidTr="00C57BF2">
        <w:trPr>
          <w:trHeight w:val="202"/>
        </w:trPr>
        <w:tc>
          <w:tcPr>
            <w:cnfStyle w:val="001000000000" w:firstRow="0" w:lastRow="0" w:firstColumn="1" w:lastColumn="0" w:oddVBand="0" w:evenVBand="0" w:oddHBand="0" w:evenHBand="0" w:firstRowFirstColumn="0" w:firstRowLastColumn="0" w:lastRowFirstColumn="0" w:lastRowLastColumn="0"/>
            <w:tcW w:w="3325" w:type="dxa"/>
          </w:tcPr>
          <w:p w14:paraId="38C169CD" w14:textId="77777777" w:rsidR="00D1072D" w:rsidRPr="00A34A72" w:rsidRDefault="00D1072D" w:rsidP="00C57BF2">
            <w:pPr>
              <w:rPr>
                <w:sz w:val="18"/>
                <w:szCs w:val="18"/>
              </w:rPr>
            </w:pPr>
            <w:r w:rsidRPr="009725EA">
              <w:rPr>
                <w:rFonts w:ascii="Calibri" w:hAnsi="Calibri" w:cs="Calibri"/>
                <w:color w:val="000000"/>
                <w:sz w:val="18"/>
                <w:szCs w:val="18"/>
              </w:rPr>
              <w:t>Frederick Memorial Hospital</w:t>
            </w:r>
          </w:p>
        </w:tc>
        <w:tc>
          <w:tcPr>
            <w:tcW w:w="1352" w:type="dxa"/>
            <w:vAlign w:val="center"/>
          </w:tcPr>
          <w:p w14:paraId="6F049D3C"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sz w:val="18"/>
                <w:szCs w:val="18"/>
              </w:rPr>
            </w:pPr>
            <w:r w:rsidRPr="00A34A72">
              <w:rPr>
                <w:rFonts w:ascii="Calibri" w:hAnsi="Calibri" w:cs="Calibri"/>
                <w:color w:val="000000"/>
                <w:sz w:val="18"/>
                <w:szCs w:val="18"/>
              </w:rPr>
              <w:t>78%</w:t>
            </w:r>
          </w:p>
        </w:tc>
        <w:tc>
          <w:tcPr>
            <w:tcW w:w="3328" w:type="dxa"/>
            <w:vAlign w:val="bottom"/>
          </w:tcPr>
          <w:p w14:paraId="1F10F6BE" w14:textId="77777777" w:rsidR="00D1072D" w:rsidRPr="00A34A72" w:rsidRDefault="00D1072D" w:rsidP="00C57BF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Sinai Hospital</w:t>
            </w:r>
          </w:p>
        </w:tc>
        <w:tc>
          <w:tcPr>
            <w:tcW w:w="1350" w:type="dxa"/>
            <w:vAlign w:val="center"/>
          </w:tcPr>
          <w:p w14:paraId="68D698E2"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40%</w:t>
            </w:r>
          </w:p>
        </w:tc>
      </w:tr>
      <w:tr w:rsidR="00D1072D" w:rsidRPr="00033598" w14:paraId="7D5EAC66" w14:textId="77777777" w:rsidTr="00C57BF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325" w:type="dxa"/>
          </w:tcPr>
          <w:p w14:paraId="14D73662" w14:textId="77777777" w:rsidR="00D1072D" w:rsidRPr="00A34A72" w:rsidRDefault="00D1072D" w:rsidP="00C57BF2">
            <w:pPr>
              <w:rPr>
                <w:sz w:val="18"/>
                <w:szCs w:val="18"/>
              </w:rPr>
            </w:pPr>
            <w:r w:rsidRPr="009725EA">
              <w:rPr>
                <w:rFonts w:ascii="Calibri" w:hAnsi="Calibri" w:cs="Calibri"/>
                <w:color w:val="000000"/>
                <w:sz w:val="18"/>
                <w:szCs w:val="18"/>
              </w:rPr>
              <w:t xml:space="preserve">Garrett County Memorial </w:t>
            </w:r>
          </w:p>
        </w:tc>
        <w:tc>
          <w:tcPr>
            <w:tcW w:w="1352" w:type="dxa"/>
            <w:vAlign w:val="center"/>
          </w:tcPr>
          <w:p w14:paraId="1F4E1709"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sz w:val="18"/>
                <w:szCs w:val="18"/>
              </w:rPr>
            </w:pPr>
            <w:r w:rsidRPr="00A34A72">
              <w:rPr>
                <w:rFonts w:ascii="Calibri" w:hAnsi="Calibri" w:cs="Calibri"/>
                <w:color w:val="000000"/>
                <w:sz w:val="18"/>
                <w:szCs w:val="18"/>
              </w:rPr>
              <w:t>49%</w:t>
            </w:r>
          </w:p>
        </w:tc>
        <w:tc>
          <w:tcPr>
            <w:tcW w:w="3328" w:type="dxa"/>
            <w:vAlign w:val="bottom"/>
          </w:tcPr>
          <w:p w14:paraId="11D6680C" w14:textId="77777777" w:rsidR="00D1072D" w:rsidRPr="00A34A72" w:rsidRDefault="00D1072D" w:rsidP="00C57BF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St. Agnes Hospital</w:t>
            </w:r>
          </w:p>
        </w:tc>
        <w:tc>
          <w:tcPr>
            <w:tcW w:w="1350" w:type="dxa"/>
            <w:vAlign w:val="center"/>
          </w:tcPr>
          <w:p w14:paraId="69625B8A"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78%</w:t>
            </w:r>
          </w:p>
        </w:tc>
      </w:tr>
      <w:tr w:rsidR="00D1072D" w:rsidRPr="00033598" w14:paraId="1D4954D8" w14:textId="77777777" w:rsidTr="00C57BF2">
        <w:trPr>
          <w:trHeight w:val="202"/>
        </w:trPr>
        <w:tc>
          <w:tcPr>
            <w:cnfStyle w:val="001000000000" w:firstRow="0" w:lastRow="0" w:firstColumn="1" w:lastColumn="0" w:oddVBand="0" w:evenVBand="0" w:oddHBand="0" w:evenHBand="0" w:firstRowFirstColumn="0" w:firstRowLastColumn="0" w:lastRowFirstColumn="0" w:lastRowLastColumn="0"/>
            <w:tcW w:w="3325" w:type="dxa"/>
          </w:tcPr>
          <w:p w14:paraId="3408BB25" w14:textId="77777777" w:rsidR="00D1072D" w:rsidRPr="00A34A72" w:rsidRDefault="00D1072D" w:rsidP="00C57BF2">
            <w:pPr>
              <w:rPr>
                <w:sz w:val="18"/>
                <w:szCs w:val="18"/>
              </w:rPr>
            </w:pPr>
            <w:r>
              <w:rPr>
                <w:rFonts w:ascii="Calibri" w:hAnsi="Calibri" w:cs="Calibri"/>
                <w:color w:val="000000"/>
                <w:sz w:val="18"/>
                <w:szCs w:val="18"/>
              </w:rPr>
              <w:t>GBMC</w:t>
            </w:r>
          </w:p>
        </w:tc>
        <w:tc>
          <w:tcPr>
            <w:tcW w:w="1352" w:type="dxa"/>
            <w:vAlign w:val="center"/>
          </w:tcPr>
          <w:p w14:paraId="4E00381B"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sz w:val="18"/>
                <w:szCs w:val="18"/>
              </w:rPr>
            </w:pPr>
            <w:r w:rsidRPr="00A34A72">
              <w:rPr>
                <w:rFonts w:ascii="Calibri" w:hAnsi="Calibri" w:cs="Calibri"/>
                <w:color w:val="000000"/>
                <w:sz w:val="18"/>
                <w:szCs w:val="18"/>
              </w:rPr>
              <w:t>24%</w:t>
            </w:r>
          </w:p>
        </w:tc>
        <w:tc>
          <w:tcPr>
            <w:tcW w:w="3328" w:type="dxa"/>
            <w:vAlign w:val="bottom"/>
          </w:tcPr>
          <w:p w14:paraId="79755074" w14:textId="77777777" w:rsidR="00D1072D" w:rsidRPr="00A34A72" w:rsidRDefault="00D1072D" w:rsidP="00C57BF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Suburban Hospital</w:t>
            </w:r>
          </w:p>
        </w:tc>
        <w:tc>
          <w:tcPr>
            <w:tcW w:w="1350" w:type="dxa"/>
            <w:vAlign w:val="center"/>
          </w:tcPr>
          <w:p w14:paraId="249C5A85"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60%</w:t>
            </w:r>
          </w:p>
        </w:tc>
      </w:tr>
      <w:tr w:rsidR="00D1072D" w:rsidRPr="00033598" w14:paraId="485F0472" w14:textId="77777777" w:rsidTr="00C57BF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325" w:type="dxa"/>
          </w:tcPr>
          <w:p w14:paraId="2148A29C" w14:textId="77777777" w:rsidR="00D1072D" w:rsidRPr="00A34A72" w:rsidRDefault="00D1072D" w:rsidP="00C57BF2">
            <w:pPr>
              <w:rPr>
                <w:sz w:val="18"/>
                <w:szCs w:val="18"/>
              </w:rPr>
            </w:pPr>
            <w:r w:rsidRPr="009725EA">
              <w:rPr>
                <w:rFonts w:ascii="Calibri" w:hAnsi="Calibri" w:cs="Calibri"/>
                <w:color w:val="000000"/>
                <w:sz w:val="18"/>
                <w:szCs w:val="18"/>
              </w:rPr>
              <w:t>Harford Memorial Hospital</w:t>
            </w:r>
          </w:p>
        </w:tc>
        <w:tc>
          <w:tcPr>
            <w:tcW w:w="1352" w:type="dxa"/>
            <w:vAlign w:val="center"/>
          </w:tcPr>
          <w:p w14:paraId="7A9300BA"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sz w:val="18"/>
                <w:szCs w:val="18"/>
              </w:rPr>
            </w:pPr>
            <w:r w:rsidRPr="00A34A72">
              <w:rPr>
                <w:rFonts w:ascii="Calibri" w:hAnsi="Calibri" w:cs="Calibri"/>
                <w:color w:val="000000"/>
                <w:sz w:val="18"/>
                <w:szCs w:val="18"/>
              </w:rPr>
              <w:t>89%</w:t>
            </w:r>
          </w:p>
        </w:tc>
        <w:tc>
          <w:tcPr>
            <w:tcW w:w="3328" w:type="dxa"/>
            <w:vAlign w:val="bottom"/>
          </w:tcPr>
          <w:p w14:paraId="748FD967" w14:textId="77777777" w:rsidR="00D1072D" w:rsidRPr="00A34A72" w:rsidRDefault="00D1072D" w:rsidP="00C57BF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Union Hospital of Cecil County</w:t>
            </w:r>
          </w:p>
        </w:tc>
        <w:tc>
          <w:tcPr>
            <w:tcW w:w="1350" w:type="dxa"/>
            <w:vAlign w:val="center"/>
          </w:tcPr>
          <w:p w14:paraId="4D942BBE"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9%</w:t>
            </w:r>
          </w:p>
        </w:tc>
      </w:tr>
      <w:tr w:rsidR="00D1072D" w:rsidRPr="00033598" w14:paraId="3D4EE292" w14:textId="77777777" w:rsidTr="00C57BF2">
        <w:trPr>
          <w:trHeight w:val="202"/>
        </w:trPr>
        <w:tc>
          <w:tcPr>
            <w:cnfStyle w:val="001000000000" w:firstRow="0" w:lastRow="0" w:firstColumn="1" w:lastColumn="0" w:oddVBand="0" w:evenVBand="0" w:oddHBand="0" w:evenHBand="0" w:firstRowFirstColumn="0" w:firstRowLastColumn="0" w:lastRowFirstColumn="0" w:lastRowLastColumn="0"/>
            <w:tcW w:w="3325" w:type="dxa"/>
          </w:tcPr>
          <w:p w14:paraId="003A5CE3" w14:textId="77777777" w:rsidR="00D1072D" w:rsidRPr="00A34A72" w:rsidRDefault="00D1072D" w:rsidP="00C57BF2">
            <w:pPr>
              <w:rPr>
                <w:sz w:val="18"/>
                <w:szCs w:val="18"/>
              </w:rPr>
            </w:pPr>
            <w:r w:rsidRPr="009725EA">
              <w:rPr>
                <w:rFonts w:ascii="Calibri" w:hAnsi="Calibri" w:cs="Calibri"/>
                <w:color w:val="000000"/>
                <w:sz w:val="18"/>
                <w:szCs w:val="18"/>
              </w:rPr>
              <w:t>Holy Cross Hospital</w:t>
            </w:r>
          </w:p>
        </w:tc>
        <w:tc>
          <w:tcPr>
            <w:tcW w:w="1352" w:type="dxa"/>
            <w:vAlign w:val="center"/>
          </w:tcPr>
          <w:p w14:paraId="5A0A3147"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sz w:val="18"/>
                <w:szCs w:val="18"/>
              </w:rPr>
            </w:pPr>
            <w:r w:rsidRPr="00A34A72">
              <w:rPr>
                <w:rFonts w:ascii="Calibri" w:hAnsi="Calibri" w:cs="Calibri"/>
                <w:color w:val="000000"/>
                <w:sz w:val="18"/>
                <w:szCs w:val="18"/>
              </w:rPr>
              <w:t>82%</w:t>
            </w:r>
          </w:p>
        </w:tc>
        <w:tc>
          <w:tcPr>
            <w:tcW w:w="3328" w:type="dxa"/>
            <w:vAlign w:val="bottom"/>
          </w:tcPr>
          <w:p w14:paraId="54114F34" w14:textId="77777777" w:rsidR="00D1072D" w:rsidRPr="00A34A72" w:rsidRDefault="00D1072D" w:rsidP="00C57BF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UM Baltimore Washington </w:t>
            </w:r>
          </w:p>
        </w:tc>
        <w:tc>
          <w:tcPr>
            <w:tcW w:w="1350" w:type="dxa"/>
            <w:vAlign w:val="center"/>
          </w:tcPr>
          <w:p w14:paraId="37186106"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89%</w:t>
            </w:r>
          </w:p>
        </w:tc>
      </w:tr>
      <w:tr w:rsidR="00D1072D" w:rsidRPr="00033598" w14:paraId="0AAF9CD0" w14:textId="77777777" w:rsidTr="00C57BF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325" w:type="dxa"/>
          </w:tcPr>
          <w:p w14:paraId="1656C825" w14:textId="77777777" w:rsidR="00D1072D" w:rsidRPr="00A34A72" w:rsidRDefault="00D1072D" w:rsidP="00C57BF2">
            <w:pPr>
              <w:rPr>
                <w:sz w:val="18"/>
                <w:szCs w:val="18"/>
              </w:rPr>
            </w:pPr>
            <w:r w:rsidRPr="009725EA">
              <w:rPr>
                <w:rFonts w:ascii="Calibri" w:hAnsi="Calibri" w:cs="Calibri"/>
                <w:color w:val="000000"/>
                <w:sz w:val="18"/>
                <w:szCs w:val="18"/>
              </w:rPr>
              <w:t xml:space="preserve">Howard County General </w:t>
            </w:r>
          </w:p>
        </w:tc>
        <w:tc>
          <w:tcPr>
            <w:tcW w:w="1352" w:type="dxa"/>
            <w:vAlign w:val="center"/>
          </w:tcPr>
          <w:p w14:paraId="1A48E366"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sz w:val="18"/>
                <w:szCs w:val="18"/>
              </w:rPr>
            </w:pPr>
            <w:r w:rsidRPr="00A34A72">
              <w:rPr>
                <w:rFonts w:ascii="Calibri" w:hAnsi="Calibri" w:cs="Calibri"/>
                <w:color w:val="000000"/>
                <w:sz w:val="18"/>
                <w:szCs w:val="18"/>
              </w:rPr>
              <w:t>80%</w:t>
            </w:r>
          </w:p>
        </w:tc>
        <w:tc>
          <w:tcPr>
            <w:tcW w:w="3328" w:type="dxa"/>
            <w:vAlign w:val="bottom"/>
          </w:tcPr>
          <w:p w14:paraId="79487D1E" w14:textId="77777777" w:rsidR="00D1072D" w:rsidRPr="00A34A72" w:rsidRDefault="00D1072D" w:rsidP="00C57BF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UM Charles Regional </w:t>
            </w:r>
          </w:p>
        </w:tc>
        <w:tc>
          <w:tcPr>
            <w:tcW w:w="1350" w:type="dxa"/>
            <w:vAlign w:val="center"/>
          </w:tcPr>
          <w:p w14:paraId="6CF4E986"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32%</w:t>
            </w:r>
          </w:p>
        </w:tc>
      </w:tr>
      <w:tr w:rsidR="00D1072D" w:rsidRPr="00033598" w14:paraId="53CF52C5" w14:textId="77777777" w:rsidTr="00C57BF2">
        <w:trPr>
          <w:trHeight w:val="202"/>
        </w:trPr>
        <w:tc>
          <w:tcPr>
            <w:cnfStyle w:val="001000000000" w:firstRow="0" w:lastRow="0" w:firstColumn="1" w:lastColumn="0" w:oddVBand="0" w:evenVBand="0" w:oddHBand="0" w:evenHBand="0" w:firstRowFirstColumn="0" w:firstRowLastColumn="0" w:lastRowFirstColumn="0" w:lastRowLastColumn="0"/>
            <w:tcW w:w="3325" w:type="dxa"/>
          </w:tcPr>
          <w:p w14:paraId="0E1F9708" w14:textId="77777777" w:rsidR="00D1072D" w:rsidRPr="00A34A72" w:rsidRDefault="00D1072D" w:rsidP="00C57BF2">
            <w:pPr>
              <w:rPr>
                <w:sz w:val="18"/>
                <w:szCs w:val="18"/>
              </w:rPr>
            </w:pPr>
            <w:r w:rsidRPr="009725EA">
              <w:rPr>
                <w:rFonts w:ascii="Calibri" w:hAnsi="Calibri" w:cs="Calibri"/>
                <w:color w:val="000000"/>
                <w:sz w:val="18"/>
                <w:szCs w:val="18"/>
              </w:rPr>
              <w:t xml:space="preserve">Johns Hopkins Bayview </w:t>
            </w:r>
          </w:p>
        </w:tc>
        <w:tc>
          <w:tcPr>
            <w:tcW w:w="1352" w:type="dxa"/>
            <w:vAlign w:val="center"/>
          </w:tcPr>
          <w:p w14:paraId="6CF1BB9C"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sz w:val="18"/>
                <w:szCs w:val="18"/>
              </w:rPr>
            </w:pPr>
            <w:r w:rsidRPr="00A34A72">
              <w:rPr>
                <w:rFonts w:ascii="Calibri" w:hAnsi="Calibri" w:cs="Calibri"/>
                <w:color w:val="000000"/>
                <w:sz w:val="18"/>
                <w:szCs w:val="18"/>
              </w:rPr>
              <w:t>93%</w:t>
            </w:r>
          </w:p>
        </w:tc>
        <w:tc>
          <w:tcPr>
            <w:tcW w:w="3328" w:type="dxa"/>
            <w:vAlign w:val="bottom"/>
          </w:tcPr>
          <w:p w14:paraId="10B7483C" w14:textId="77777777" w:rsidR="00D1072D" w:rsidRPr="00A34A72" w:rsidRDefault="00D1072D" w:rsidP="00C57BF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UM Medical Center</w:t>
            </w:r>
          </w:p>
        </w:tc>
        <w:tc>
          <w:tcPr>
            <w:tcW w:w="1350" w:type="dxa"/>
            <w:vAlign w:val="center"/>
          </w:tcPr>
          <w:p w14:paraId="625AE350"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18%</w:t>
            </w:r>
          </w:p>
        </w:tc>
      </w:tr>
      <w:tr w:rsidR="00D1072D" w:rsidRPr="00033598" w14:paraId="2D75B4C8" w14:textId="77777777" w:rsidTr="00C57BF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325" w:type="dxa"/>
          </w:tcPr>
          <w:p w14:paraId="53A7402F" w14:textId="77777777" w:rsidR="00D1072D" w:rsidRPr="00A34A72" w:rsidRDefault="00D1072D" w:rsidP="00C57BF2">
            <w:pPr>
              <w:rPr>
                <w:sz w:val="18"/>
                <w:szCs w:val="18"/>
              </w:rPr>
            </w:pPr>
            <w:r w:rsidRPr="009725EA">
              <w:rPr>
                <w:rFonts w:ascii="Calibri" w:hAnsi="Calibri" w:cs="Calibri"/>
                <w:color w:val="000000"/>
                <w:sz w:val="18"/>
                <w:szCs w:val="18"/>
              </w:rPr>
              <w:t>Johns Hopkins Hospital</w:t>
            </w:r>
          </w:p>
        </w:tc>
        <w:tc>
          <w:tcPr>
            <w:tcW w:w="1352" w:type="dxa"/>
            <w:vAlign w:val="center"/>
          </w:tcPr>
          <w:p w14:paraId="52562523"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sz w:val="18"/>
                <w:szCs w:val="18"/>
              </w:rPr>
            </w:pPr>
            <w:r w:rsidRPr="00A34A72">
              <w:rPr>
                <w:rFonts w:ascii="Calibri" w:hAnsi="Calibri" w:cs="Calibri"/>
                <w:color w:val="000000"/>
                <w:sz w:val="18"/>
                <w:szCs w:val="18"/>
              </w:rPr>
              <w:t>96%</w:t>
            </w:r>
          </w:p>
        </w:tc>
        <w:tc>
          <w:tcPr>
            <w:tcW w:w="3328" w:type="dxa"/>
            <w:vAlign w:val="bottom"/>
          </w:tcPr>
          <w:p w14:paraId="4DDB964B" w14:textId="77777777" w:rsidR="00D1072D" w:rsidRPr="00A34A72" w:rsidRDefault="00D1072D" w:rsidP="00C57BF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UM Midtown Campus</w:t>
            </w:r>
          </w:p>
        </w:tc>
        <w:tc>
          <w:tcPr>
            <w:tcW w:w="1350" w:type="dxa"/>
            <w:vAlign w:val="center"/>
          </w:tcPr>
          <w:p w14:paraId="7C218845"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2%</w:t>
            </w:r>
          </w:p>
        </w:tc>
      </w:tr>
      <w:tr w:rsidR="00D1072D" w:rsidRPr="00033598" w14:paraId="606EF459" w14:textId="77777777" w:rsidTr="00C57BF2">
        <w:trPr>
          <w:trHeight w:val="202"/>
        </w:trPr>
        <w:tc>
          <w:tcPr>
            <w:cnfStyle w:val="001000000000" w:firstRow="0" w:lastRow="0" w:firstColumn="1" w:lastColumn="0" w:oddVBand="0" w:evenVBand="0" w:oddHBand="0" w:evenHBand="0" w:firstRowFirstColumn="0" w:firstRowLastColumn="0" w:lastRowFirstColumn="0" w:lastRowLastColumn="0"/>
            <w:tcW w:w="3325" w:type="dxa"/>
          </w:tcPr>
          <w:p w14:paraId="17A51DEC" w14:textId="77777777" w:rsidR="00D1072D" w:rsidRPr="00A34A72" w:rsidRDefault="00D1072D" w:rsidP="00C57BF2">
            <w:pPr>
              <w:rPr>
                <w:sz w:val="18"/>
                <w:szCs w:val="18"/>
              </w:rPr>
            </w:pPr>
            <w:r w:rsidRPr="009725EA">
              <w:rPr>
                <w:rFonts w:ascii="Calibri" w:hAnsi="Calibri" w:cs="Calibri"/>
                <w:color w:val="000000"/>
                <w:sz w:val="18"/>
                <w:szCs w:val="18"/>
              </w:rPr>
              <w:t>Laurel Regional Hospital</w:t>
            </w:r>
          </w:p>
        </w:tc>
        <w:tc>
          <w:tcPr>
            <w:tcW w:w="1352" w:type="dxa"/>
            <w:vAlign w:val="center"/>
          </w:tcPr>
          <w:p w14:paraId="3479A23A"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sz w:val="18"/>
                <w:szCs w:val="18"/>
              </w:rPr>
            </w:pPr>
            <w:r w:rsidRPr="00A34A72">
              <w:rPr>
                <w:rFonts w:ascii="Calibri" w:hAnsi="Calibri" w:cs="Calibri"/>
                <w:color w:val="000000"/>
                <w:sz w:val="18"/>
                <w:szCs w:val="18"/>
              </w:rPr>
              <w:t>73%</w:t>
            </w:r>
          </w:p>
        </w:tc>
        <w:tc>
          <w:tcPr>
            <w:tcW w:w="3328" w:type="dxa"/>
            <w:vAlign w:val="bottom"/>
          </w:tcPr>
          <w:p w14:paraId="39516D74" w14:textId="77777777" w:rsidR="00D1072D" w:rsidRPr="00A34A72" w:rsidRDefault="00D1072D" w:rsidP="00C57BF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UMROI</w:t>
            </w:r>
          </w:p>
        </w:tc>
        <w:tc>
          <w:tcPr>
            <w:tcW w:w="1350" w:type="dxa"/>
            <w:vAlign w:val="center"/>
          </w:tcPr>
          <w:p w14:paraId="03E0C194"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13%</w:t>
            </w:r>
          </w:p>
        </w:tc>
      </w:tr>
      <w:tr w:rsidR="00D1072D" w:rsidRPr="00033598" w14:paraId="5E3C5CC0" w14:textId="77777777" w:rsidTr="00C57BF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325" w:type="dxa"/>
          </w:tcPr>
          <w:p w14:paraId="1BA0F345" w14:textId="77777777" w:rsidR="00D1072D" w:rsidRPr="00A34A72" w:rsidRDefault="00D1072D" w:rsidP="00C57BF2">
            <w:pPr>
              <w:rPr>
                <w:sz w:val="18"/>
                <w:szCs w:val="18"/>
              </w:rPr>
            </w:pPr>
            <w:r w:rsidRPr="009725EA">
              <w:rPr>
                <w:rFonts w:ascii="Calibri" w:hAnsi="Calibri" w:cs="Calibri"/>
                <w:color w:val="000000"/>
                <w:sz w:val="18"/>
                <w:szCs w:val="18"/>
              </w:rPr>
              <w:t>McCready Memorial Hospital</w:t>
            </w:r>
          </w:p>
        </w:tc>
        <w:tc>
          <w:tcPr>
            <w:tcW w:w="1352" w:type="dxa"/>
            <w:vAlign w:val="center"/>
          </w:tcPr>
          <w:p w14:paraId="08A157FD"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sz w:val="18"/>
                <w:szCs w:val="18"/>
              </w:rPr>
            </w:pPr>
            <w:r w:rsidRPr="00A34A72">
              <w:rPr>
                <w:rFonts w:ascii="Calibri" w:hAnsi="Calibri" w:cs="Calibri"/>
                <w:color w:val="000000"/>
                <w:sz w:val="18"/>
                <w:szCs w:val="18"/>
              </w:rPr>
              <w:t>24%</w:t>
            </w:r>
          </w:p>
        </w:tc>
        <w:tc>
          <w:tcPr>
            <w:tcW w:w="3328" w:type="dxa"/>
            <w:vAlign w:val="bottom"/>
          </w:tcPr>
          <w:p w14:paraId="30B9480C" w14:textId="77777777" w:rsidR="00D1072D" w:rsidRPr="00A34A72" w:rsidRDefault="00D1072D" w:rsidP="00C57BF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UM Chestertown</w:t>
            </w:r>
          </w:p>
        </w:tc>
        <w:tc>
          <w:tcPr>
            <w:tcW w:w="1350" w:type="dxa"/>
            <w:vAlign w:val="center"/>
          </w:tcPr>
          <w:p w14:paraId="4F0DC49B"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18%</w:t>
            </w:r>
          </w:p>
        </w:tc>
      </w:tr>
      <w:tr w:rsidR="00D1072D" w:rsidRPr="00033598" w14:paraId="55D48774" w14:textId="77777777" w:rsidTr="00C57BF2">
        <w:trPr>
          <w:trHeight w:val="202"/>
        </w:trPr>
        <w:tc>
          <w:tcPr>
            <w:cnfStyle w:val="001000000000" w:firstRow="0" w:lastRow="0" w:firstColumn="1" w:lastColumn="0" w:oddVBand="0" w:evenVBand="0" w:oddHBand="0" w:evenHBand="0" w:firstRowFirstColumn="0" w:firstRowLastColumn="0" w:lastRowFirstColumn="0" w:lastRowLastColumn="0"/>
            <w:tcW w:w="3325" w:type="dxa"/>
          </w:tcPr>
          <w:p w14:paraId="4CBF27E9" w14:textId="77777777" w:rsidR="00D1072D" w:rsidRPr="00A34A72" w:rsidRDefault="00D1072D" w:rsidP="00C57BF2">
            <w:pPr>
              <w:rPr>
                <w:sz w:val="18"/>
                <w:szCs w:val="18"/>
              </w:rPr>
            </w:pPr>
            <w:r w:rsidRPr="009725EA">
              <w:rPr>
                <w:rFonts w:ascii="Calibri" w:hAnsi="Calibri" w:cs="Calibri"/>
                <w:color w:val="000000"/>
                <w:sz w:val="18"/>
                <w:szCs w:val="18"/>
              </w:rPr>
              <w:t xml:space="preserve">MedStar Franklin Square </w:t>
            </w:r>
          </w:p>
        </w:tc>
        <w:tc>
          <w:tcPr>
            <w:tcW w:w="1352" w:type="dxa"/>
            <w:vAlign w:val="center"/>
          </w:tcPr>
          <w:p w14:paraId="5C6B00A4"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sz w:val="18"/>
                <w:szCs w:val="18"/>
              </w:rPr>
            </w:pPr>
            <w:r w:rsidRPr="00A34A72">
              <w:rPr>
                <w:rFonts w:ascii="Calibri" w:hAnsi="Calibri" w:cs="Calibri"/>
                <w:color w:val="000000"/>
                <w:sz w:val="18"/>
                <w:szCs w:val="18"/>
              </w:rPr>
              <w:t>44%</w:t>
            </w:r>
          </w:p>
        </w:tc>
        <w:tc>
          <w:tcPr>
            <w:tcW w:w="3328" w:type="dxa"/>
            <w:vAlign w:val="bottom"/>
          </w:tcPr>
          <w:p w14:paraId="10047C1B" w14:textId="77777777" w:rsidR="00D1072D" w:rsidRPr="00A34A72" w:rsidRDefault="00D1072D" w:rsidP="00C57BF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UM  Dorchester</w:t>
            </w:r>
          </w:p>
        </w:tc>
        <w:tc>
          <w:tcPr>
            <w:tcW w:w="1350" w:type="dxa"/>
            <w:vAlign w:val="center"/>
          </w:tcPr>
          <w:p w14:paraId="1719DA33"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60%</w:t>
            </w:r>
          </w:p>
        </w:tc>
      </w:tr>
      <w:tr w:rsidR="00D1072D" w:rsidRPr="00033598" w14:paraId="589750DA" w14:textId="77777777" w:rsidTr="00C57BF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325" w:type="dxa"/>
          </w:tcPr>
          <w:p w14:paraId="555D5E6E" w14:textId="77777777" w:rsidR="00D1072D" w:rsidRPr="00A34A72" w:rsidRDefault="00D1072D" w:rsidP="00C57BF2">
            <w:pPr>
              <w:rPr>
                <w:sz w:val="18"/>
                <w:szCs w:val="18"/>
              </w:rPr>
            </w:pPr>
            <w:r w:rsidRPr="009725EA">
              <w:rPr>
                <w:rFonts w:ascii="Calibri" w:hAnsi="Calibri" w:cs="Calibri"/>
                <w:color w:val="000000"/>
                <w:sz w:val="18"/>
                <w:szCs w:val="18"/>
              </w:rPr>
              <w:t xml:space="preserve">MedStar Good Samaritan </w:t>
            </w:r>
          </w:p>
        </w:tc>
        <w:tc>
          <w:tcPr>
            <w:tcW w:w="1352" w:type="dxa"/>
            <w:vAlign w:val="center"/>
          </w:tcPr>
          <w:p w14:paraId="79FC9460"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sz w:val="18"/>
                <w:szCs w:val="18"/>
              </w:rPr>
            </w:pPr>
            <w:r w:rsidRPr="00A34A72">
              <w:rPr>
                <w:rFonts w:ascii="Calibri" w:hAnsi="Calibri" w:cs="Calibri"/>
                <w:color w:val="000000"/>
                <w:sz w:val="18"/>
                <w:szCs w:val="18"/>
              </w:rPr>
              <w:t>4%</w:t>
            </w:r>
          </w:p>
        </w:tc>
        <w:tc>
          <w:tcPr>
            <w:tcW w:w="3328" w:type="dxa"/>
            <w:vAlign w:val="bottom"/>
          </w:tcPr>
          <w:p w14:paraId="69D50EB9" w14:textId="77777777" w:rsidR="00D1072D" w:rsidRPr="00A34A72" w:rsidRDefault="00D1072D" w:rsidP="00C57BF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UM Easton</w:t>
            </w:r>
          </w:p>
        </w:tc>
        <w:tc>
          <w:tcPr>
            <w:tcW w:w="1350" w:type="dxa"/>
            <w:vAlign w:val="center"/>
          </w:tcPr>
          <w:p w14:paraId="2DA2C61F"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56%</w:t>
            </w:r>
          </w:p>
        </w:tc>
      </w:tr>
      <w:tr w:rsidR="00D1072D" w:rsidRPr="00033598" w14:paraId="38BE8659" w14:textId="77777777" w:rsidTr="00C57BF2">
        <w:trPr>
          <w:trHeight w:val="202"/>
        </w:trPr>
        <w:tc>
          <w:tcPr>
            <w:cnfStyle w:val="001000000000" w:firstRow="0" w:lastRow="0" w:firstColumn="1" w:lastColumn="0" w:oddVBand="0" w:evenVBand="0" w:oddHBand="0" w:evenHBand="0" w:firstRowFirstColumn="0" w:firstRowLastColumn="0" w:lastRowFirstColumn="0" w:lastRowLastColumn="0"/>
            <w:tcW w:w="3325" w:type="dxa"/>
          </w:tcPr>
          <w:p w14:paraId="4005A0E0" w14:textId="77777777" w:rsidR="00D1072D" w:rsidRPr="00A34A72" w:rsidRDefault="00D1072D" w:rsidP="00C57BF2">
            <w:pPr>
              <w:rPr>
                <w:sz w:val="18"/>
                <w:szCs w:val="18"/>
              </w:rPr>
            </w:pPr>
            <w:r w:rsidRPr="009725EA">
              <w:rPr>
                <w:rFonts w:ascii="Calibri" w:hAnsi="Calibri" w:cs="Calibri"/>
                <w:color w:val="000000"/>
                <w:sz w:val="18"/>
                <w:szCs w:val="18"/>
              </w:rPr>
              <w:t xml:space="preserve">MedStar Harbor Hospital </w:t>
            </w:r>
          </w:p>
        </w:tc>
        <w:tc>
          <w:tcPr>
            <w:tcW w:w="1352" w:type="dxa"/>
            <w:vAlign w:val="center"/>
          </w:tcPr>
          <w:p w14:paraId="32F97782"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sz w:val="18"/>
                <w:szCs w:val="18"/>
              </w:rPr>
            </w:pPr>
            <w:r w:rsidRPr="00A34A72">
              <w:rPr>
                <w:rFonts w:ascii="Calibri" w:hAnsi="Calibri" w:cs="Calibri"/>
                <w:color w:val="000000"/>
                <w:sz w:val="18"/>
                <w:szCs w:val="18"/>
              </w:rPr>
              <w:t>24%</w:t>
            </w:r>
          </w:p>
        </w:tc>
        <w:tc>
          <w:tcPr>
            <w:tcW w:w="3328" w:type="dxa"/>
            <w:vAlign w:val="bottom"/>
          </w:tcPr>
          <w:p w14:paraId="276A90AB" w14:textId="77777777" w:rsidR="00D1072D" w:rsidRPr="00A34A72" w:rsidRDefault="00D1072D" w:rsidP="00C57BF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UM St Joseph </w:t>
            </w:r>
          </w:p>
        </w:tc>
        <w:tc>
          <w:tcPr>
            <w:tcW w:w="1350" w:type="dxa"/>
            <w:vAlign w:val="center"/>
          </w:tcPr>
          <w:p w14:paraId="3E3CACD0"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20%</w:t>
            </w:r>
          </w:p>
        </w:tc>
      </w:tr>
      <w:tr w:rsidR="00D1072D" w:rsidRPr="00033598" w14:paraId="14480261" w14:textId="77777777" w:rsidTr="00C57BF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325" w:type="dxa"/>
          </w:tcPr>
          <w:p w14:paraId="0034D58F" w14:textId="77777777" w:rsidR="00D1072D" w:rsidRPr="00A34A72" w:rsidRDefault="00D1072D" w:rsidP="00C57BF2">
            <w:pPr>
              <w:rPr>
                <w:sz w:val="18"/>
                <w:szCs w:val="18"/>
              </w:rPr>
            </w:pPr>
            <w:r w:rsidRPr="009725EA">
              <w:rPr>
                <w:rFonts w:ascii="Calibri" w:hAnsi="Calibri" w:cs="Calibri"/>
                <w:color w:val="000000"/>
                <w:sz w:val="18"/>
                <w:szCs w:val="18"/>
              </w:rPr>
              <w:t>Montgomery Medical Center</w:t>
            </w:r>
          </w:p>
        </w:tc>
        <w:tc>
          <w:tcPr>
            <w:tcW w:w="1352" w:type="dxa"/>
            <w:vAlign w:val="center"/>
          </w:tcPr>
          <w:p w14:paraId="05F17E88"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sz w:val="18"/>
                <w:szCs w:val="18"/>
              </w:rPr>
            </w:pPr>
            <w:r w:rsidRPr="00A34A72">
              <w:rPr>
                <w:rFonts w:ascii="Calibri" w:hAnsi="Calibri" w:cs="Calibri"/>
                <w:color w:val="000000"/>
                <w:sz w:val="18"/>
                <w:szCs w:val="18"/>
              </w:rPr>
              <w:t>7%</w:t>
            </w:r>
          </w:p>
        </w:tc>
        <w:tc>
          <w:tcPr>
            <w:tcW w:w="3328" w:type="dxa"/>
            <w:vAlign w:val="bottom"/>
          </w:tcPr>
          <w:p w14:paraId="1C8FE800" w14:textId="77777777" w:rsidR="00D1072D" w:rsidRPr="00A34A72" w:rsidRDefault="00D1072D" w:rsidP="00C57BF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Upper Chesapeake </w:t>
            </w:r>
          </w:p>
        </w:tc>
        <w:tc>
          <w:tcPr>
            <w:tcW w:w="1350" w:type="dxa"/>
            <w:vAlign w:val="center"/>
          </w:tcPr>
          <w:p w14:paraId="57C3F983"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42%</w:t>
            </w:r>
          </w:p>
        </w:tc>
      </w:tr>
      <w:tr w:rsidR="00D1072D" w:rsidRPr="00033598" w14:paraId="1046569F" w14:textId="77777777" w:rsidTr="00C57BF2">
        <w:trPr>
          <w:trHeight w:val="202"/>
        </w:trPr>
        <w:tc>
          <w:tcPr>
            <w:cnfStyle w:val="001000000000" w:firstRow="0" w:lastRow="0" w:firstColumn="1" w:lastColumn="0" w:oddVBand="0" w:evenVBand="0" w:oddHBand="0" w:evenHBand="0" w:firstRowFirstColumn="0" w:firstRowLastColumn="0" w:lastRowFirstColumn="0" w:lastRowLastColumn="0"/>
            <w:tcW w:w="3325" w:type="dxa"/>
          </w:tcPr>
          <w:p w14:paraId="298FEEB3" w14:textId="77777777" w:rsidR="00D1072D" w:rsidRPr="00A34A72" w:rsidRDefault="00D1072D" w:rsidP="00C57BF2">
            <w:pPr>
              <w:rPr>
                <w:sz w:val="18"/>
                <w:szCs w:val="18"/>
              </w:rPr>
            </w:pPr>
            <w:r w:rsidRPr="009725EA">
              <w:rPr>
                <w:rFonts w:ascii="Calibri" w:hAnsi="Calibri" w:cs="Calibri"/>
                <w:color w:val="000000"/>
                <w:sz w:val="18"/>
                <w:szCs w:val="18"/>
              </w:rPr>
              <w:t xml:space="preserve">MedStar Southern Maryland </w:t>
            </w:r>
          </w:p>
        </w:tc>
        <w:tc>
          <w:tcPr>
            <w:tcW w:w="1352" w:type="dxa"/>
            <w:vAlign w:val="center"/>
          </w:tcPr>
          <w:p w14:paraId="11C509FE"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sz w:val="18"/>
                <w:szCs w:val="18"/>
              </w:rPr>
            </w:pPr>
            <w:r w:rsidRPr="00A34A72">
              <w:rPr>
                <w:rFonts w:ascii="Calibri" w:hAnsi="Calibri" w:cs="Calibri"/>
                <w:color w:val="000000"/>
                <w:sz w:val="18"/>
                <w:szCs w:val="18"/>
              </w:rPr>
              <w:t>53%</w:t>
            </w:r>
          </w:p>
        </w:tc>
        <w:tc>
          <w:tcPr>
            <w:tcW w:w="3328" w:type="dxa"/>
            <w:vAlign w:val="bottom"/>
          </w:tcPr>
          <w:p w14:paraId="4F1D1B42" w14:textId="77777777" w:rsidR="00D1072D" w:rsidRPr="00A34A72" w:rsidRDefault="00D1072D" w:rsidP="00C57BF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Washington Adventist </w:t>
            </w:r>
          </w:p>
        </w:tc>
        <w:tc>
          <w:tcPr>
            <w:tcW w:w="1350" w:type="dxa"/>
            <w:vAlign w:val="center"/>
          </w:tcPr>
          <w:p w14:paraId="2AAB7F7B" w14:textId="77777777" w:rsidR="00D1072D" w:rsidRPr="00A34A72" w:rsidRDefault="00D1072D" w:rsidP="00C57B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82%</w:t>
            </w:r>
          </w:p>
        </w:tc>
      </w:tr>
      <w:tr w:rsidR="00D1072D" w:rsidRPr="00033598" w14:paraId="35B1D118" w14:textId="77777777" w:rsidTr="00C57BF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325" w:type="dxa"/>
          </w:tcPr>
          <w:p w14:paraId="7575C96E" w14:textId="77777777" w:rsidR="00D1072D" w:rsidRPr="00A34A72" w:rsidRDefault="00D1072D" w:rsidP="00C57BF2">
            <w:pPr>
              <w:rPr>
                <w:sz w:val="18"/>
                <w:szCs w:val="18"/>
              </w:rPr>
            </w:pPr>
            <w:r w:rsidRPr="009725EA">
              <w:rPr>
                <w:rFonts w:ascii="Calibri" w:hAnsi="Calibri" w:cs="Calibri"/>
                <w:color w:val="000000"/>
                <w:sz w:val="18"/>
                <w:szCs w:val="18"/>
              </w:rPr>
              <w:t>MedStar St. Mary's Hospital</w:t>
            </w:r>
          </w:p>
        </w:tc>
        <w:tc>
          <w:tcPr>
            <w:tcW w:w="1352" w:type="dxa"/>
            <w:vAlign w:val="center"/>
          </w:tcPr>
          <w:p w14:paraId="42BD7F97"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sz w:val="18"/>
                <w:szCs w:val="18"/>
              </w:rPr>
            </w:pPr>
            <w:r w:rsidRPr="00A34A72">
              <w:rPr>
                <w:rFonts w:ascii="Calibri" w:hAnsi="Calibri" w:cs="Calibri"/>
                <w:color w:val="000000"/>
                <w:sz w:val="18"/>
                <w:szCs w:val="18"/>
              </w:rPr>
              <w:t>49%</w:t>
            </w:r>
          </w:p>
        </w:tc>
        <w:tc>
          <w:tcPr>
            <w:tcW w:w="3328" w:type="dxa"/>
            <w:vAlign w:val="bottom"/>
          </w:tcPr>
          <w:p w14:paraId="7AD49CCB" w14:textId="77777777" w:rsidR="00D1072D" w:rsidRPr="00A34A72" w:rsidRDefault="00D1072D" w:rsidP="00C57BF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W. Maryland Regional </w:t>
            </w:r>
          </w:p>
        </w:tc>
        <w:tc>
          <w:tcPr>
            <w:tcW w:w="1350" w:type="dxa"/>
            <w:vAlign w:val="center"/>
          </w:tcPr>
          <w:p w14:paraId="499008E3" w14:textId="77777777" w:rsidR="00D1072D" w:rsidRPr="00A34A72" w:rsidRDefault="00D1072D" w:rsidP="00C57B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51%</w:t>
            </w:r>
          </w:p>
        </w:tc>
      </w:tr>
    </w:tbl>
    <w:p w14:paraId="267CDE7A" w14:textId="684BFA6E" w:rsidR="002540F0" w:rsidRDefault="002540F0" w:rsidP="00C70EF5">
      <w:pPr>
        <w:pStyle w:val="Heading1"/>
        <w:rPr>
          <w:b/>
          <w:bCs/>
          <w:sz w:val="22"/>
          <w:szCs w:val="22"/>
        </w:rPr>
      </w:pPr>
      <w:bookmarkStart w:id="9" w:name="_Toc26373851"/>
      <w:r w:rsidRPr="00C646DA">
        <w:rPr>
          <w:b/>
          <w:bCs/>
          <w:sz w:val="22"/>
          <w:szCs w:val="22"/>
        </w:rPr>
        <w:t>Step 3: Adjust for PAU and Excess Capacity</w:t>
      </w:r>
      <w:bookmarkEnd w:id="9"/>
    </w:p>
    <w:p w14:paraId="3EBE47BD" w14:textId="02800270" w:rsidR="001E0ADE" w:rsidRDefault="00332B3D" w:rsidP="002239B1">
      <w:r>
        <w:t xml:space="preserve">Staff recommend modifying the </w:t>
      </w:r>
      <w:r w:rsidR="00C247D1">
        <w:t xml:space="preserve">amount </w:t>
      </w:r>
      <w:r w:rsidR="005A25DC">
        <w:t xml:space="preserve">of capital funding the hospital </w:t>
      </w:r>
      <w:r w:rsidR="008A191D">
        <w:t>can receive</w:t>
      </w:r>
      <w:r w:rsidR="003679FF">
        <w:t xml:space="preserve">, as calculated by Step 2B, </w:t>
      </w:r>
      <w:r w:rsidR="00D54755">
        <w:t xml:space="preserve">to account for </w:t>
      </w:r>
      <w:r w:rsidR="002D1755">
        <w:t xml:space="preserve">potentially avoidable utilization and excess capacity. </w:t>
      </w:r>
      <w:r w:rsidR="00421E62">
        <w:t>The dollar value of these two credits will be added</w:t>
      </w:r>
      <w:r w:rsidR="00D94151">
        <w:t xml:space="preserve"> to</w:t>
      </w:r>
      <w:r w:rsidR="00421E62">
        <w:t xml:space="preserve"> or subtracted from the amount of capital </w:t>
      </w:r>
      <w:r w:rsidR="009118EB">
        <w:t>spending calculat</w:t>
      </w:r>
      <w:r w:rsidR="00D54755">
        <w:t>ed</w:t>
      </w:r>
      <w:r w:rsidR="009118EB">
        <w:t xml:space="preserve"> in Step 2</w:t>
      </w:r>
      <w:r w:rsidR="00230D76">
        <w:t xml:space="preserve">B </w:t>
      </w:r>
      <w:r w:rsidR="00C33B28">
        <w:t xml:space="preserve">in determining the final amount that a hospital is eligible to receive. </w:t>
      </w:r>
    </w:p>
    <w:p w14:paraId="37DDCBDE" w14:textId="7CFBF621" w:rsidR="00877637" w:rsidRDefault="0062415B" w:rsidP="002239B1">
      <w:r>
        <w:t xml:space="preserve">The PAU </w:t>
      </w:r>
      <w:r w:rsidR="00877637">
        <w:t>adjustment reflects the hospitals “opportunity” to reduce unnecessary utilization</w:t>
      </w:r>
      <w:r w:rsidR="008158B0">
        <w:t xml:space="preserve">. Historically, hospitals financed a portion of their </w:t>
      </w:r>
      <w:r w:rsidR="006A7E76">
        <w:t xml:space="preserve">capital </w:t>
      </w:r>
      <w:r w:rsidR="008158B0">
        <w:t xml:space="preserve">project through </w:t>
      </w:r>
      <w:r w:rsidR="009F2362">
        <w:t>volume</w:t>
      </w:r>
      <w:r w:rsidR="00D54755">
        <w:t xml:space="preserve"> growth</w:t>
      </w:r>
      <w:r w:rsidR="009F2362">
        <w:t xml:space="preserve">. </w:t>
      </w:r>
      <w:r w:rsidR="00722AD7">
        <w:t xml:space="preserve">That strategy is not viable under the GBR. Instead hospitals are expected to reduce </w:t>
      </w:r>
      <w:r w:rsidR="003A013D">
        <w:t xml:space="preserve">unnecessary utilization </w:t>
      </w:r>
      <w:r w:rsidR="00486922">
        <w:t>(e.g. PA</w:t>
      </w:r>
      <w:r w:rsidR="00F1494A">
        <w:t xml:space="preserve">U) and reinvest the </w:t>
      </w:r>
      <w:r w:rsidR="0073152C">
        <w:t>savings</w:t>
      </w:r>
      <w:r w:rsidR="00DB4E17">
        <w:t xml:space="preserve"> into capital</w:t>
      </w:r>
      <w:r w:rsidR="00A77762">
        <w:t xml:space="preserve"> and population health activities.</w:t>
      </w:r>
      <w:r w:rsidR="009B478D">
        <w:t xml:space="preserve"> However, </w:t>
      </w:r>
      <w:r w:rsidR="00120D22">
        <w:t xml:space="preserve">hospitals that </w:t>
      </w:r>
      <w:r w:rsidR="009D52B4">
        <w:t xml:space="preserve">do not </w:t>
      </w:r>
      <w:r w:rsidR="00301D3B">
        <w:t xml:space="preserve">have as much </w:t>
      </w:r>
      <w:r w:rsidR="00410576">
        <w:t xml:space="preserve">PAU </w:t>
      </w:r>
      <w:r w:rsidR="004A4FE4">
        <w:t xml:space="preserve">do not have as much opportunity </w:t>
      </w:r>
      <w:r w:rsidR="000D4AC1">
        <w:t>to save money b</w:t>
      </w:r>
      <w:r w:rsidR="00D54755">
        <w:t>y</w:t>
      </w:r>
      <w:r w:rsidR="000D4AC1">
        <w:t xml:space="preserve"> reducing PAU</w:t>
      </w:r>
      <w:r w:rsidR="005B5A47">
        <w:t xml:space="preserve">. Therefore, </w:t>
      </w:r>
      <w:r w:rsidR="00995B92">
        <w:t xml:space="preserve">staff recommend </w:t>
      </w:r>
      <w:r w:rsidR="00C60FF4">
        <w:t xml:space="preserve">providing them with a credit </w:t>
      </w:r>
      <w:r w:rsidR="007E5D57">
        <w:t xml:space="preserve">for their capital projects. </w:t>
      </w:r>
    </w:p>
    <w:p w14:paraId="4976DD50" w14:textId="4CF6E287" w:rsidR="001E0ADE" w:rsidRDefault="00E72143" w:rsidP="002239B1">
      <w:r>
        <w:t xml:space="preserve">The </w:t>
      </w:r>
      <w:r w:rsidR="00B84FBD">
        <w:t xml:space="preserve">excess capacity adjustment </w:t>
      </w:r>
      <w:r w:rsidR="00165B24">
        <w:t xml:space="preserve">reflects the decline in </w:t>
      </w:r>
      <w:r w:rsidR="00601C91">
        <w:t xml:space="preserve">volume </w:t>
      </w:r>
      <w:r w:rsidR="001B347F">
        <w:t xml:space="preserve">that has occurred in the </w:t>
      </w:r>
      <w:r w:rsidR="0031586D">
        <w:t>hospital</w:t>
      </w:r>
      <w:r w:rsidR="00F80A58">
        <w:t xml:space="preserve">. </w:t>
      </w:r>
      <w:r w:rsidR="009F0CEA">
        <w:t xml:space="preserve">The GBR allows hospitals </w:t>
      </w:r>
      <w:r w:rsidR="004E0536">
        <w:t xml:space="preserve">to retain revenue as volume declines. </w:t>
      </w:r>
      <w:r w:rsidR="00FD7CFD">
        <w:t xml:space="preserve">Hospitals are expected to </w:t>
      </w:r>
      <w:r w:rsidR="00DD32D6">
        <w:t xml:space="preserve">reinvest that </w:t>
      </w:r>
      <w:r w:rsidR="00873747">
        <w:t>revenue</w:t>
      </w:r>
      <w:r w:rsidR="00016A82">
        <w:t xml:space="preserve"> in capital</w:t>
      </w:r>
      <w:r w:rsidR="001D3CAE">
        <w:t xml:space="preserve"> or population health activities. </w:t>
      </w:r>
      <w:r w:rsidR="00BE2B41">
        <w:t xml:space="preserve">A hospital that </w:t>
      </w:r>
      <w:r w:rsidR="00711270">
        <w:t xml:space="preserve">has experienced </w:t>
      </w:r>
      <w:r w:rsidR="0078277E">
        <w:t xml:space="preserve">volume </w:t>
      </w:r>
      <w:r w:rsidR="00915C2B">
        <w:t xml:space="preserve">declines </w:t>
      </w:r>
      <w:r w:rsidR="005C19BA">
        <w:t>should be a</w:t>
      </w:r>
      <w:r w:rsidR="007963D7">
        <w:t xml:space="preserve">ble to finance </w:t>
      </w:r>
      <w:r w:rsidR="00BB179B">
        <w:t>a portion of its capital project b</w:t>
      </w:r>
      <w:r w:rsidR="00D54755">
        <w:t>y</w:t>
      </w:r>
      <w:r w:rsidR="00BB179B">
        <w:t xml:space="preserve"> eliminat</w:t>
      </w:r>
      <w:r w:rsidR="005B2233">
        <w:t xml:space="preserve">ing the </w:t>
      </w:r>
      <w:r w:rsidR="003253C8">
        <w:t xml:space="preserve">fixed costs that </w:t>
      </w:r>
      <w:r w:rsidR="00BA59A6">
        <w:t xml:space="preserve">are no longer necessary to </w:t>
      </w:r>
      <w:r w:rsidR="00EB0C53">
        <w:t xml:space="preserve">support </w:t>
      </w:r>
      <w:r w:rsidR="002531A6">
        <w:t xml:space="preserve">a higher </w:t>
      </w:r>
      <w:r w:rsidR="006D1895">
        <w:t xml:space="preserve">volume. </w:t>
      </w:r>
      <w:r w:rsidR="00044103">
        <w:t xml:space="preserve">Therefore, </w:t>
      </w:r>
      <w:r w:rsidR="00D54755">
        <w:t>s</w:t>
      </w:r>
      <w:r w:rsidR="00E17490">
        <w:t>taff recommend</w:t>
      </w:r>
      <w:r w:rsidR="00135693">
        <w:t xml:space="preserve"> </w:t>
      </w:r>
      <w:r w:rsidR="00420D32">
        <w:t xml:space="preserve">subtracting </w:t>
      </w:r>
      <w:r w:rsidR="005D07CE">
        <w:t xml:space="preserve">the excess capacity costs </w:t>
      </w:r>
      <w:r w:rsidR="00051003">
        <w:t xml:space="preserve">from </w:t>
      </w:r>
      <w:r w:rsidR="00255AF1">
        <w:t xml:space="preserve">the amount of </w:t>
      </w:r>
      <w:r w:rsidR="00CB25CF">
        <w:t xml:space="preserve">funding that a hospital can receive for a new </w:t>
      </w:r>
      <w:r w:rsidR="0011584F">
        <w:t xml:space="preserve">capital </w:t>
      </w:r>
      <w:r w:rsidR="00CB25CF">
        <w:t xml:space="preserve">project. </w:t>
      </w:r>
    </w:p>
    <w:p w14:paraId="6A8E3252" w14:textId="1A2D426B" w:rsidR="0037400F" w:rsidRDefault="0037400F" w:rsidP="00C70EF5">
      <w:pPr>
        <w:pStyle w:val="Heading2"/>
        <w:rPr>
          <w:b/>
          <w:bCs/>
          <w:sz w:val="22"/>
          <w:szCs w:val="22"/>
        </w:rPr>
      </w:pPr>
      <w:bookmarkStart w:id="10" w:name="_Toc26373852"/>
      <w:r w:rsidRPr="00C247D1">
        <w:rPr>
          <w:b/>
          <w:bCs/>
          <w:sz w:val="22"/>
          <w:szCs w:val="22"/>
        </w:rPr>
        <w:lastRenderedPageBreak/>
        <w:t>Step 3A: P</w:t>
      </w:r>
      <w:r w:rsidR="002075EB">
        <w:rPr>
          <w:b/>
          <w:bCs/>
          <w:sz w:val="22"/>
          <w:szCs w:val="22"/>
        </w:rPr>
        <w:t>otentially Avoidable Utilization (P</w:t>
      </w:r>
      <w:r w:rsidRPr="00C247D1">
        <w:rPr>
          <w:b/>
          <w:bCs/>
          <w:sz w:val="22"/>
          <w:szCs w:val="22"/>
        </w:rPr>
        <w:t>AU</w:t>
      </w:r>
      <w:r w:rsidR="002075EB">
        <w:rPr>
          <w:b/>
          <w:bCs/>
          <w:sz w:val="22"/>
          <w:szCs w:val="22"/>
        </w:rPr>
        <w:t>)</w:t>
      </w:r>
      <w:r w:rsidRPr="00C247D1">
        <w:rPr>
          <w:b/>
          <w:bCs/>
          <w:sz w:val="22"/>
          <w:szCs w:val="22"/>
        </w:rPr>
        <w:t xml:space="preserve"> Adjustment</w:t>
      </w:r>
      <w:bookmarkEnd w:id="10"/>
    </w:p>
    <w:p w14:paraId="6CCC38A6" w14:textId="701A8504" w:rsidR="00182CF6" w:rsidRDefault="002075EB" w:rsidP="00444629">
      <w:r>
        <w:t xml:space="preserve">PAU is a measure of 30 day readmissions with various exclusions and avoidable hospitalizations for ambulatory sensitive conditions, as measured by Agency for Healthcare Research and Quality Prevention Quality Indicators (PQIs).  </w:t>
      </w:r>
      <w:r w:rsidR="008E26B9">
        <w:t xml:space="preserve">The PAU </w:t>
      </w:r>
      <w:r w:rsidR="001D6D47">
        <w:t>a</w:t>
      </w:r>
      <w:r w:rsidR="008E26B9">
        <w:t xml:space="preserve">djustment </w:t>
      </w:r>
      <w:r w:rsidR="00144FEB">
        <w:t xml:space="preserve">is </w:t>
      </w:r>
      <w:r w:rsidR="00001255">
        <w:t>intended</w:t>
      </w:r>
      <w:r w:rsidR="00144FEB">
        <w:t xml:space="preserve"> to </w:t>
      </w:r>
      <w:r w:rsidR="00001255">
        <w:t xml:space="preserve">make financing capital projects easier for hospitals that </w:t>
      </w:r>
      <w:r w:rsidR="00ED6A80">
        <w:t xml:space="preserve">cannot use new projects to induce new demand </w:t>
      </w:r>
      <w:r w:rsidR="001B6D21">
        <w:t xml:space="preserve">and grow volume </w:t>
      </w:r>
      <w:r w:rsidR="00C926C4">
        <w:t xml:space="preserve">but also </w:t>
      </w:r>
      <w:r w:rsidR="001B79B5">
        <w:t xml:space="preserve">lack the opportunity to reduce potentially avoidable utilization as an alternative. </w:t>
      </w:r>
      <w:r w:rsidR="007C083F">
        <w:t xml:space="preserve">Staff recommends basing the </w:t>
      </w:r>
      <w:r w:rsidR="006107F0">
        <w:t xml:space="preserve">PAU adjustment on the ratio of </w:t>
      </w:r>
      <w:r w:rsidR="0088539F">
        <w:t xml:space="preserve">the hospital’s </w:t>
      </w:r>
      <w:r w:rsidR="00AF077B">
        <w:t xml:space="preserve">percent of </w:t>
      </w:r>
      <w:r w:rsidR="003D5D2F">
        <w:t xml:space="preserve">revenue </w:t>
      </w:r>
      <w:r w:rsidR="00C95AEE">
        <w:t>that is PAU</w:t>
      </w:r>
      <w:r w:rsidR="00D54755">
        <w:t xml:space="preserve"> </w:t>
      </w:r>
      <w:r w:rsidR="008872F9">
        <w:t xml:space="preserve">to the statewide average percent of </w:t>
      </w:r>
      <w:r w:rsidR="00C95AEE">
        <w:t xml:space="preserve">PAU </w:t>
      </w:r>
      <w:r w:rsidR="008872F9">
        <w:t>revenue</w:t>
      </w:r>
      <w:r w:rsidR="00C95AEE">
        <w:t>.  The denominator for this statistic is inpatient revenue and observatio</w:t>
      </w:r>
      <w:r>
        <w:t>n greater than 24 hours, as PAU is not assessed in outpatient care.</w:t>
      </w:r>
    </w:p>
    <w:p w14:paraId="7015935F" w14:textId="1A68C0E2" w:rsidR="00EC288E" w:rsidRDefault="004975BD" w:rsidP="00444629">
      <w:r>
        <w:t>This</w:t>
      </w:r>
      <w:r w:rsidR="002075EB">
        <w:t xml:space="preserve"> statistic and proposed adjustment</w:t>
      </w:r>
      <w:r>
        <w:t xml:space="preserve"> reflects the hospital</w:t>
      </w:r>
      <w:r w:rsidR="00BC578B">
        <w:t>’</w:t>
      </w:r>
      <w:r>
        <w:t xml:space="preserve">s </w:t>
      </w:r>
      <w:r w:rsidR="008F5B20">
        <w:t xml:space="preserve">opportunity </w:t>
      </w:r>
      <w:r w:rsidR="00952845">
        <w:t xml:space="preserve">to </w:t>
      </w:r>
      <w:r w:rsidR="00894542">
        <w:t xml:space="preserve">finance </w:t>
      </w:r>
      <w:r w:rsidR="001D42EC">
        <w:t xml:space="preserve">capital </w:t>
      </w:r>
      <w:r w:rsidR="00392BC9">
        <w:t>through reductions in potentially avoidable utilization</w:t>
      </w:r>
      <w:r w:rsidR="002075EB">
        <w:t xml:space="preserve"> relative to other hospitals</w:t>
      </w:r>
      <w:r w:rsidR="00392BC9">
        <w:t xml:space="preserve">. </w:t>
      </w:r>
      <w:r w:rsidR="00A416B1">
        <w:t xml:space="preserve">For example, a hospital </w:t>
      </w:r>
      <w:r w:rsidR="00E13EF1">
        <w:t xml:space="preserve">with </w:t>
      </w:r>
      <w:r w:rsidR="00F502AB">
        <w:t>only 50</w:t>
      </w:r>
      <w:r w:rsidR="00D54755">
        <w:t xml:space="preserve"> percent</w:t>
      </w:r>
      <w:r w:rsidR="00F502AB">
        <w:t xml:space="preserve"> of the </w:t>
      </w:r>
      <w:r w:rsidR="00AC120D">
        <w:t xml:space="preserve">statewide average </w:t>
      </w:r>
      <w:r w:rsidR="00720CB2">
        <w:t xml:space="preserve">of revenue coming from PAU </w:t>
      </w:r>
      <w:r w:rsidR="00853B6B">
        <w:t xml:space="preserve">would have to reduce </w:t>
      </w:r>
      <w:r w:rsidR="00EE2059">
        <w:t xml:space="preserve">their rate </w:t>
      </w:r>
      <w:r w:rsidR="00F06F28">
        <w:t xml:space="preserve">of PAU </w:t>
      </w:r>
      <w:r w:rsidR="009B1A96">
        <w:t xml:space="preserve">utilization </w:t>
      </w:r>
      <w:r w:rsidR="00536297">
        <w:t xml:space="preserve">by twice as much </w:t>
      </w:r>
      <w:r w:rsidR="00565134">
        <w:t xml:space="preserve">in order to finance the </w:t>
      </w:r>
      <w:r w:rsidR="005A5DDE">
        <w:t xml:space="preserve">same share </w:t>
      </w:r>
      <w:r w:rsidR="004F4A31">
        <w:t xml:space="preserve">of </w:t>
      </w:r>
      <w:r w:rsidR="006C134D">
        <w:t>a capital project</w:t>
      </w:r>
      <w:r w:rsidR="002075EB">
        <w:t>.  T</w:t>
      </w:r>
      <w:r w:rsidR="00BC578B">
        <w:t>herefore</w:t>
      </w:r>
      <w:r w:rsidR="002075EB">
        <w:t>,</w:t>
      </w:r>
      <w:r w:rsidR="00BC578B">
        <w:t xml:space="preserve"> these facilities should receive favorable treatment in this policy</w:t>
      </w:r>
      <w:r w:rsidR="006435AA">
        <w:t xml:space="preserve">. </w:t>
      </w:r>
    </w:p>
    <w:p w14:paraId="192BC85C" w14:textId="77777777" w:rsidR="00344C45" w:rsidRDefault="00EC288E" w:rsidP="00444629">
      <w:r>
        <w:t xml:space="preserve">The PAU adjustment </w:t>
      </w:r>
      <w:r w:rsidR="00D07429">
        <w:t xml:space="preserve">is calculated </w:t>
      </w:r>
      <w:r w:rsidR="000E5BEE">
        <w:t xml:space="preserve">in three steps. </w:t>
      </w:r>
    </w:p>
    <w:p w14:paraId="237847C8" w14:textId="66321276" w:rsidR="00344C45" w:rsidRDefault="00772BA0" w:rsidP="00344C45">
      <w:pPr>
        <w:pStyle w:val="ListParagraph"/>
        <w:numPr>
          <w:ilvl w:val="0"/>
          <w:numId w:val="4"/>
        </w:numPr>
      </w:pPr>
      <w:r>
        <w:t xml:space="preserve">First, </w:t>
      </w:r>
      <w:r w:rsidR="00D54755">
        <w:t>s</w:t>
      </w:r>
      <w:r w:rsidR="006A1EDD">
        <w:t xml:space="preserve">taff will </w:t>
      </w:r>
      <w:r>
        <w:t>c</w:t>
      </w:r>
      <w:r w:rsidR="003A16F0">
        <w:t xml:space="preserve">alculate the </w:t>
      </w:r>
      <w:r w:rsidR="007D1784">
        <w:t xml:space="preserve">statewide </w:t>
      </w:r>
      <w:r w:rsidR="00681951">
        <w:t>mean</w:t>
      </w:r>
      <w:r w:rsidR="008F0214">
        <w:t xml:space="preserve"> (18.44 percent)</w:t>
      </w:r>
      <w:r w:rsidR="00681951">
        <w:t xml:space="preserve"> </w:t>
      </w:r>
      <w:r w:rsidR="00387B2E">
        <w:t xml:space="preserve">and standard deviation </w:t>
      </w:r>
      <w:r w:rsidR="008F0214">
        <w:t xml:space="preserve">(6.55 percent) </w:t>
      </w:r>
      <w:r w:rsidR="00387B2E">
        <w:t xml:space="preserve">of </w:t>
      </w:r>
      <w:r w:rsidR="008A2232">
        <w:t xml:space="preserve">revenue </w:t>
      </w:r>
      <w:r w:rsidR="00F66B18">
        <w:t xml:space="preserve">that comes from </w:t>
      </w:r>
      <w:r w:rsidR="0060399B">
        <w:t>PAU across all hospitals.</w:t>
      </w:r>
      <w:r w:rsidR="00BE782E">
        <w:t xml:space="preserve"> </w:t>
      </w:r>
      <w:r w:rsidR="001720E9">
        <w:t xml:space="preserve">Any hospital whose </w:t>
      </w:r>
      <w:r w:rsidR="00DC2944">
        <w:t>PAU share of revenue exceeds the mean</w:t>
      </w:r>
      <w:r w:rsidR="00CD2BA7">
        <w:t>, does not receive a credit.  Any hospital whose PAU share of revenue is less than the mean, receives a credit but it is capped at one standard deviation, i.e. 6.55 percent.</w:t>
      </w:r>
      <w:r w:rsidR="00DC2944">
        <w:t xml:space="preserve"> </w:t>
      </w:r>
    </w:p>
    <w:p w14:paraId="6F7653B1" w14:textId="48AF4C09" w:rsidR="00344C45" w:rsidRDefault="00C1296C" w:rsidP="00344C45">
      <w:pPr>
        <w:pStyle w:val="ListParagraph"/>
        <w:numPr>
          <w:ilvl w:val="0"/>
          <w:numId w:val="4"/>
        </w:numPr>
      </w:pPr>
      <w:r>
        <w:t xml:space="preserve">Second, </w:t>
      </w:r>
      <w:r w:rsidR="00D54755">
        <w:t>s</w:t>
      </w:r>
      <w:r w:rsidR="003B6C0C">
        <w:t xml:space="preserve">taff will calculate </w:t>
      </w:r>
      <w:r w:rsidR="00034173">
        <w:t xml:space="preserve">the difference between the hospital’s rate of PAU </w:t>
      </w:r>
      <w:r w:rsidR="00D54755">
        <w:t xml:space="preserve">and </w:t>
      </w:r>
      <w:r w:rsidR="00034173">
        <w:t xml:space="preserve">the statewide average rate of PAU and give credit equal to that difference.  </w:t>
      </w:r>
    </w:p>
    <w:p w14:paraId="41FFBA2D" w14:textId="4D49FB05" w:rsidR="00CA5889" w:rsidRDefault="00F25864">
      <w:pPr>
        <w:pStyle w:val="ListParagraph"/>
        <w:numPr>
          <w:ilvl w:val="0"/>
          <w:numId w:val="4"/>
        </w:numPr>
      </w:pPr>
      <w:r>
        <w:t xml:space="preserve">Third, </w:t>
      </w:r>
      <w:r w:rsidR="00D54755">
        <w:t>s</w:t>
      </w:r>
      <w:r w:rsidR="00AD6448">
        <w:t xml:space="preserve">taff will multiply that value </w:t>
      </w:r>
      <w:r w:rsidR="00C809D4">
        <w:t xml:space="preserve">by the </w:t>
      </w:r>
      <w:r w:rsidR="0002595C">
        <w:t xml:space="preserve">efficiency scaling factor </w:t>
      </w:r>
      <w:r w:rsidR="006C4109">
        <w:t>in Step 2A and multipl</w:t>
      </w:r>
      <w:r w:rsidR="00034173">
        <w:t>y</w:t>
      </w:r>
      <w:r w:rsidR="006C4109">
        <w:t xml:space="preserve"> </w:t>
      </w:r>
      <w:r w:rsidR="001049BE">
        <w:t xml:space="preserve">by </w:t>
      </w:r>
      <w:r w:rsidR="002C7F14">
        <w:t>the</w:t>
      </w:r>
      <w:r w:rsidR="00D54755">
        <w:t xml:space="preserve"> </w:t>
      </w:r>
      <w:r w:rsidR="006C4109">
        <w:t>50 percent Variable Cost Factor</w:t>
      </w:r>
      <w:r w:rsidR="00725362">
        <w:t xml:space="preserve">. </w:t>
      </w:r>
    </w:p>
    <w:p w14:paraId="2A2FC62F" w14:textId="77777777" w:rsidR="00CA5889" w:rsidRDefault="00CA5889">
      <w:r>
        <w:br w:type="page"/>
      </w:r>
    </w:p>
    <w:p w14:paraId="3001389C" w14:textId="77777777" w:rsidR="00F82B4C" w:rsidRDefault="00F82B4C" w:rsidP="00E505A8">
      <w:pPr>
        <w:pStyle w:val="ListParagraph"/>
      </w:pPr>
    </w:p>
    <w:p w14:paraId="1C997F16" w14:textId="314F8B83" w:rsidR="009F6F60" w:rsidRDefault="00774473" w:rsidP="00A34A72">
      <w:pPr>
        <w:pStyle w:val="Caption"/>
        <w:keepNext/>
      </w:pPr>
      <w:r w:rsidRPr="00774473">
        <w:rPr>
          <w:b/>
          <w:bCs/>
          <w:sz w:val="22"/>
          <w:szCs w:val="22"/>
        </w:rPr>
        <w:t xml:space="preserve">Table </w:t>
      </w:r>
      <w:r w:rsidRPr="00774473">
        <w:rPr>
          <w:b/>
          <w:bCs/>
          <w:sz w:val="22"/>
          <w:szCs w:val="22"/>
        </w:rPr>
        <w:fldChar w:fldCharType="begin"/>
      </w:r>
      <w:r w:rsidRPr="00774473">
        <w:rPr>
          <w:b/>
          <w:bCs/>
          <w:sz w:val="22"/>
          <w:szCs w:val="22"/>
        </w:rPr>
        <w:instrText xml:space="preserve"> SEQ Table \* ARABIC </w:instrText>
      </w:r>
      <w:r w:rsidRPr="00774473">
        <w:rPr>
          <w:b/>
          <w:bCs/>
          <w:sz w:val="22"/>
          <w:szCs w:val="22"/>
        </w:rPr>
        <w:fldChar w:fldCharType="separate"/>
      </w:r>
      <w:r w:rsidR="000D0D4B">
        <w:rPr>
          <w:b/>
          <w:bCs/>
          <w:noProof/>
          <w:sz w:val="22"/>
          <w:szCs w:val="22"/>
        </w:rPr>
        <w:t>2</w:t>
      </w:r>
      <w:r w:rsidRPr="00774473">
        <w:rPr>
          <w:b/>
          <w:bCs/>
          <w:sz w:val="22"/>
          <w:szCs w:val="22"/>
        </w:rPr>
        <w:fldChar w:fldCharType="end"/>
      </w:r>
      <w:r w:rsidRPr="00774473">
        <w:rPr>
          <w:b/>
          <w:bCs/>
          <w:sz w:val="22"/>
          <w:szCs w:val="22"/>
        </w:rPr>
        <w:t>: PAU Credit Given by Hospital</w:t>
      </w:r>
    </w:p>
    <w:tbl>
      <w:tblPr>
        <w:tblStyle w:val="ListTable4-Accent1"/>
        <w:tblW w:w="9586" w:type="dxa"/>
        <w:tblLayout w:type="fixed"/>
        <w:tblLook w:val="04A0" w:firstRow="1" w:lastRow="0" w:firstColumn="1" w:lastColumn="0" w:noHBand="0" w:noVBand="1"/>
      </w:tblPr>
      <w:tblGrid>
        <w:gridCol w:w="2425"/>
        <w:gridCol w:w="810"/>
        <w:gridCol w:w="1439"/>
        <w:gridCol w:w="2521"/>
        <w:gridCol w:w="832"/>
        <w:gridCol w:w="1559"/>
      </w:tblGrid>
      <w:tr w:rsidR="00A34A72" w14:paraId="13DC163A" w14:textId="77777777" w:rsidTr="00635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3F64270B" w14:textId="77777777" w:rsidR="00A34A72" w:rsidRPr="009725EA" w:rsidRDefault="00A34A72" w:rsidP="00A34A72">
            <w:pPr>
              <w:jc w:val="center"/>
              <w:rPr>
                <w:sz w:val="18"/>
                <w:szCs w:val="18"/>
              </w:rPr>
            </w:pPr>
            <w:r w:rsidRPr="009725EA">
              <w:rPr>
                <w:sz w:val="18"/>
                <w:szCs w:val="18"/>
              </w:rPr>
              <w:t>Hospital</w:t>
            </w:r>
          </w:p>
        </w:tc>
        <w:tc>
          <w:tcPr>
            <w:tcW w:w="810" w:type="dxa"/>
            <w:vAlign w:val="center"/>
          </w:tcPr>
          <w:p w14:paraId="52E89897" w14:textId="77777777" w:rsidR="00A34A72" w:rsidRPr="00A34A72" w:rsidRDefault="00A34A72" w:rsidP="00A34A72">
            <w:pPr>
              <w:jc w:val="right"/>
              <w:cnfStyle w:val="100000000000" w:firstRow="1" w:lastRow="0" w:firstColumn="0" w:lastColumn="0" w:oddVBand="0" w:evenVBand="0" w:oddHBand="0" w:evenHBand="0" w:firstRowFirstColumn="0" w:firstRowLastColumn="0" w:lastRowFirstColumn="0" w:lastRowLastColumn="0"/>
              <w:rPr>
                <w:b w:val="0"/>
                <w:bCs w:val="0"/>
                <w:sz w:val="18"/>
                <w:szCs w:val="18"/>
              </w:rPr>
            </w:pPr>
            <w:r w:rsidRPr="00A34A72">
              <w:rPr>
                <w:sz w:val="18"/>
                <w:szCs w:val="18"/>
              </w:rPr>
              <w:t xml:space="preserve">PAU% / </w:t>
            </w:r>
          </w:p>
          <w:p w14:paraId="003A9782" w14:textId="4032CBDF" w:rsidR="00A34A72" w:rsidRPr="0060538F" w:rsidRDefault="00A34A72" w:rsidP="00A34A72">
            <w:pPr>
              <w:jc w:val="right"/>
              <w:cnfStyle w:val="100000000000" w:firstRow="1" w:lastRow="0" w:firstColumn="0" w:lastColumn="0" w:oddVBand="0" w:evenVBand="0" w:oddHBand="0" w:evenHBand="0" w:firstRowFirstColumn="0" w:firstRowLastColumn="0" w:lastRowFirstColumn="0" w:lastRowLastColumn="0"/>
              <w:rPr>
                <w:sz w:val="18"/>
                <w:szCs w:val="18"/>
              </w:rPr>
            </w:pPr>
            <w:r w:rsidRPr="00A34A72">
              <w:rPr>
                <w:sz w:val="18"/>
                <w:szCs w:val="18"/>
              </w:rPr>
              <w:t>State Avg</w:t>
            </w:r>
          </w:p>
        </w:tc>
        <w:tc>
          <w:tcPr>
            <w:tcW w:w="1439" w:type="dxa"/>
            <w:vAlign w:val="center"/>
          </w:tcPr>
          <w:p w14:paraId="62D306C7" w14:textId="34C93FE5" w:rsidR="00A34A72" w:rsidRPr="009725EA" w:rsidRDefault="00A34A72" w:rsidP="00A34A72">
            <w:pPr>
              <w:jc w:val="right"/>
              <w:cnfStyle w:val="100000000000" w:firstRow="1" w:lastRow="0" w:firstColumn="0" w:lastColumn="0" w:oddVBand="0" w:evenVBand="0" w:oddHBand="0" w:evenHBand="0" w:firstRowFirstColumn="0" w:firstRowLastColumn="0" w:lastRowFirstColumn="0" w:lastRowLastColumn="0"/>
              <w:rPr>
                <w:sz w:val="18"/>
                <w:szCs w:val="18"/>
              </w:rPr>
            </w:pPr>
            <w:r w:rsidRPr="00A34A72">
              <w:rPr>
                <w:sz w:val="18"/>
                <w:szCs w:val="18"/>
              </w:rPr>
              <w:t>PAU Credit</w:t>
            </w:r>
          </w:p>
        </w:tc>
        <w:tc>
          <w:tcPr>
            <w:tcW w:w="2521" w:type="dxa"/>
            <w:vAlign w:val="center"/>
          </w:tcPr>
          <w:p w14:paraId="54B7F51B" w14:textId="77777777" w:rsidR="00A34A72" w:rsidRPr="009725EA" w:rsidRDefault="00A34A72" w:rsidP="00A34A72">
            <w:pPr>
              <w:jc w:val="center"/>
              <w:cnfStyle w:val="100000000000" w:firstRow="1" w:lastRow="0" w:firstColumn="0" w:lastColumn="0" w:oddVBand="0" w:evenVBand="0" w:oddHBand="0" w:evenHBand="0" w:firstRowFirstColumn="0" w:firstRowLastColumn="0" w:lastRowFirstColumn="0" w:lastRowLastColumn="0"/>
              <w:rPr>
                <w:sz w:val="18"/>
                <w:szCs w:val="18"/>
              </w:rPr>
            </w:pPr>
            <w:r w:rsidRPr="009725EA">
              <w:rPr>
                <w:sz w:val="18"/>
                <w:szCs w:val="18"/>
              </w:rPr>
              <w:t>Hospital</w:t>
            </w:r>
          </w:p>
        </w:tc>
        <w:tc>
          <w:tcPr>
            <w:tcW w:w="832" w:type="dxa"/>
            <w:vAlign w:val="center"/>
          </w:tcPr>
          <w:p w14:paraId="377401E2" w14:textId="77777777" w:rsidR="00A34A72" w:rsidRPr="00A34A72" w:rsidRDefault="00A34A72" w:rsidP="00A34A72">
            <w:pPr>
              <w:jc w:val="right"/>
              <w:cnfStyle w:val="100000000000" w:firstRow="1" w:lastRow="0" w:firstColumn="0" w:lastColumn="0" w:oddVBand="0" w:evenVBand="0" w:oddHBand="0" w:evenHBand="0" w:firstRowFirstColumn="0" w:firstRowLastColumn="0" w:lastRowFirstColumn="0" w:lastRowLastColumn="0"/>
              <w:rPr>
                <w:b w:val="0"/>
                <w:bCs w:val="0"/>
                <w:sz w:val="18"/>
                <w:szCs w:val="18"/>
              </w:rPr>
            </w:pPr>
            <w:r w:rsidRPr="00A34A72">
              <w:rPr>
                <w:sz w:val="18"/>
                <w:szCs w:val="18"/>
              </w:rPr>
              <w:t xml:space="preserve">PAU% / </w:t>
            </w:r>
          </w:p>
          <w:p w14:paraId="14C4BB61" w14:textId="7878FF5C" w:rsidR="00A34A72" w:rsidRPr="00A34A72" w:rsidRDefault="00A34A72" w:rsidP="00A34A72">
            <w:pPr>
              <w:jc w:val="right"/>
              <w:cnfStyle w:val="100000000000" w:firstRow="1" w:lastRow="0" w:firstColumn="0" w:lastColumn="0" w:oddVBand="0" w:evenVBand="0" w:oddHBand="0" w:evenHBand="0" w:firstRowFirstColumn="0" w:firstRowLastColumn="0" w:lastRowFirstColumn="0" w:lastRowLastColumn="0"/>
              <w:rPr>
                <w:sz w:val="18"/>
                <w:szCs w:val="18"/>
              </w:rPr>
            </w:pPr>
            <w:r w:rsidRPr="00A34A72">
              <w:rPr>
                <w:sz w:val="18"/>
                <w:szCs w:val="18"/>
              </w:rPr>
              <w:t>State Avg</w:t>
            </w:r>
          </w:p>
        </w:tc>
        <w:tc>
          <w:tcPr>
            <w:tcW w:w="1559" w:type="dxa"/>
            <w:vAlign w:val="center"/>
          </w:tcPr>
          <w:p w14:paraId="5A554244" w14:textId="16F3CABD" w:rsidR="00A34A72" w:rsidRPr="00A34A72" w:rsidRDefault="00A34A72" w:rsidP="00A34A72">
            <w:pPr>
              <w:jc w:val="right"/>
              <w:cnfStyle w:val="100000000000" w:firstRow="1" w:lastRow="0" w:firstColumn="0" w:lastColumn="0" w:oddVBand="0" w:evenVBand="0" w:oddHBand="0" w:evenHBand="0" w:firstRowFirstColumn="0" w:firstRowLastColumn="0" w:lastRowFirstColumn="0" w:lastRowLastColumn="0"/>
              <w:rPr>
                <w:sz w:val="18"/>
                <w:szCs w:val="18"/>
              </w:rPr>
            </w:pPr>
            <w:r w:rsidRPr="00A34A72">
              <w:rPr>
                <w:sz w:val="18"/>
                <w:szCs w:val="18"/>
              </w:rPr>
              <w:t>PAU Credit</w:t>
            </w:r>
          </w:p>
        </w:tc>
      </w:tr>
      <w:tr w:rsidR="00A34A72" w14:paraId="21F7B308" w14:textId="77777777" w:rsidTr="00635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D4D7BA5" w14:textId="57F889B8" w:rsidR="00A34A72" w:rsidRPr="009725EA" w:rsidRDefault="00A34A72" w:rsidP="00A34A72">
            <w:pPr>
              <w:rPr>
                <w:sz w:val="18"/>
                <w:szCs w:val="18"/>
              </w:rPr>
            </w:pPr>
            <w:r w:rsidRPr="009725EA">
              <w:rPr>
                <w:rFonts w:ascii="Calibri" w:hAnsi="Calibri" w:cs="Calibri"/>
                <w:color w:val="000000"/>
                <w:sz w:val="18"/>
                <w:szCs w:val="18"/>
              </w:rPr>
              <w:t xml:space="preserve">Anne Arundel </w:t>
            </w:r>
          </w:p>
        </w:tc>
        <w:tc>
          <w:tcPr>
            <w:tcW w:w="810" w:type="dxa"/>
            <w:vAlign w:val="center"/>
          </w:tcPr>
          <w:p w14:paraId="208D5B36" w14:textId="1860CCC9"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96%</w:t>
            </w:r>
          </w:p>
        </w:tc>
        <w:tc>
          <w:tcPr>
            <w:tcW w:w="1439" w:type="dxa"/>
            <w:vAlign w:val="center"/>
          </w:tcPr>
          <w:p w14:paraId="69F0DA3E" w14:textId="6E1CB73D"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$1,172,968</w:t>
            </w:r>
          </w:p>
        </w:tc>
        <w:tc>
          <w:tcPr>
            <w:tcW w:w="2521" w:type="dxa"/>
            <w:vAlign w:val="bottom"/>
          </w:tcPr>
          <w:p w14:paraId="57F15C21" w14:textId="7E41DC4B" w:rsidR="00A34A72" w:rsidRPr="009725EA" w:rsidRDefault="00A34A72" w:rsidP="00A34A7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MedStar Union Hospital</w:t>
            </w:r>
          </w:p>
        </w:tc>
        <w:tc>
          <w:tcPr>
            <w:tcW w:w="832" w:type="dxa"/>
            <w:vAlign w:val="center"/>
          </w:tcPr>
          <w:p w14:paraId="6168557F" w14:textId="3395102E"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110%</w:t>
            </w:r>
          </w:p>
        </w:tc>
        <w:tc>
          <w:tcPr>
            <w:tcW w:w="1559" w:type="dxa"/>
            <w:vAlign w:val="center"/>
          </w:tcPr>
          <w:p w14:paraId="7AA4DE79" w14:textId="43CE7E62"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$0</w:t>
            </w:r>
          </w:p>
        </w:tc>
      </w:tr>
      <w:tr w:rsidR="00A34A72" w14:paraId="0B58839D" w14:textId="77777777" w:rsidTr="00635218">
        <w:tc>
          <w:tcPr>
            <w:cnfStyle w:val="001000000000" w:firstRow="0" w:lastRow="0" w:firstColumn="1" w:lastColumn="0" w:oddVBand="0" w:evenVBand="0" w:oddHBand="0" w:evenHBand="0" w:firstRowFirstColumn="0" w:firstRowLastColumn="0" w:lastRowFirstColumn="0" w:lastRowLastColumn="0"/>
            <w:tcW w:w="2425" w:type="dxa"/>
          </w:tcPr>
          <w:p w14:paraId="369C031D" w14:textId="74C8447D" w:rsidR="00A34A72" w:rsidRPr="009725EA" w:rsidRDefault="00A34A72" w:rsidP="00A34A72">
            <w:pPr>
              <w:rPr>
                <w:sz w:val="18"/>
                <w:szCs w:val="18"/>
              </w:rPr>
            </w:pPr>
            <w:r w:rsidRPr="009725EA">
              <w:rPr>
                <w:rFonts w:ascii="Calibri" w:hAnsi="Calibri" w:cs="Calibri"/>
                <w:color w:val="000000"/>
                <w:sz w:val="18"/>
                <w:szCs w:val="18"/>
              </w:rPr>
              <w:t>Atlantic General Hospital</w:t>
            </w:r>
          </w:p>
        </w:tc>
        <w:tc>
          <w:tcPr>
            <w:tcW w:w="810" w:type="dxa"/>
            <w:vAlign w:val="center"/>
          </w:tcPr>
          <w:p w14:paraId="1A3034C6" w14:textId="549CEB6C"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133%</w:t>
            </w:r>
          </w:p>
        </w:tc>
        <w:tc>
          <w:tcPr>
            <w:tcW w:w="1439" w:type="dxa"/>
            <w:vAlign w:val="center"/>
          </w:tcPr>
          <w:p w14:paraId="46653D1D" w14:textId="5EAE84E9"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$0</w:t>
            </w:r>
          </w:p>
        </w:tc>
        <w:tc>
          <w:tcPr>
            <w:tcW w:w="2521" w:type="dxa"/>
            <w:vAlign w:val="bottom"/>
          </w:tcPr>
          <w:p w14:paraId="34E64951" w14:textId="3FAD1BBD" w:rsidR="00A34A72" w:rsidRPr="009725EA" w:rsidRDefault="00A34A72" w:rsidP="00A34A7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Mercy Medical Center</w:t>
            </w:r>
          </w:p>
        </w:tc>
        <w:tc>
          <w:tcPr>
            <w:tcW w:w="832" w:type="dxa"/>
            <w:vAlign w:val="center"/>
          </w:tcPr>
          <w:p w14:paraId="019782B8" w14:textId="789A81CF"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71%</w:t>
            </w:r>
          </w:p>
        </w:tc>
        <w:tc>
          <w:tcPr>
            <w:tcW w:w="1559" w:type="dxa"/>
            <w:vAlign w:val="center"/>
          </w:tcPr>
          <w:p w14:paraId="2C7E7B9A" w14:textId="63D3598E"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$5,484,507</w:t>
            </w:r>
          </w:p>
        </w:tc>
      </w:tr>
      <w:tr w:rsidR="00A34A72" w14:paraId="01C5BE21" w14:textId="77777777" w:rsidTr="00635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DBDD3A5" w14:textId="41F857C9" w:rsidR="00A34A72" w:rsidRPr="009725EA" w:rsidRDefault="00A34A72" w:rsidP="00A34A72">
            <w:pPr>
              <w:rPr>
                <w:sz w:val="18"/>
                <w:szCs w:val="18"/>
              </w:rPr>
            </w:pPr>
            <w:r w:rsidRPr="009725EA">
              <w:rPr>
                <w:rFonts w:ascii="Calibri" w:hAnsi="Calibri" w:cs="Calibri"/>
                <w:color w:val="000000"/>
                <w:sz w:val="18"/>
                <w:szCs w:val="18"/>
              </w:rPr>
              <w:t>Bon Secours Hospital</w:t>
            </w:r>
          </w:p>
        </w:tc>
        <w:tc>
          <w:tcPr>
            <w:tcW w:w="810" w:type="dxa"/>
            <w:vAlign w:val="center"/>
          </w:tcPr>
          <w:p w14:paraId="566D4C93" w14:textId="2300751D"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164%</w:t>
            </w:r>
          </w:p>
        </w:tc>
        <w:tc>
          <w:tcPr>
            <w:tcW w:w="1439" w:type="dxa"/>
            <w:vAlign w:val="center"/>
          </w:tcPr>
          <w:p w14:paraId="3A1F8DA7" w14:textId="682DD242"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$0</w:t>
            </w:r>
          </w:p>
        </w:tc>
        <w:tc>
          <w:tcPr>
            <w:tcW w:w="2521" w:type="dxa"/>
            <w:vAlign w:val="bottom"/>
          </w:tcPr>
          <w:p w14:paraId="678A08DF" w14:textId="6F0DEA1D" w:rsidR="00A34A72" w:rsidRPr="009725EA" w:rsidRDefault="00A34A72" w:rsidP="00A34A7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Meritus Medical Center</w:t>
            </w:r>
          </w:p>
        </w:tc>
        <w:tc>
          <w:tcPr>
            <w:tcW w:w="832" w:type="dxa"/>
            <w:vAlign w:val="center"/>
          </w:tcPr>
          <w:p w14:paraId="35833E9C" w14:textId="5A72DEE1"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117%</w:t>
            </w:r>
          </w:p>
        </w:tc>
        <w:tc>
          <w:tcPr>
            <w:tcW w:w="1559" w:type="dxa"/>
            <w:vAlign w:val="center"/>
          </w:tcPr>
          <w:p w14:paraId="0705BA39" w14:textId="3E1F8244"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$0</w:t>
            </w:r>
          </w:p>
        </w:tc>
      </w:tr>
      <w:tr w:rsidR="00A34A72" w14:paraId="72093E13" w14:textId="77777777" w:rsidTr="00635218">
        <w:tc>
          <w:tcPr>
            <w:cnfStyle w:val="001000000000" w:firstRow="0" w:lastRow="0" w:firstColumn="1" w:lastColumn="0" w:oddVBand="0" w:evenVBand="0" w:oddHBand="0" w:evenHBand="0" w:firstRowFirstColumn="0" w:firstRowLastColumn="0" w:lastRowFirstColumn="0" w:lastRowLastColumn="0"/>
            <w:tcW w:w="2425" w:type="dxa"/>
          </w:tcPr>
          <w:p w14:paraId="1A1BABEB" w14:textId="6F4C94E8" w:rsidR="00A34A72" w:rsidRPr="009725EA" w:rsidRDefault="00A34A72" w:rsidP="00A34A72">
            <w:pPr>
              <w:rPr>
                <w:sz w:val="18"/>
                <w:szCs w:val="18"/>
              </w:rPr>
            </w:pPr>
            <w:r w:rsidRPr="009725EA">
              <w:rPr>
                <w:rFonts w:ascii="Calibri" w:hAnsi="Calibri" w:cs="Calibri"/>
                <w:color w:val="000000"/>
                <w:sz w:val="18"/>
                <w:szCs w:val="18"/>
              </w:rPr>
              <w:t>Calvert Memorial Hospital</w:t>
            </w:r>
          </w:p>
        </w:tc>
        <w:tc>
          <w:tcPr>
            <w:tcW w:w="810" w:type="dxa"/>
            <w:vAlign w:val="center"/>
          </w:tcPr>
          <w:p w14:paraId="329F0521" w14:textId="63999C12"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120%</w:t>
            </w:r>
          </w:p>
        </w:tc>
        <w:tc>
          <w:tcPr>
            <w:tcW w:w="1439" w:type="dxa"/>
            <w:vAlign w:val="center"/>
          </w:tcPr>
          <w:p w14:paraId="19949AA8" w14:textId="40E8123B"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$0</w:t>
            </w:r>
          </w:p>
        </w:tc>
        <w:tc>
          <w:tcPr>
            <w:tcW w:w="2521" w:type="dxa"/>
            <w:vAlign w:val="bottom"/>
          </w:tcPr>
          <w:p w14:paraId="74FDE66F" w14:textId="03DB4D2E" w:rsidR="00A34A72" w:rsidRPr="009725EA" w:rsidRDefault="00A34A72" w:rsidP="00A34A7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Northwest Hospital Center</w:t>
            </w:r>
          </w:p>
        </w:tc>
        <w:tc>
          <w:tcPr>
            <w:tcW w:w="832" w:type="dxa"/>
            <w:vAlign w:val="center"/>
          </w:tcPr>
          <w:p w14:paraId="4B7E347F" w14:textId="03DD412C"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159%</w:t>
            </w:r>
          </w:p>
        </w:tc>
        <w:tc>
          <w:tcPr>
            <w:tcW w:w="1559" w:type="dxa"/>
            <w:vAlign w:val="center"/>
          </w:tcPr>
          <w:p w14:paraId="43B0D5DC" w14:textId="59D530D6"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$0</w:t>
            </w:r>
          </w:p>
        </w:tc>
      </w:tr>
      <w:tr w:rsidR="00A34A72" w14:paraId="3680C6C6" w14:textId="77777777" w:rsidTr="00635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79F40FB" w14:textId="67F96EC8" w:rsidR="00A34A72" w:rsidRPr="009725EA" w:rsidRDefault="00A34A72" w:rsidP="00A34A72">
            <w:pPr>
              <w:rPr>
                <w:sz w:val="18"/>
                <w:szCs w:val="18"/>
              </w:rPr>
            </w:pPr>
            <w:r w:rsidRPr="009725EA">
              <w:rPr>
                <w:rFonts w:ascii="Calibri" w:hAnsi="Calibri" w:cs="Calibri"/>
                <w:color w:val="000000"/>
                <w:sz w:val="18"/>
                <w:szCs w:val="18"/>
              </w:rPr>
              <w:t>Carroll Hospital Center</w:t>
            </w:r>
          </w:p>
        </w:tc>
        <w:tc>
          <w:tcPr>
            <w:tcW w:w="810" w:type="dxa"/>
            <w:vAlign w:val="center"/>
          </w:tcPr>
          <w:p w14:paraId="638CD48B" w14:textId="170543C5"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141%</w:t>
            </w:r>
          </w:p>
        </w:tc>
        <w:tc>
          <w:tcPr>
            <w:tcW w:w="1439" w:type="dxa"/>
            <w:vAlign w:val="center"/>
          </w:tcPr>
          <w:p w14:paraId="2CC2BFE6" w14:textId="22103CA0"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$0</w:t>
            </w:r>
          </w:p>
        </w:tc>
        <w:tc>
          <w:tcPr>
            <w:tcW w:w="2521" w:type="dxa"/>
            <w:vAlign w:val="bottom"/>
          </w:tcPr>
          <w:p w14:paraId="4648A782" w14:textId="0F2C8DE5" w:rsidR="00A34A72" w:rsidRPr="009725EA" w:rsidRDefault="00A34A72" w:rsidP="00A34A7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Peninsula Regional </w:t>
            </w:r>
          </w:p>
        </w:tc>
        <w:tc>
          <w:tcPr>
            <w:tcW w:w="832" w:type="dxa"/>
            <w:vAlign w:val="center"/>
          </w:tcPr>
          <w:p w14:paraId="6C4EEE9B" w14:textId="5A19E9E2"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103%</w:t>
            </w:r>
          </w:p>
        </w:tc>
        <w:tc>
          <w:tcPr>
            <w:tcW w:w="1559" w:type="dxa"/>
            <w:vAlign w:val="center"/>
          </w:tcPr>
          <w:p w14:paraId="2B249BFB" w14:textId="62BF5C2E"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$0</w:t>
            </w:r>
          </w:p>
        </w:tc>
      </w:tr>
      <w:tr w:rsidR="00A34A72" w14:paraId="77390720" w14:textId="77777777" w:rsidTr="00635218">
        <w:tc>
          <w:tcPr>
            <w:cnfStyle w:val="001000000000" w:firstRow="0" w:lastRow="0" w:firstColumn="1" w:lastColumn="0" w:oddVBand="0" w:evenVBand="0" w:oddHBand="0" w:evenHBand="0" w:firstRowFirstColumn="0" w:firstRowLastColumn="0" w:lastRowFirstColumn="0" w:lastRowLastColumn="0"/>
            <w:tcW w:w="2425" w:type="dxa"/>
          </w:tcPr>
          <w:p w14:paraId="05566490" w14:textId="671BDB13" w:rsidR="00A34A72" w:rsidRPr="009725EA" w:rsidRDefault="00A34A72" w:rsidP="00A34A72">
            <w:pPr>
              <w:rPr>
                <w:sz w:val="18"/>
                <w:szCs w:val="18"/>
              </w:rPr>
            </w:pPr>
            <w:r w:rsidRPr="009725EA">
              <w:rPr>
                <w:rFonts w:ascii="Calibri" w:hAnsi="Calibri" w:cs="Calibri"/>
                <w:color w:val="000000"/>
                <w:sz w:val="18"/>
                <w:szCs w:val="18"/>
              </w:rPr>
              <w:t>Doctors Community Hospital</w:t>
            </w:r>
          </w:p>
        </w:tc>
        <w:tc>
          <w:tcPr>
            <w:tcW w:w="810" w:type="dxa"/>
            <w:vAlign w:val="center"/>
          </w:tcPr>
          <w:p w14:paraId="5E5C987D" w14:textId="40059F41"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146%</w:t>
            </w:r>
          </w:p>
        </w:tc>
        <w:tc>
          <w:tcPr>
            <w:tcW w:w="1439" w:type="dxa"/>
            <w:vAlign w:val="center"/>
          </w:tcPr>
          <w:p w14:paraId="2152EBBF" w14:textId="63F27BC6"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$0</w:t>
            </w:r>
          </w:p>
        </w:tc>
        <w:tc>
          <w:tcPr>
            <w:tcW w:w="2521" w:type="dxa"/>
            <w:vAlign w:val="bottom"/>
          </w:tcPr>
          <w:p w14:paraId="052ACD4A" w14:textId="3B4C35CD" w:rsidR="00A34A72" w:rsidRPr="009725EA" w:rsidRDefault="00A34A72" w:rsidP="00A34A7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Prince Georges </w:t>
            </w:r>
          </w:p>
        </w:tc>
        <w:tc>
          <w:tcPr>
            <w:tcW w:w="832" w:type="dxa"/>
            <w:vAlign w:val="center"/>
          </w:tcPr>
          <w:p w14:paraId="56124D9F" w14:textId="2F2E6615"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105%</w:t>
            </w:r>
          </w:p>
        </w:tc>
        <w:tc>
          <w:tcPr>
            <w:tcW w:w="1559" w:type="dxa"/>
            <w:vAlign w:val="center"/>
          </w:tcPr>
          <w:p w14:paraId="1738C061" w14:textId="624033C4"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$0</w:t>
            </w:r>
          </w:p>
        </w:tc>
      </w:tr>
      <w:tr w:rsidR="00A34A72" w14:paraId="6C0288A2" w14:textId="77777777" w:rsidTr="00635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1D3582D" w14:textId="32B061BD" w:rsidR="00A34A72" w:rsidRPr="009725EA" w:rsidRDefault="00A34A72" w:rsidP="00A34A72">
            <w:pPr>
              <w:rPr>
                <w:sz w:val="18"/>
                <w:szCs w:val="18"/>
              </w:rPr>
            </w:pPr>
            <w:r w:rsidRPr="009725EA">
              <w:rPr>
                <w:rFonts w:ascii="Calibri" w:hAnsi="Calibri" w:cs="Calibri"/>
                <w:color w:val="000000"/>
                <w:sz w:val="18"/>
                <w:szCs w:val="18"/>
              </w:rPr>
              <w:t xml:space="preserve">Fort Washington </w:t>
            </w:r>
          </w:p>
        </w:tc>
        <w:tc>
          <w:tcPr>
            <w:tcW w:w="810" w:type="dxa"/>
            <w:vAlign w:val="center"/>
          </w:tcPr>
          <w:p w14:paraId="03EA9270" w14:textId="32BB4D6A"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176%</w:t>
            </w:r>
          </w:p>
        </w:tc>
        <w:tc>
          <w:tcPr>
            <w:tcW w:w="1439" w:type="dxa"/>
            <w:vAlign w:val="center"/>
          </w:tcPr>
          <w:p w14:paraId="59008F3A" w14:textId="688336DD"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$0</w:t>
            </w:r>
          </w:p>
        </w:tc>
        <w:tc>
          <w:tcPr>
            <w:tcW w:w="2521" w:type="dxa"/>
            <w:vAlign w:val="bottom"/>
          </w:tcPr>
          <w:p w14:paraId="05839B49" w14:textId="75B8C85F" w:rsidR="00A34A72" w:rsidRPr="009725EA" w:rsidRDefault="00A34A72" w:rsidP="00A34A7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Shady Grove Adventist </w:t>
            </w:r>
          </w:p>
        </w:tc>
        <w:tc>
          <w:tcPr>
            <w:tcW w:w="832" w:type="dxa"/>
            <w:vAlign w:val="center"/>
          </w:tcPr>
          <w:p w14:paraId="24E8F29F" w14:textId="220F0B72"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85%</w:t>
            </w:r>
          </w:p>
        </w:tc>
        <w:tc>
          <w:tcPr>
            <w:tcW w:w="1559" w:type="dxa"/>
            <w:vAlign w:val="center"/>
          </w:tcPr>
          <w:p w14:paraId="17B092F5" w14:textId="540EC4FD"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$1,260,398</w:t>
            </w:r>
          </w:p>
        </w:tc>
      </w:tr>
      <w:tr w:rsidR="00A34A72" w14:paraId="1074A7B8" w14:textId="77777777" w:rsidTr="00635218">
        <w:tc>
          <w:tcPr>
            <w:cnfStyle w:val="001000000000" w:firstRow="0" w:lastRow="0" w:firstColumn="1" w:lastColumn="0" w:oddVBand="0" w:evenVBand="0" w:oddHBand="0" w:evenHBand="0" w:firstRowFirstColumn="0" w:firstRowLastColumn="0" w:lastRowFirstColumn="0" w:lastRowLastColumn="0"/>
            <w:tcW w:w="2425" w:type="dxa"/>
          </w:tcPr>
          <w:p w14:paraId="3840A191" w14:textId="33A25079" w:rsidR="00A34A72" w:rsidRPr="009725EA" w:rsidRDefault="00A34A72" w:rsidP="00A34A72">
            <w:pPr>
              <w:rPr>
                <w:sz w:val="18"/>
                <w:szCs w:val="18"/>
              </w:rPr>
            </w:pPr>
            <w:r w:rsidRPr="009725EA">
              <w:rPr>
                <w:rFonts w:ascii="Calibri" w:hAnsi="Calibri" w:cs="Calibri"/>
                <w:color w:val="000000"/>
                <w:sz w:val="18"/>
                <w:szCs w:val="18"/>
              </w:rPr>
              <w:t>Frederick Memorial Hospital</w:t>
            </w:r>
          </w:p>
        </w:tc>
        <w:tc>
          <w:tcPr>
            <w:tcW w:w="810" w:type="dxa"/>
            <w:vAlign w:val="center"/>
          </w:tcPr>
          <w:p w14:paraId="2283151D" w14:textId="5695BC50"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107%</w:t>
            </w:r>
          </w:p>
        </w:tc>
        <w:tc>
          <w:tcPr>
            <w:tcW w:w="1439" w:type="dxa"/>
            <w:vAlign w:val="center"/>
          </w:tcPr>
          <w:p w14:paraId="19CDC06C" w14:textId="0CDCB79F"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$0</w:t>
            </w:r>
          </w:p>
        </w:tc>
        <w:tc>
          <w:tcPr>
            <w:tcW w:w="2521" w:type="dxa"/>
            <w:vAlign w:val="bottom"/>
          </w:tcPr>
          <w:p w14:paraId="055B9C45" w14:textId="4CEBC89E" w:rsidR="00A34A72" w:rsidRPr="009725EA" w:rsidRDefault="00A34A72" w:rsidP="00A34A7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Sinai Hospital</w:t>
            </w:r>
          </w:p>
        </w:tc>
        <w:tc>
          <w:tcPr>
            <w:tcW w:w="832" w:type="dxa"/>
            <w:vAlign w:val="center"/>
          </w:tcPr>
          <w:p w14:paraId="2686BCEA" w14:textId="3636E9C2"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90%</w:t>
            </w:r>
          </w:p>
        </w:tc>
        <w:tc>
          <w:tcPr>
            <w:tcW w:w="1559" w:type="dxa"/>
            <w:vAlign w:val="center"/>
          </w:tcPr>
          <w:p w14:paraId="1A0A192E" w14:textId="55A7EF22"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$1,562,551</w:t>
            </w:r>
          </w:p>
        </w:tc>
      </w:tr>
      <w:tr w:rsidR="00A34A72" w14:paraId="157BE2F6" w14:textId="77777777" w:rsidTr="00635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653058C" w14:textId="74F6105D" w:rsidR="00A34A72" w:rsidRPr="009725EA" w:rsidRDefault="00A34A72" w:rsidP="00A34A72">
            <w:pPr>
              <w:rPr>
                <w:sz w:val="18"/>
                <w:szCs w:val="18"/>
              </w:rPr>
            </w:pPr>
            <w:r w:rsidRPr="009725EA">
              <w:rPr>
                <w:rFonts w:ascii="Calibri" w:hAnsi="Calibri" w:cs="Calibri"/>
                <w:color w:val="000000"/>
                <w:sz w:val="18"/>
                <w:szCs w:val="18"/>
              </w:rPr>
              <w:t xml:space="preserve">Garrett County Memorial </w:t>
            </w:r>
          </w:p>
        </w:tc>
        <w:tc>
          <w:tcPr>
            <w:tcW w:w="810" w:type="dxa"/>
            <w:vAlign w:val="center"/>
          </w:tcPr>
          <w:p w14:paraId="1A08C58C" w14:textId="49663CFA"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112%</w:t>
            </w:r>
          </w:p>
        </w:tc>
        <w:tc>
          <w:tcPr>
            <w:tcW w:w="1439" w:type="dxa"/>
            <w:vAlign w:val="center"/>
          </w:tcPr>
          <w:p w14:paraId="5D8F3EBC" w14:textId="0A7D017E"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$0</w:t>
            </w:r>
          </w:p>
        </w:tc>
        <w:tc>
          <w:tcPr>
            <w:tcW w:w="2521" w:type="dxa"/>
            <w:vAlign w:val="bottom"/>
          </w:tcPr>
          <w:p w14:paraId="5B6698F3" w14:textId="0C7C22A7" w:rsidR="00A34A72" w:rsidRPr="009725EA" w:rsidRDefault="00A34A72" w:rsidP="00A34A7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St. Agnes Hospital</w:t>
            </w:r>
          </w:p>
        </w:tc>
        <w:tc>
          <w:tcPr>
            <w:tcW w:w="832" w:type="dxa"/>
            <w:vAlign w:val="center"/>
          </w:tcPr>
          <w:p w14:paraId="0A067647" w14:textId="73B28D0B"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139%</w:t>
            </w:r>
          </w:p>
        </w:tc>
        <w:tc>
          <w:tcPr>
            <w:tcW w:w="1559" w:type="dxa"/>
            <w:vAlign w:val="center"/>
          </w:tcPr>
          <w:p w14:paraId="34F426A9" w14:textId="268DC14C"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$0</w:t>
            </w:r>
          </w:p>
        </w:tc>
      </w:tr>
      <w:tr w:rsidR="00A34A72" w14:paraId="19CC723F" w14:textId="77777777" w:rsidTr="00635218">
        <w:tc>
          <w:tcPr>
            <w:cnfStyle w:val="001000000000" w:firstRow="0" w:lastRow="0" w:firstColumn="1" w:lastColumn="0" w:oddVBand="0" w:evenVBand="0" w:oddHBand="0" w:evenHBand="0" w:firstRowFirstColumn="0" w:firstRowLastColumn="0" w:lastRowFirstColumn="0" w:lastRowLastColumn="0"/>
            <w:tcW w:w="2425" w:type="dxa"/>
          </w:tcPr>
          <w:p w14:paraId="4CBEA85F" w14:textId="1EDEBAE5" w:rsidR="00A34A72" w:rsidRPr="009725EA" w:rsidRDefault="00A34A72" w:rsidP="00A34A72">
            <w:pPr>
              <w:rPr>
                <w:sz w:val="18"/>
                <w:szCs w:val="18"/>
              </w:rPr>
            </w:pPr>
            <w:r>
              <w:rPr>
                <w:rFonts w:ascii="Calibri" w:hAnsi="Calibri" w:cs="Calibri"/>
                <w:color w:val="000000"/>
                <w:sz w:val="18"/>
                <w:szCs w:val="18"/>
              </w:rPr>
              <w:t>GBMC</w:t>
            </w:r>
          </w:p>
        </w:tc>
        <w:tc>
          <w:tcPr>
            <w:tcW w:w="810" w:type="dxa"/>
            <w:vAlign w:val="center"/>
          </w:tcPr>
          <w:p w14:paraId="494E1668" w14:textId="723E1C95"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92%</w:t>
            </w:r>
          </w:p>
        </w:tc>
        <w:tc>
          <w:tcPr>
            <w:tcW w:w="1439" w:type="dxa"/>
            <w:vAlign w:val="center"/>
          </w:tcPr>
          <w:p w14:paraId="53BE8213" w14:textId="78AEF11F"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$425,974</w:t>
            </w:r>
          </w:p>
        </w:tc>
        <w:tc>
          <w:tcPr>
            <w:tcW w:w="2521" w:type="dxa"/>
            <w:vAlign w:val="bottom"/>
          </w:tcPr>
          <w:p w14:paraId="4E90FB21" w14:textId="114A1E90" w:rsidR="00A34A72" w:rsidRPr="009725EA" w:rsidRDefault="00A34A72" w:rsidP="00A34A7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Suburban Hospital</w:t>
            </w:r>
          </w:p>
        </w:tc>
        <w:tc>
          <w:tcPr>
            <w:tcW w:w="832" w:type="dxa"/>
            <w:vAlign w:val="center"/>
          </w:tcPr>
          <w:p w14:paraId="2AFEEDDE" w14:textId="23D9C979"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81%</w:t>
            </w:r>
          </w:p>
        </w:tc>
        <w:tc>
          <w:tcPr>
            <w:tcW w:w="1559" w:type="dxa"/>
            <w:vAlign w:val="center"/>
          </w:tcPr>
          <w:p w14:paraId="10F81F10" w14:textId="273D4133"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$2,342,323</w:t>
            </w:r>
          </w:p>
        </w:tc>
      </w:tr>
      <w:tr w:rsidR="00A34A72" w14:paraId="736BD025" w14:textId="77777777" w:rsidTr="00635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3478EA9" w14:textId="61B4A773" w:rsidR="00A34A72" w:rsidRPr="009725EA" w:rsidRDefault="00A34A72" w:rsidP="00A34A72">
            <w:pPr>
              <w:rPr>
                <w:sz w:val="18"/>
                <w:szCs w:val="18"/>
              </w:rPr>
            </w:pPr>
            <w:r w:rsidRPr="009725EA">
              <w:rPr>
                <w:rFonts w:ascii="Calibri" w:hAnsi="Calibri" w:cs="Calibri"/>
                <w:color w:val="000000"/>
                <w:sz w:val="18"/>
                <w:szCs w:val="18"/>
              </w:rPr>
              <w:t>Harford Memorial Hospital</w:t>
            </w:r>
          </w:p>
        </w:tc>
        <w:tc>
          <w:tcPr>
            <w:tcW w:w="810" w:type="dxa"/>
            <w:vAlign w:val="center"/>
          </w:tcPr>
          <w:p w14:paraId="7B38D6F0" w14:textId="53DB7132"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154%</w:t>
            </w:r>
          </w:p>
        </w:tc>
        <w:tc>
          <w:tcPr>
            <w:tcW w:w="1439" w:type="dxa"/>
            <w:vAlign w:val="center"/>
          </w:tcPr>
          <w:p w14:paraId="4E9AA475" w14:textId="6A6534DC"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$0</w:t>
            </w:r>
          </w:p>
        </w:tc>
        <w:tc>
          <w:tcPr>
            <w:tcW w:w="2521" w:type="dxa"/>
            <w:vAlign w:val="bottom"/>
          </w:tcPr>
          <w:p w14:paraId="1DA3EC4E" w14:textId="63832F23" w:rsidR="00A34A72" w:rsidRPr="009725EA" w:rsidRDefault="00A34A72" w:rsidP="00A34A7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Union Hospital of Cecil County</w:t>
            </w:r>
          </w:p>
        </w:tc>
        <w:tc>
          <w:tcPr>
            <w:tcW w:w="832" w:type="dxa"/>
            <w:vAlign w:val="center"/>
          </w:tcPr>
          <w:p w14:paraId="34AD30F9" w14:textId="7512DEC7"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133%</w:t>
            </w:r>
          </w:p>
        </w:tc>
        <w:tc>
          <w:tcPr>
            <w:tcW w:w="1559" w:type="dxa"/>
            <w:vAlign w:val="center"/>
          </w:tcPr>
          <w:p w14:paraId="733C829E" w14:textId="73FB0B07"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$0</w:t>
            </w:r>
          </w:p>
        </w:tc>
      </w:tr>
      <w:tr w:rsidR="00A34A72" w14:paraId="0DA80953" w14:textId="77777777" w:rsidTr="00635218">
        <w:tc>
          <w:tcPr>
            <w:cnfStyle w:val="001000000000" w:firstRow="0" w:lastRow="0" w:firstColumn="1" w:lastColumn="0" w:oddVBand="0" w:evenVBand="0" w:oddHBand="0" w:evenHBand="0" w:firstRowFirstColumn="0" w:firstRowLastColumn="0" w:lastRowFirstColumn="0" w:lastRowLastColumn="0"/>
            <w:tcW w:w="2425" w:type="dxa"/>
          </w:tcPr>
          <w:p w14:paraId="0A1D1940" w14:textId="6A88D2D2" w:rsidR="00A34A72" w:rsidRPr="009725EA" w:rsidRDefault="00A34A72" w:rsidP="00A34A72">
            <w:pPr>
              <w:rPr>
                <w:rFonts w:ascii="Calibri" w:hAnsi="Calibri" w:cs="Calibri"/>
                <w:color w:val="000000"/>
                <w:sz w:val="18"/>
                <w:szCs w:val="18"/>
              </w:rPr>
            </w:pPr>
            <w:r w:rsidRPr="009725EA">
              <w:rPr>
                <w:rFonts w:ascii="Calibri" w:hAnsi="Calibri" w:cs="Calibri"/>
                <w:color w:val="000000"/>
                <w:sz w:val="18"/>
                <w:szCs w:val="18"/>
              </w:rPr>
              <w:t>Holy Cross Hospital</w:t>
            </w:r>
          </w:p>
        </w:tc>
        <w:tc>
          <w:tcPr>
            <w:tcW w:w="810" w:type="dxa"/>
            <w:vAlign w:val="center"/>
          </w:tcPr>
          <w:p w14:paraId="195E5ED4" w14:textId="249268C0"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82%</w:t>
            </w:r>
          </w:p>
        </w:tc>
        <w:tc>
          <w:tcPr>
            <w:tcW w:w="1439" w:type="dxa"/>
            <w:vAlign w:val="center"/>
          </w:tcPr>
          <w:p w14:paraId="5468B5CB" w14:textId="47A9CCD7"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$5,920,797</w:t>
            </w:r>
          </w:p>
        </w:tc>
        <w:tc>
          <w:tcPr>
            <w:tcW w:w="2521" w:type="dxa"/>
            <w:vAlign w:val="bottom"/>
          </w:tcPr>
          <w:p w14:paraId="50131139" w14:textId="3AB42DBA" w:rsidR="00A34A72" w:rsidRPr="009725EA" w:rsidRDefault="00A34A72" w:rsidP="00A34A7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UM Baltimore Washington </w:t>
            </w:r>
          </w:p>
        </w:tc>
        <w:tc>
          <w:tcPr>
            <w:tcW w:w="832" w:type="dxa"/>
            <w:vAlign w:val="center"/>
          </w:tcPr>
          <w:p w14:paraId="0688A7CE" w14:textId="6FF95E7E"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124%</w:t>
            </w:r>
          </w:p>
        </w:tc>
        <w:tc>
          <w:tcPr>
            <w:tcW w:w="1559" w:type="dxa"/>
            <w:vAlign w:val="center"/>
          </w:tcPr>
          <w:p w14:paraId="439A331F" w14:textId="00E31304"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$0</w:t>
            </w:r>
          </w:p>
        </w:tc>
      </w:tr>
      <w:tr w:rsidR="00A34A72" w14:paraId="19C0ED7C" w14:textId="77777777" w:rsidTr="00635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27A7F8F" w14:textId="1E0CBFA6" w:rsidR="00A34A72" w:rsidRPr="009725EA" w:rsidRDefault="00A34A72" w:rsidP="00A34A72">
            <w:pPr>
              <w:rPr>
                <w:sz w:val="18"/>
                <w:szCs w:val="18"/>
              </w:rPr>
            </w:pPr>
            <w:r w:rsidRPr="009725EA">
              <w:rPr>
                <w:rFonts w:ascii="Calibri" w:hAnsi="Calibri" w:cs="Calibri"/>
                <w:color w:val="000000"/>
                <w:sz w:val="18"/>
                <w:szCs w:val="18"/>
              </w:rPr>
              <w:t xml:space="preserve">Howard County General </w:t>
            </w:r>
          </w:p>
        </w:tc>
        <w:tc>
          <w:tcPr>
            <w:tcW w:w="810" w:type="dxa"/>
            <w:vAlign w:val="center"/>
          </w:tcPr>
          <w:p w14:paraId="307C5296" w14:textId="1FC96292"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103%</w:t>
            </w:r>
          </w:p>
        </w:tc>
        <w:tc>
          <w:tcPr>
            <w:tcW w:w="1439" w:type="dxa"/>
            <w:vAlign w:val="center"/>
          </w:tcPr>
          <w:p w14:paraId="2C7922D5" w14:textId="582423AE"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$0</w:t>
            </w:r>
          </w:p>
        </w:tc>
        <w:tc>
          <w:tcPr>
            <w:tcW w:w="2521" w:type="dxa"/>
            <w:vAlign w:val="bottom"/>
          </w:tcPr>
          <w:p w14:paraId="3E3A03CB" w14:textId="2D4B1482" w:rsidR="00A34A72" w:rsidRPr="009725EA" w:rsidRDefault="00A34A72" w:rsidP="00A34A7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UM Charles Regional </w:t>
            </w:r>
          </w:p>
        </w:tc>
        <w:tc>
          <w:tcPr>
            <w:tcW w:w="832" w:type="dxa"/>
            <w:vAlign w:val="center"/>
          </w:tcPr>
          <w:p w14:paraId="52B06859" w14:textId="4CAAFEAF"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123%</w:t>
            </w:r>
          </w:p>
        </w:tc>
        <w:tc>
          <w:tcPr>
            <w:tcW w:w="1559" w:type="dxa"/>
            <w:vAlign w:val="center"/>
          </w:tcPr>
          <w:p w14:paraId="54A003DC" w14:textId="225D4384"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$0</w:t>
            </w:r>
          </w:p>
        </w:tc>
      </w:tr>
      <w:tr w:rsidR="00A34A72" w14:paraId="13F3008F" w14:textId="77777777" w:rsidTr="00635218">
        <w:tc>
          <w:tcPr>
            <w:cnfStyle w:val="001000000000" w:firstRow="0" w:lastRow="0" w:firstColumn="1" w:lastColumn="0" w:oddVBand="0" w:evenVBand="0" w:oddHBand="0" w:evenHBand="0" w:firstRowFirstColumn="0" w:firstRowLastColumn="0" w:lastRowFirstColumn="0" w:lastRowLastColumn="0"/>
            <w:tcW w:w="2425" w:type="dxa"/>
          </w:tcPr>
          <w:p w14:paraId="19636A5E" w14:textId="6A20F25B" w:rsidR="00A34A72" w:rsidRPr="009725EA" w:rsidRDefault="00A34A72" w:rsidP="00A34A72">
            <w:pPr>
              <w:rPr>
                <w:sz w:val="18"/>
                <w:szCs w:val="18"/>
              </w:rPr>
            </w:pPr>
            <w:r w:rsidRPr="009725EA">
              <w:rPr>
                <w:rFonts w:ascii="Calibri" w:hAnsi="Calibri" w:cs="Calibri"/>
                <w:color w:val="000000"/>
                <w:sz w:val="18"/>
                <w:szCs w:val="18"/>
              </w:rPr>
              <w:t xml:space="preserve">Johns Hopkins Bayview </w:t>
            </w:r>
          </w:p>
        </w:tc>
        <w:tc>
          <w:tcPr>
            <w:tcW w:w="810" w:type="dxa"/>
            <w:vAlign w:val="center"/>
          </w:tcPr>
          <w:p w14:paraId="15F45418" w14:textId="0BD74632"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115%</w:t>
            </w:r>
          </w:p>
        </w:tc>
        <w:tc>
          <w:tcPr>
            <w:tcW w:w="1439" w:type="dxa"/>
            <w:vAlign w:val="center"/>
          </w:tcPr>
          <w:p w14:paraId="594ADC2F" w14:textId="7D79A04D"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$0</w:t>
            </w:r>
          </w:p>
        </w:tc>
        <w:tc>
          <w:tcPr>
            <w:tcW w:w="2521" w:type="dxa"/>
            <w:vAlign w:val="bottom"/>
          </w:tcPr>
          <w:p w14:paraId="27EDCB25" w14:textId="345E9432" w:rsidR="00A34A72" w:rsidRPr="009725EA" w:rsidRDefault="00A34A72" w:rsidP="00A34A7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UM Medical Center</w:t>
            </w:r>
          </w:p>
        </w:tc>
        <w:tc>
          <w:tcPr>
            <w:tcW w:w="832" w:type="dxa"/>
            <w:vAlign w:val="center"/>
          </w:tcPr>
          <w:p w14:paraId="68971CA3" w14:textId="56F9639A"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64%</w:t>
            </w:r>
          </w:p>
        </w:tc>
        <w:tc>
          <w:tcPr>
            <w:tcW w:w="1559" w:type="dxa"/>
            <w:vAlign w:val="center"/>
          </w:tcPr>
          <w:p w14:paraId="08327D06" w14:textId="6EF3E83B"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$6,959,709</w:t>
            </w:r>
          </w:p>
        </w:tc>
      </w:tr>
      <w:tr w:rsidR="00A34A72" w14:paraId="079B2AB7" w14:textId="77777777" w:rsidTr="00635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C693C52" w14:textId="0CFE8FF6" w:rsidR="00A34A72" w:rsidRPr="009725EA" w:rsidRDefault="00A34A72" w:rsidP="00A34A72">
            <w:pPr>
              <w:rPr>
                <w:sz w:val="18"/>
                <w:szCs w:val="18"/>
              </w:rPr>
            </w:pPr>
            <w:r w:rsidRPr="009725EA">
              <w:rPr>
                <w:rFonts w:ascii="Calibri" w:hAnsi="Calibri" w:cs="Calibri"/>
                <w:color w:val="000000"/>
                <w:sz w:val="18"/>
                <w:szCs w:val="18"/>
              </w:rPr>
              <w:t>Johns Hopkins Hospital</w:t>
            </w:r>
          </w:p>
        </w:tc>
        <w:tc>
          <w:tcPr>
            <w:tcW w:w="810" w:type="dxa"/>
            <w:vAlign w:val="center"/>
          </w:tcPr>
          <w:p w14:paraId="1C3C15D8" w14:textId="5CACA6C2"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81%</w:t>
            </w:r>
          </w:p>
        </w:tc>
        <w:tc>
          <w:tcPr>
            <w:tcW w:w="1439" w:type="dxa"/>
            <w:vAlign w:val="center"/>
          </w:tcPr>
          <w:p w14:paraId="481EC347" w14:textId="3E079EDC"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$25,639,623</w:t>
            </w:r>
          </w:p>
        </w:tc>
        <w:tc>
          <w:tcPr>
            <w:tcW w:w="2521" w:type="dxa"/>
            <w:vAlign w:val="bottom"/>
          </w:tcPr>
          <w:p w14:paraId="5F366364" w14:textId="2B681B41" w:rsidR="00A34A72" w:rsidRPr="009725EA" w:rsidRDefault="00A34A72" w:rsidP="00A34A7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UM Midtown Campus</w:t>
            </w:r>
          </w:p>
        </w:tc>
        <w:tc>
          <w:tcPr>
            <w:tcW w:w="832" w:type="dxa"/>
            <w:vAlign w:val="center"/>
          </w:tcPr>
          <w:p w14:paraId="448FE30C" w14:textId="386EF798"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149%</w:t>
            </w:r>
          </w:p>
        </w:tc>
        <w:tc>
          <w:tcPr>
            <w:tcW w:w="1559" w:type="dxa"/>
            <w:vAlign w:val="center"/>
          </w:tcPr>
          <w:p w14:paraId="5F061687" w14:textId="1E211D81"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$0</w:t>
            </w:r>
          </w:p>
        </w:tc>
      </w:tr>
      <w:tr w:rsidR="00A34A72" w14:paraId="34F54591" w14:textId="77777777" w:rsidTr="00635218">
        <w:tc>
          <w:tcPr>
            <w:cnfStyle w:val="001000000000" w:firstRow="0" w:lastRow="0" w:firstColumn="1" w:lastColumn="0" w:oddVBand="0" w:evenVBand="0" w:oddHBand="0" w:evenHBand="0" w:firstRowFirstColumn="0" w:firstRowLastColumn="0" w:lastRowFirstColumn="0" w:lastRowLastColumn="0"/>
            <w:tcW w:w="2425" w:type="dxa"/>
          </w:tcPr>
          <w:p w14:paraId="66C250A5" w14:textId="1CE5905C" w:rsidR="00A34A72" w:rsidRPr="009725EA" w:rsidRDefault="00A34A72" w:rsidP="00A34A72">
            <w:pPr>
              <w:rPr>
                <w:sz w:val="18"/>
                <w:szCs w:val="18"/>
              </w:rPr>
            </w:pPr>
            <w:r w:rsidRPr="009725EA">
              <w:rPr>
                <w:rFonts w:ascii="Calibri" w:hAnsi="Calibri" w:cs="Calibri"/>
                <w:color w:val="000000"/>
                <w:sz w:val="18"/>
                <w:szCs w:val="18"/>
              </w:rPr>
              <w:t>Laurel Regional Hospital</w:t>
            </w:r>
          </w:p>
        </w:tc>
        <w:tc>
          <w:tcPr>
            <w:tcW w:w="810" w:type="dxa"/>
            <w:vAlign w:val="center"/>
          </w:tcPr>
          <w:p w14:paraId="479CC38D" w14:textId="66863BF6"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114%</w:t>
            </w:r>
          </w:p>
        </w:tc>
        <w:tc>
          <w:tcPr>
            <w:tcW w:w="1439" w:type="dxa"/>
            <w:vAlign w:val="center"/>
          </w:tcPr>
          <w:p w14:paraId="6406CA7E" w14:textId="4566458C"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$0</w:t>
            </w:r>
          </w:p>
        </w:tc>
        <w:tc>
          <w:tcPr>
            <w:tcW w:w="2521" w:type="dxa"/>
            <w:vAlign w:val="bottom"/>
          </w:tcPr>
          <w:p w14:paraId="73932E8B" w14:textId="53EA6554" w:rsidR="00A34A72" w:rsidRPr="009725EA" w:rsidRDefault="00A34A72" w:rsidP="00A34A7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UMROI</w:t>
            </w:r>
          </w:p>
        </w:tc>
        <w:tc>
          <w:tcPr>
            <w:tcW w:w="832" w:type="dxa"/>
            <w:vAlign w:val="center"/>
          </w:tcPr>
          <w:p w14:paraId="706D847A" w14:textId="141D443C"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w:t>
            </w:r>
          </w:p>
        </w:tc>
        <w:tc>
          <w:tcPr>
            <w:tcW w:w="1559" w:type="dxa"/>
            <w:vAlign w:val="center"/>
          </w:tcPr>
          <w:p w14:paraId="3480316F" w14:textId="777595AF"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$327,125</w:t>
            </w:r>
          </w:p>
        </w:tc>
      </w:tr>
      <w:tr w:rsidR="00A34A72" w14:paraId="1FB87749" w14:textId="77777777" w:rsidTr="00635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07AA823" w14:textId="2DDFD18B" w:rsidR="00A34A72" w:rsidRPr="009725EA" w:rsidRDefault="00A34A72" w:rsidP="00A34A72">
            <w:pPr>
              <w:rPr>
                <w:sz w:val="18"/>
                <w:szCs w:val="18"/>
              </w:rPr>
            </w:pPr>
            <w:r w:rsidRPr="009725EA">
              <w:rPr>
                <w:rFonts w:ascii="Calibri" w:hAnsi="Calibri" w:cs="Calibri"/>
                <w:color w:val="000000"/>
                <w:sz w:val="18"/>
                <w:szCs w:val="18"/>
              </w:rPr>
              <w:t>McCready Memorial Hospital</w:t>
            </w:r>
          </w:p>
        </w:tc>
        <w:tc>
          <w:tcPr>
            <w:tcW w:w="810" w:type="dxa"/>
            <w:vAlign w:val="center"/>
          </w:tcPr>
          <w:p w14:paraId="3C912619" w14:textId="46B74441"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223%</w:t>
            </w:r>
          </w:p>
        </w:tc>
        <w:tc>
          <w:tcPr>
            <w:tcW w:w="1439" w:type="dxa"/>
            <w:vAlign w:val="center"/>
          </w:tcPr>
          <w:p w14:paraId="276F6FB1" w14:textId="7F86EDB6"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$0</w:t>
            </w:r>
          </w:p>
        </w:tc>
        <w:tc>
          <w:tcPr>
            <w:tcW w:w="2521" w:type="dxa"/>
            <w:vAlign w:val="bottom"/>
          </w:tcPr>
          <w:p w14:paraId="791C8E46" w14:textId="623E23C0" w:rsidR="00A34A72" w:rsidRPr="009725EA" w:rsidRDefault="00A34A72" w:rsidP="00A34A7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UM Chestertown</w:t>
            </w:r>
          </w:p>
        </w:tc>
        <w:tc>
          <w:tcPr>
            <w:tcW w:w="832" w:type="dxa"/>
            <w:vAlign w:val="center"/>
          </w:tcPr>
          <w:p w14:paraId="578AFD61" w14:textId="41CF663F"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104%</w:t>
            </w:r>
          </w:p>
        </w:tc>
        <w:tc>
          <w:tcPr>
            <w:tcW w:w="1559" w:type="dxa"/>
            <w:vAlign w:val="center"/>
          </w:tcPr>
          <w:p w14:paraId="0A274616" w14:textId="74FC40C6"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$0</w:t>
            </w:r>
          </w:p>
        </w:tc>
      </w:tr>
      <w:tr w:rsidR="00A34A72" w14:paraId="2F62DB6D" w14:textId="77777777" w:rsidTr="00635218">
        <w:tc>
          <w:tcPr>
            <w:cnfStyle w:val="001000000000" w:firstRow="0" w:lastRow="0" w:firstColumn="1" w:lastColumn="0" w:oddVBand="0" w:evenVBand="0" w:oddHBand="0" w:evenHBand="0" w:firstRowFirstColumn="0" w:firstRowLastColumn="0" w:lastRowFirstColumn="0" w:lastRowLastColumn="0"/>
            <w:tcW w:w="2425" w:type="dxa"/>
          </w:tcPr>
          <w:p w14:paraId="02C4F554" w14:textId="7E769D34" w:rsidR="00A34A72" w:rsidRPr="009725EA" w:rsidRDefault="00A34A72" w:rsidP="00A34A72">
            <w:pPr>
              <w:rPr>
                <w:sz w:val="18"/>
                <w:szCs w:val="18"/>
              </w:rPr>
            </w:pPr>
            <w:r w:rsidRPr="009725EA">
              <w:rPr>
                <w:rFonts w:ascii="Calibri" w:hAnsi="Calibri" w:cs="Calibri"/>
                <w:color w:val="000000"/>
                <w:sz w:val="18"/>
                <w:szCs w:val="18"/>
              </w:rPr>
              <w:t xml:space="preserve">MedStar Franklin Square </w:t>
            </w:r>
          </w:p>
        </w:tc>
        <w:tc>
          <w:tcPr>
            <w:tcW w:w="810" w:type="dxa"/>
            <w:vAlign w:val="center"/>
          </w:tcPr>
          <w:p w14:paraId="590447C5" w14:textId="7FC23D10"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133%</w:t>
            </w:r>
          </w:p>
        </w:tc>
        <w:tc>
          <w:tcPr>
            <w:tcW w:w="1439" w:type="dxa"/>
            <w:vAlign w:val="center"/>
          </w:tcPr>
          <w:p w14:paraId="14422983" w14:textId="765A67DC"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$0</w:t>
            </w:r>
          </w:p>
        </w:tc>
        <w:tc>
          <w:tcPr>
            <w:tcW w:w="2521" w:type="dxa"/>
            <w:vAlign w:val="bottom"/>
          </w:tcPr>
          <w:p w14:paraId="493F4202" w14:textId="04EE6D99" w:rsidR="00A34A72" w:rsidRPr="009725EA" w:rsidRDefault="00A34A72" w:rsidP="00A34A7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UM  Dorchester</w:t>
            </w:r>
          </w:p>
        </w:tc>
        <w:tc>
          <w:tcPr>
            <w:tcW w:w="832" w:type="dxa"/>
            <w:vAlign w:val="center"/>
          </w:tcPr>
          <w:p w14:paraId="1AD42224" w14:textId="4C925E6B"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141%</w:t>
            </w:r>
          </w:p>
        </w:tc>
        <w:tc>
          <w:tcPr>
            <w:tcW w:w="1559" w:type="dxa"/>
            <w:vAlign w:val="center"/>
          </w:tcPr>
          <w:p w14:paraId="572E89A1" w14:textId="0C4DE2D8"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$0</w:t>
            </w:r>
          </w:p>
        </w:tc>
      </w:tr>
      <w:tr w:rsidR="00A34A72" w14:paraId="480B1976" w14:textId="77777777" w:rsidTr="00635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E88BAB0" w14:textId="2779E0AF" w:rsidR="00A34A72" w:rsidRPr="009725EA" w:rsidRDefault="00A34A72" w:rsidP="00A34A72">
            <w:pPr>
              <w:rPr>
                <w:sz w:val="18"/>
                <w:szCs w:val="18"/>
              </w:rPr>
            </w:pPr>
            <w:r w:rsidRPr="009725EA">
              <w:rPr>
                <w:rFonts w:ascii="Calibri" w:hAnsi="Calibri" w:cs="Calibri"/>
                <w:color w:val="000000"/>
                <w:sz w:val="18"/>
                <w:szCs w:val="18"/>
              </w:rPr>
              <w:t xml:space="preserve">MedStar Good Samaritan </w:t>
            </w:r>
          </w:p>
        </w:tc>
        <w:tc>
          <w:tcPr>
            <w:tcW w:w="810" w:type="dxa"/>
            <w:vAlign w:val="center"/>
          </w:tcPr>
          <w:p w14:paraId="5E6EE6D3" w14:textId="59AD8BA4"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165%</w:t>
            </w:r>
          </w:p>
        </w:tc>
        <w:tc>
          <w:tcPr>
            <w:tcW w:w="1439" w:type="dxa"/>
            <w:vAlign w:val="center"/>
          </w:tcPr>
          <w:p w14:paraId="5F9A1447" w14:textId="054F4FCC"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$0</w:t>
            </w:r>
          </w:p>
        </w:tc>
        <w:tc>
          <w:tcPr>
            <w:tcW w:w="2521" w:type="dxa"/>
            <w:vAlign w:val="bottom"/>
          </w:tcPr>
          <w:p w14:paraId="3508C9A6" w14:textId="49EF28D3" w:rsidR="00A34A72" w:rsidRPr="009725EA" w:rsidRDefault="00A34A72" w:rsidP="00A34A7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UM Easton</w:t>
            </w:r>
          </w:p>
        </w:tc>
        <w:tc>
          <w:tcPr>
            <w:tcW w:w="832" w:type="dxa"/>
            <w:vAlign w:val="center"/>
          </w:tcPr>
          <w:p w14:paraId="2D2CC7B0" w14:textId="263D1F6A"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76%</w:t>
            </w:r>
          </w:p>
        </w:tc>
        <w:tc>
          <w:tcPr>
            <w:tcW w:w="1559" w:type="dxa"/>
            <w:vAlign w:val="center"/>
          </w:tcPr>
          <w:p w14:paraId="29F5715F" w14:textId="23043623"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$1,377,575</w:t>
            </w:r>
          </w:p>
        </w:tc>
      </w:tr>
      <w:tr w:rsidR="00A34A72" w14:paraId="1C4E874F" w14:textId="77777777" w:rsidTr="00635218">
        <w:tc>
          <w:tcPr>
            <w:cnfStyle w:val="001000000000" w:firstRow="0" w:lastRow="0" w:firstColumn="1" w:lastColumn="0" w:oddVBand="0" w:evenVBand="0" w:oddHBand="0" w:evenHBand="0" w:firstRowFirstColumn="0" w:firstRowLastColumn="0" w:lastRowFirstColumn="0" w:lastRowLastColumn="0"/>
            <w:tcW w:w="2425" w:type="dxa"/>
          </w:tcPr>
          <w:p w14:paraId="6CDC9670" w14:textId="09AD58BE" w:rsidR="00A34A72" w:rsidRPr="009725EA" w:rsidRDefault="00A34A72" w:rsidP="00A34A72">
            <w:pPr>
              <w:rPr>
                <w:sz w:val="18"/>
                <w:szCs w:val="18"/>
              </w:rPr>
            </w:pPr>
            <w:r w:rsidRPr="009725EA">
              <w:rPr>
                <w:rFonts w:ascii="Calibri" w:hAnsi="Calibri" w:cs="Calibri"/>
                <w:color w:val="000000"/>
                <w:sz w:val="18"/>
                <w:szCs w:val="18"/>
              </w:rPr>
              <w:t xml:space="preserve">MedStar Harbor Hospital </w:t>
            </w:r>
          </w:p>
        </w:tc>
        <w:tc>
          <w:tcPr>
            <w:tcW w:w="810" w:type="dxa"/>
            <w:vAlign w:val="center"/>
          </w:tcPr>
          <w:p w14:paraId="658426F8" w14:textId="71D30417"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131%</w:t>
            </w:r>
          </w:p>
        </w:tc>
        <w:tc>
          <w:tcPr>
            <w:tcW w:w="1439" w:type="dxa"/>
            <w:vAlign w:val="center"/>
          </w:tcPr>
          <w:p w14:paraId="19D7E1AC" w14:textId="4EB4F5BD"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$0</w:t>
            </w:r>
          </w:p>
        </w:tc>
        <w:tc>
          <w:tcPr>
            <w:tcW w:w="2521" w:type="dxa"/>
            <w:vAlign w:val="bottom"/>
          </w:tcPr>
          <w:p w14:paraId="09F93457" w14:textId="76FE00DD" w:rsidR="00A34A72" w:rsidRPr="009725EA" w:rsidRDefault="00A34A72" w:rsidP="00A34A7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UM St Joseph </w:t>
            </w:r>
          </w:p>
        </w:tc>
        <w:tc>
          <w:tcPr>
            <w:tcW w:w="832" w:type="dxa"/>
            <w:vAlign w:val="center"/>
          </w:tcPr>
          <w:p w14:paraId="3859B191" w14:textId="11EAF89B"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68%</w:t>
            </w:r>
          </w:p>
        </w:tc>
        <w:tc>
          <w:tcPr>
            <w:tcW w:w="1559" w:type="dxa"/>
            <w:vAlign w:val="center"/>
          </w:tcPr>
          <w:p w14:paraId="63FDD7D9" w14:textId="739DA2FF"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$1,536,990</w:t>
            </w:r>
          </w:p>
        </w:tc>
      </w:tr>
      <w:tr w:rsidR="00A34A72" w14:paraId="23112C86" w14:textId="77777777" w:rsidTr="00635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BA9B59F" w14:textId="5A322938" w:rsidR="00A34A72" w:rsidRPr="009725EA" w:rsidRDefault="00A34A72" w:rsidP="00A34A72">
            <w:pPr>
              <w:rPr>
                <w:sz w:val="18"/>
                <w:szCs w:val="18"/>
              </w:rPr>
            </w:pPr>
            <w:r w:rsidRPr="009725EA">
              <w:rPr>
                <w:rFonts w:ascii="Calibri" w:hAnsi="Calibri" w:cs="Calibri"/>
                <w:color w:val="000000"/>
                <w:sz w:val="18"/>
                <w:szCs w:val="18"/>
              </w:rPr>
              <w:t>Montgomery Medical Center</w:t>
            </w:r>
          </w:p>
        </w:tc>
        <w:tc>
          <w:tcPr>
            <w:tcW w:w="810" w:type="dxa"/>
            <w:vAlign w:val="center"/>
          </w:tcPr>
          <w:p w14:paraId="08A95906" w14:textId="4750EDAD"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121%</w:t>
            </w:r>
          </w:p>
        </w:tc>
        <w:tc>
          <w:tcPr>
            <w:tcW w:w="1439" w:type="dxa"/>
            <w:vAlign w:val="center"/>
          </w:tcPr>
          <w:p w14:paraId="63C900DC" w14:textId="0F442915"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$0</w:t>
            </w:r>
          </w:p>
        </w:tc>
        <w:tc>
          <w:tcPr>
            <w:tcW w:w="2521" w:type="dxa"/>
            <w:vAlign w:val="bottom"/>
          </w:tcPr>
          <w:p w14:paraId="3132F547" w14:textId="097412CD" w:rsidR="00A34A72" w:rsidRPr="009725EA" w:rsidRDefault="00A34A72" w:rsidP="00A34A7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Upper Chesapeake </w:t>
            </w:r>
          </w:p>
        </w:tc>
        <w:tc>
          <w:tcPr>
            <w:tcW w:w="832" w:type="dxa"/>
            <w:vAlign w:val="center"/>
          </w:tcPr>
          <w:p w14:paraId="0AF87A37" w14:textId="7E5016A4"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130%</w:t>
            </w:r>
          </w:p>
        </w:tc>
        <w:tc>
          <w:tcPr>
            <w:tcW w:w="1559" w:type="dxa"/>
            <w:vAlign w:val="center"/>
          </w:tcPr>
          <w:p w14:paraId="79754627" w14:textId="0182F904"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$0</w:t>
            </w:r>
          </w:p>
        </w:tc>
      </w:tr>
      <w:tr w:rsidR="00A34A72" w14:paraId="439BBA30" w14:textId="77777777" w:rsidTr="00635218">
        <w:tc>
          <w:tcPr>
            <w:cnfStyle w:val="001000000000" w:firstRow="0" w:lastRow="0" w:firstColumn="1" w:lastColumn="0" w:oddVBand="0" w:evenVBand="0" w:oddHBand="0" w:evenHBand="0" w:firstRowFirstColumn="0" w:firstRowLastColumn="0" w:lastRowFirstColumn="0" w:lastRowLastColumn="0"/>
            <w:tcW w:w="2425" w:type="dxa"/>
          </w:tcPr>
          <w:p w14:paraId="64E5C8F3" w14:textId="51642C06" w:rsidR="00A34A72" w:rsidRPr="009725EA" w:rsidRDefault="00A34A72" w:rsidP="00A34A72">
            <w:pPr>
              <w:rPr>
                <w:sz w:val="18"/>
                <w:szCs w:val="18"/>
              </w:rPr>
            </w:pPr>
            <w:r w:rsidRPr="009725EA">
              <w:rPr>
                <w:rFonts w:ascii="Calibri" w:hAnsi="Calibri" w:cs="Calibri"/>
                <w:color w:val="000000"/>
                <w:sz w:val="18"/>
                <w:szCs w:val="18"/>
              </w:rPr>
              <w:t xml:space="preserve">MedStar Southern Maryland </w:t>
            </w:r>
          </w:p>
        </w:tc>
        <w:tc>
          <w:tcPr>
            <w:tcW w:w="810" w:type="dxa"/>
            <w:vAlign w:val="center"/>
          </w:tcPr>
          <w:p w14:paraId="5E5AFBED" w14:textId="06BAE17D"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129%</w:t>
            </w:r>
          </w:p>
        </w:tc>
        <w:tc>
          <w:tcPr>
            <w:tcW w:w="1439" w:type="dxa"/>
            <w:vAlign w:val="center"/>
          </w:tcPr>
          <w:p w14:paraId="637F9148" w14:textId="44E8C0CD" w:rsidR="00A34A72" w:rsidRPr="0060538F" w:rsidRDefault="00A34A72" w:rsidP="00A34A72">
            <w:pPr>
              <w:jc w:val="right"/>
              <w:cnfStyle w:val="000000000000" w:firstRow="0" w:lastRow="0" w:firstColumn="0" w:lastColumn="0" w:oddVBand="0" w:evenVBand="0" w:oddHBand="0" w:evenHBand="0" w:firstRowFirstColumn="0" w:firstRowLastColumn="0" w:lastRowFirstColumn="0" w:lastRowLastColumn="0"/>
              <w:rPr>
                <w:sz w:val="18"/>
                <w:szCs w:val="18"/>
              </w:rPr>
            </w:pPr>
            <w:r w:rsidRPr="0060538F">
              <w:rPr>
                <w:rFonts w:ascii="Calibri" w:hAnsi="Calibri" w:cs="Calibri"/>
                <w:color w:val="000000"/>
                <w:sz w:val="18"/>
                <w:szCs w:val="18"/>
              </w:rPr>
              <w:t>$0</w:t>
            </w:r>
          </w:p>
        </w:tc>
        <w:tc>
          <w:tcPr>
            <w:tcW w:w="2521" w:type="dxa"/>
            <w:vAlign w:val="bottom"/>
          </w:tcPr>
          <w:p w14:paraId="2FF55D5C" w14:textId="45020755" w:rsidR="00A34A72" w:rsidRPr="009725EA" w:rsidRDefault="00A34A72" w:rsidP="00A34A7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Washington Adventist </w:t>
            </w:r>
          </w:p>
        </w:tc>
        <w:tc>
          <w:tcPr>
            <w:tcW w:w="832" w:type="dxa"/>
            <w:vAlign w:val="center"/>
          </w:tcPr>
          <w:p w14:paraId="730B62F8" w14:textId="61818497"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105%</w:t>
            </w:r>
          </w:p>
        </w:tc>
        <w:tc>
          <w:tcPr>
            <w:tcW w:w="1559" w:type="dxa"/>
            <w:vAlign w:val="center"/>
          </w:tcPr>
          <w:p w14:paraId="16E0A80D" w14:textId="1897C2FB" w:rsidR="00A34A72" w:rsidRPr="00A34A72" w:rsidRDefault="00A34A72" w:rsidP="00A34A7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$0</w:t>
            </w:r>
          </w:p>
        </w:tc>
      </w:tr>
      <w:tr w:rsidR="00A34A72" w14:paraId="1EC3484A" w14:textId="77777777" w:rsidTr="00635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8429782" w14:textId="0AF9C47D" w:rsidR="00A34A72" w:rsidRPr="009725EA" w:rsidRDefault="00A34A72" w:rsidP="00A34A72">
            <w:pPr>
              <w:rPr>
                <w:sz w:val="18"/>
                <w:szCs w:val="18"/>
              </w:rPr>
            </w:pPr>
            <w:r w:rsidRPr="009725EA">
              <w:rPr>
                <w:rFonts w:ascii="Calibri" w:hAnsi="Calibri" w:cs="Calibri"/>
                <w:color w:val="000000"/>
                <w:sz w:val="18"/>
                <w:szCs w:val="18"/>
              </w:rPr>
              <w:t>MedStar St. Mary's Hospital</w:t>
            </w:r>
          </w:p>
        </w:tc>
        <w:tc>
          <w:tcPr>
            <w:tcW w:w="810" w:type="dxa"/>
            <w:vAlign w:val="center"/>
          </w:tcPr>
          <w:p w14:paraId="3DBB286C" w14:textId="4A693181"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138%</w:t>
            </w:r>
          </w:p>
        </w:tc>
        <w:tc>
          <w:tcPr>
            <w:tcW w:w="1439" w:type="dxa"/>
            <w:vAlign w:val="center"/>
          </w:tcPr>
          <w:p w14:paraId="500A9B0A" w14:textId="30395ED3" w:rsidR="00A34A72" w:rsidRPr="0060538F" w:rsidRDefault="00A34A72" w:rsidP="00A34A72">
            <w:pPr>
              <w:jc w:val="right"/>
              <w:cnfStyle w:val="000000100000" w:firstRow="0" w:lastRow="0" w:firstColumn="0" w:lastColumn="0" w:oddVBand="0" w:evenVBand="0" w:oddHBand="1" w:evenHBand="0" w:firstRowFirstColumn="0" w:firstRowLastColumn="0" w:lastRowFirstColumn="0" w:lastRowLastColumn="0"/>
              <w:rPr>
                <w:sz w:val="18"/>
                <w:szCs w:val="18"/>
              </w:rPr>
            </w:pPr>
            <w:r w:rsidRPr="0060538F">
              <w:rPr>
                <w:rFonts w:ascii="Calibri" w:hAnsi="Calibri" w:cs="Calibri"/>
                <w:color w:val="000000"/>
                <w:sz w:val="18"/>
                <w:szCs w:val="18"/>
              </w:rPr>
              <w:t>$0</w:t>
            </w:r>
          </w:p>
        </w:tc>
        <w:tc>
          <w:tcPr>
            <w:tcW w:w="2521" w:type="dxa"/>
            <w:vAlign w:val="bottom"/>
          </w:tcPr>
          <w:p w14:paraId="41EAA660" w14:textId="79E01EF1" w:rsidR="00A34A72" w:rsidRPr="009725EA" w:rsidRDefault="00A34A72" w:rsidP="00A34A72">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W. Maryland Regional </w:t>
            </w:r>
          </w:p>
        </w:tc>
        <w:tc>
          <w:tcPr>
            <w:tcW w:w="832" w:type="dxa"/>
            <w:vAlign w:val="center"/>
          </w:tcPr>
          <w:p w14:paraId="61FD7F40" w14:textId="40C88E2A"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105%</w:t>
            </w:r>
          </w:p>
        </w:tc>
        <w:tc>
          <w:tcPr>
            <w:tcW w:w="1559" w:type="dxa"/>
            <w:vAlign w:val="center"/>
          </w:tcPr>
          <w:p w14:paraId="550793F0" w14:textId="111FD754" w:rsidR="00A34A72" w:rsidRPr="00A34A72" w:rsidRDefault="00A34A72" w:rsidP="00A34A7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34A72">
              <w:rPr>
                <w:rFonts w:ascii="Calibri" w:hAnsi="Calibri" w:cs="Calibri"/>
                <w:color w:val="000000"/>
                <w:sz w:val="18"/>
                <w:szCs w:val="18"/>
              </w:rPr>
              <w:t>$0</w:t>
            </w:r>
          </w:p>
        </w:tc>
      </w:tr>
    </w:tbl>
    <w:p w14:paraId="05D2CAFA" w14:textId="77777777" w:rsidR="00CA5889" w:rsidRDefault="00CA5889" w:rsidP="00185514"/>
    <w:p w14:paraId="4F0C069E" w14:textId="3C21DE78" w:rsidR="0037400F" w:rsidRDefault="0037400F" w:rsidP="00C70EF5">
      <w:pPr>
        <w:pStyle w:val="Heading2"/>
        <w:rPr>
          <w:b/>
          <w:bCs/>
          <w:sz w:val="22"/>
          <w:szCs w:val="22"/>
        </w:rPr>
      </w:pPr>
      <w:bookmarkStart w:id="11" w:name="_Toc26373853"/>
      <w:r w:rsidRPr="00C247D1">
        <w:rPr>
          <w:b/>
          <w:bCs/>
          <w:sz w:val="22"/>
          <w:szCs w:val="22"/>
        </w:rPr>
        <w:t>Step 3B: Excess Capacity Adjustment</w:t>
      </w:r>
      <w:bookmarkEnd w:id="11"/>
    </w:p>
    <w:p w14:paraId="30739171" w14:textId="4D274A5D" w:rsidR="00BC76EE" w:rsidRDefault="00315C68" w:rsidP="006B2359">
      <w:r>
        <w:t xml:space="preserve">Staff recommends removing the fixed costs associated with </w:t>
      </w:r>
      <w:r w:rsidR="00996CA2">
        <w:t xml:space="preserve">volume declines </w:t>
      </w:r>
      <w:r w:rsidR="006C197B">
        <w:t xml:space="preserve">from the amount of capital funding </w:t>
      </w:r>
      <w:r w:rsidR="00C22AA9">
        <w:t xml:space="preserve">that the </w:t>
      </w:r>
      <w:r w:rsidR="003F3CBE">
        <w:t>hospital can receive</w:t>
      </w:r>
      <w:r w:rsidR="00E75345">
        <w:t xml:space="preserve"> for two reasons. First, </w:t>
      </w:r>
      <w:r w:rsidR="003F3CBE">
        <w:t xml:space="preserve">excess and empty </w:t>
      </w:r>
      <w:r w:rsidR="007152EF">
        <w:t>beds</w:t>
      </w:r>
      <w:r w:rsidR="00E75345">
        <w:t xml:space="preserve"> should </w:t>
      </w:r>
      <w:r w:rsidR="00793944">
        <w:t xml:space="preserve">not </w:t>
      </w:r>
      <w:r w:rsidR="00922AB7">
        <w:t xml:space="preserve">be </w:t>
      </w:r>
      <w:r w:rsidR="00793944">
        <w:t>rebuilt</w:t>
      </w:r>
      <w:r w:rsidR="00ED79AD">
        <w:t xml:space="preserve">. And second, </w:t>
      </w:r>
      <w:r w:rsidR="008F4AF2">
        <w:t xml:space="preserve">the </w:t>
      </w:r>
      <w:r w:rsidR="000C42A4">
        <w:t xml:space="preserve">savings from eliminating those excess costs are retained </w:t>
      </w:r>
      <w:r w:rsidR="0010699E">
        <w:t xml:space="preserve">at the hospital and could be repurposed to finance new capital projects. </w:t>
      </w:r>
      <w:r w:rsidR="00891D34">
        <w:t xml:space="preserve">The excess capacity adjustment is calculated </w:t>
      </w:r>
      <w:r w:rsidR="00C85536">
        <w:t xml:space="preserve">in two steps: </w:t>
      </w:r>
    </w:p>
    <w:p w14:paraId="7A6FB2DC" w14:textId="4910533F" w:rsidR="00605BB5" w:rsidRDefault="00C85536" w:rsidP="00DB6F6C">
      <w:pPr>
        <w:pStyle w:val="ListParagraph"/>
        <w:numPr>
          <w:ilvl w:val="0"/>
          <w:numId w:val="7"/>
        </w:numPr>
      </w:pPr>
      <w:r>
        <w:t xml:space="preserve">First, </w:t>
      </w:r>
      <w:r w:rsidR="00CF582E">
        <w:t>s</w:t>
      </w:r>
      <w:r>
        <w:t>taff will calculate the difference between the 2010 patient days plus the 2013 OP surgery visits</w:t>
      </w:r>
      <w:r w:rsidR="00064F71">
        <w:t xml:space="preserve"> with a length of stay greater than 1</w:t>
      </w:r>
      <w:r>
        <w:rPr>
          <w:rStyle w:val="FootnoteReference"/>
        </w:rPr>
        <w:footnoteReference w:id="4"/>
      </w:r>
      <w:r>
        <w:t xml:space="preserve"> and current </w:t>
      </w:r>
      <w:r w:rsidR="00A21BDC">
        <w:t xml:space="preserve">patient days, </w:t>
      </w:r>
      <w:r w:rsidR="00D94151">
        <w:t xml:space="preserve">plus </w:t>
      </w:r>
      <w:r w:rsidR="00A21BDC">
        <w:t>OP surgery visits</w:t>
      </w:r>
      <w:r w:rsidR="00064F71">
        <w:t xml:space="preserve"> with a length of stay greater than 1</w:t>
      </w:r>
      <w:r w:rsidR="00A21BDC">
        <w:t xml:space="preserve">, and </w:t>
      </w:r>
      <w:r w:rsidR="00D94151">
        <w:t xml:space="preserve">plus </w:t>
      </w:r>
      <w:r w:rsidR="00A21BDC">
        <w:t>observation stays</w:t>
      </w:r>
      <w:r w:rsidR="00064F71">
        <w:t xml:space="preserve"> with a length of stay greater than 1</w:t>
      </w:r>
      <w:r>
        <w:t>.</w:t>
      </w:r>
    </w:p>
    <w:p w14:paraId="77AB3871" w14:textId="57C50128" w:rsidR="00612AF5" w:rsidRDefault="00477C70" w:rsidP="00612AF5">
      <w:pPr>
        <w:pStyle w:val="ListParagraph"/>
        <w:numPr>
          <w:ilvl w:val="0"/>
          <w:numId w:val="7"/>
        </w:numPr>
      </w:pPr>
      <w:r>
        <w:t>Second</w:t>
      </w:r>
      <w:r w:rsidR="00042987">
        <w:t xml:space="preserve">, </w:t>
      </w:r>
      <w:r w:rsidR="00CF582E">
        <w:t>s</w:t>
      </w:r>
      <w:r w:rsidR="00211207">
        <w:t xml:space="preserve">taff have estimated the </w:t>
      </w:r>
      <w:r w:rsidR="00D567BD">
        <w:t xml:space="preserve">statewide </w:t>
      </w:r>
      <w:r w:rsidR="00B13BB8">
        <w:t xml:space="preserve">fixed cost per bed day to </w:t>
      </w:r>
      <w:r w:rsidR="009A65A1">
        <w:t>b</w:t>
      </w:r>
      <w:r w:rsidR="00D54755">
        <w:t>e</w:t>
      </w:r>
      <w:r w:rsidR="009A65A1">
        <w:t xml:space="preserve"> $1</w:t>
      </w:r>
      <w:r w:rsidR="00064F71">
        <w:t>,</w:t>
      </w:r>
      <w:r w:rsidR="009A65A1">
        <w:t xml:space="preserve">201 dollars. </w:t>
      </w:r>
      <w:r w:rsidR="00934DDE">
        <w:t xml:space="preserve">The excess capacity adjustment </w:t>
      </w:r>
      <w:r w:rsidR="00CC1F26">
        <w:t>is equal to $1</w:t>
      </w:r>
      <w:r w:rsidR="00064F71">
        <w:t>,</w:t>
      </w:r>
      <w:r w:rsidR="00CC1F26">
        <w:t xml:space="preserve">201 times </w:t>
      </w:r>
      <w:r w:rsidR="002E6045">
        <w:t>the reduction in patient days since 2010</w:t>
      </w:r>
      <w:r w:rsidR="0016707A">
        <w:t>.</w:t>
      </w:r>
      <w:r w:rsidR="002E6045">
        <w:t xml:space="preserve"> However, between 2010 and 2014, the State funded volume growth/declines at 85</w:t>
      </w:r>
      <w:r w:rsidR="00CF582E">
        <w:t xml:space="preserve"> percent</w:t>
      </w:r>
      <w:r w:rsidR="00D94151">
        <w:t xml:space="preserve"> for</w:t>
      </w:r>
      <w:r w:rsidR="002E6045">
        <w:t xml:space="preserve"> the variable cost. Under current policy, volume growth/decline due to market shift or deregulation is funded at 50</w:t>
      </w:r>
      <w:r w:rsidR="00CF582E">
        <w:t xml:space="preserve"> percent</w:t>
      </w:r>
      <w:r w:rsidR="00D94151">
        <w:t xml:space="preserve"> for </w:t>
      </w:r>
      <w:r w:rsidR="002E6045">
        <w:t>variable costs. Therefore, the hospitals’ excess capacity adjustment will be credited 35</w:t>
      </w:r>
      <w:r w:rsidR="00CF582E">
        <w:t xml:space="preserve"> percent</w:t>
      </w:r>
      <w:r w:rsidR="00D94151">
        <w:t xml:space="preserve"> for</w:t>
      </w:r>
      <w:r w:rsidR="002E6045">
        <w:t xml:space="preserve"> variable </w:t>
      </w:r>
      <w:r w:rsidR="009A5B3E">
        <w:t xml:space="preserve">cost for volume declines that occurred </w:t>
      </w:r>
      <w:r w:rsidR="009A5B3E">
        <w:lastRenderedPageBreak/>
        <w:t xml:space="preserve">between 2010 and 2014, since that money has already been removed. </w:t>
      </w:r>
      <w:r w:rsidR="00064F71">
        <w:t>Future iterations of this policy will recalculate this value.</w:t>
      </w:r>
    </w:p>
    <w:p w14:paraId="113BBB4E" w14:textId="77777777" w:rsidR="001630A6" w:rsidRDefault="00723BEE" w:rsidP="00723BEE">
      <w:r>
        <w:t xml:space="preserve">The dollar values of the excess capacity adjustment </w:t>
      </w:r>
      <w:r w:rsidR="00801C61">
        <w:t xml:space="preserve">will be </w:t>
      </w:r>
      <w:r w:rsidR="00A001BF">
        <w:t xml:space="preserve">subtracted from the </w:t>
      </w:r>
      <w:r w:rsidR="0016081B">
        <w:t xml:space="preserve">cost of </w:t>
      </w:r>
      <w:r w:rsidR="000E346E">
        <w:t xml:space="preserve">whatever capital </w:t>
      </w:r>
      <w:r w:rsidR="008E5C91">
        <w:t>funding the hospital would otherwise be eligible to receive.</w:t>
      </w:r>
      <w:r w:rsidR="00B53DCC">
        <w:t xml:space="preserve"> No </w:t>
      </w:r>
      <w:r w:rsidR="00064F71">
        <w:t xml:space="preserve">adjustment </w:t>
      </w:r>
      <w:r w:rsidR="00B53DCC">
        <w:t>is given to a hospital whose volume has</w:t>
      </w:r>
      <w:r w:rsidR="00064F71">
        <w:t xml:space="preserve"> remained the same or</w:t>
      </w:r>
      <w:r w:rsidR="00B53DCC">
        <w:t xml:space="preserve"> grown.</w:t>
      </w:r>
      <w:r w:rsidR="001630A6">
        <w:t xml:space="preserve">  </w:t>
      </w:r>
    </w:p>
    <w:p w14:paraId="16819DF3" w14:textId="644941E3" w:rsidR="0019619A" w:rsidRPr="0019619A" w:rsidRDefault="0019619A" w:rsidP="0019619A">
      <w:pPr>
        <w:pStyle w:val="Caption"/>
        <w:keepNext/>
        <w:rPr>
          <w:b/>
          <w:bCs/>
          <w:sz w:val="22"/>
          <w:szCs w:val="22"/>
        </w:rPr>
      </w:pPr>
      <w:r w:rsidRPr="0019619A">
        <w:rPr>
          <w:b/>
          <w:bCs/>
          <w:sz w:val="22"/>
          <w:szCs w:val="22"/>
        </w:rPr>
        <w:t xml:space="preserve">Table </w:t>
      </w:r>
      <w:r w:rsidRPr="0019619A">
        <w:rPr>
          <w:b/>
          <w:bCs/>
          <w:sz w:val="22"/>
          <w:szCs w:val="22"/>
        </w:rPr>
        <w:fldChar w:fldCharType="begin"/>
      </w:r>
      <w:r w:rsidRPr="0019619A">
        <w:rPr>
          <w:b/>
          <w:bCs/>
          <w:sz w:val="22"/>
          <w:szCs w:val="22"/>
        </w:rPr>
        <w:instrText xml:space="preserve"> SEQ Table \* ARABIC </w:instrText>
      </w:r>
      <w:r w:rsidRPr="0019619A">
        <w:rPr>
          <w:b/>
          <w:bCs/>
          <w:sz w:val="22"/>
          <w:szCs w:val="22"/>
        </w:rPr>
        <w:fldChar w:fldCharType="separate"/>
      </w:r>
      <w:r w:rsidR="000D0D4B">
        <w:rPr>
          <w:b/>
          <w:bCs/>
          <w:noProof/>
          <w:sz w:val="22"/>
          <w:szCs w:val="22"/>
        </w:rPr>
        <w:t>3</w:t>
      </w:r>
      <w:r w:rsidRPr="0019619A">
        <w:rPr>
          <w:b/>
          <w:bCs/>
          <w:sz w:val="22"/>
          <w:szCs w:val="22"/>
        </w:rPr>
        <w:fldChar w:fldCharType="end"/>
      </w:r>
      <w:r w:rsidRPr="0019619A">
        <w:rPr>
          <w:b/>
          <w:bCs/>
          <w:sz w:val="22"/>
          <w:szCs w:val="22"/>
        </w:rPr>
        <w:t>: Excess Capacity Adjustment</w:t>
      </w:r>
      <w:r w:rsidR="00095EBB">
        <w:rPr>
          <w:b/>
          <w:bCs/>
          <w:sz w:val="22"/>
          <w:szCs w:val="22"/>
        </w:rPr>
        <w:t xml:space="preserve"> by Hospital</w:t>
      </w:r>
    </w:p>
    <w:tbl>
      <w:tblPr>
        <w:tblStyle w:val="ListTable4-Accent1"/>
        <w:tblW w:w="9586" w:type="dxa"/>
        <w:tblLayout w:type="fixed"/>
        <w:tblLook w:val="04A0" w:firstRow="1" w:lastRow="0" w:firstColumn="1" w:lastColumn="0" w:noHBand="0" w:noVBand="1"/>
      </w:tblPr>
      <w:tblGrid>
        <w:gridCol w:w="2425"/>
        <w:gridCol w:w="810"/>
        <w:gridCol w:w="1439"/>
        <w:gridCol w:w="2521"/>
        <w:gridCol w:w="832"/>
        <w:gridCol w:w="1559"/>
      </w:tblGrid>
      <w:tr w:rsidR="0052418C" w14:paraId="6309D109" w14:textId="77777777" w:rsidTr="00972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4C83012C" w14:textId="0A875E13" w:rsidR="0052418C" w:rsidRPr="009725EA" w:rsidRDefault="0052418C" w:rsidP="00677DC9">
            <w:pPr>
              <w:jc w:val="center"/>
              <w:rPr>
                <w:sz w:val="18"/>
                <w:szCs w:val="18"/>
              </w:rPr>
            </w:pPr>
            <w:r w:rsidRPr="009725EA">
              <w:rPr>
                <w:sz w:val="18"/>
                <w:szCs w:val="18"/>
              </w:rPr>
              <w:t>Hospital</w:t>
            </w:r>
          </w:p>
        </w:tc>
        <w:tc>
          <w:tcPr>
            <w:tcW w:w="810" w:type="dxa"/>
            <w:vAlign w:val="center"/>
          </w:tcPr>
          <w:p w14:paraId="58D0C6F4" w14:textId="5DB83A23" w:rsidR="0052418C" w:rsidRPr="009725EA" w:rsidRDefault="0052418C" w:rsidP="00913EC9">
            <w:pPr>
              <w:jc w:val="right"/>
              <w:cnfStyle w:val="100000000000" w:firstRow="1" w:lastRow="0" w:firstColumn="0" w:lastColumn="0" w:oddVBand="0" w:evenVBand="0" w:oddHBand="0" w:evenHBand="0" w:firstRowFirstColumn="0" w:firstRowLastColumn="0" w:lastRowFirstColumn="0" w:lastRowLastColumn="0"/>
              <w:rPr>
                <w:sz w:val="18"/>
                <w:szCs w:val="18"/>
              </w:rPr>
            </w:pPr>
            <w:r w:rsidRPr="009725EA">
              <w:rPr>
                <w:sz w:val="18"/>
                <w:szCs w:val="18"/>
              </w:rPr>
              <w:t xml:space="preserve">Change </w:t>
            </w:r>
            <w:r w:rsidR="00E87DCF" w:rsidRPr="009725EA">
              <w:rPr>
                <w:sz w:val="18"/>
                <w:szCs w:val="18"/>
              </w:rPr>
              <w:t xml:space="preserve">from </w:t>
            </w:r>
            <w:r w:rsidRPr="009725EA">
              <w:rPr>
                <w:sz w:val="18"/>
                <w:szCs w:val="18"/>
              </w:rPr>
              <w:t>2010</w:t>
            </w:r>
          </w:p>
        </w:tc>
        <w:tc>
          <w:tcPr>
            <w:tcW w:w="1439" w:type="dxa"/>
            <w:vAlign w:val="center"/>
          </w:tcPr>
          <w:p w14:paraId="5C6D73E7" w14:textId="46209F47" w:rsidR="0052418C" w:rsidRPr="009725EA" w:rsidRDefault="0052418C" w:rsidP="00913EC9">
            <w:pPr>
              <w:jc w:val="right"/>
              <w:cnfStyle w:val="100000000000" w:firstRow="1" w:lastRow="0" w:firstColumn="0" w:lastColumn="0" w:oddVBand="0" w:evenVBand="0" w:oddHBand="0" w:evenHBand="0" w:firstRowFirstColumn="0" w:firstRowLastColumn="0" w:lastRowFirstColumn="0" w:lastRowLastColumn="0"/>
              <w:rPr>
                <w:sz w:val="18"/>
                <w:szCs w:val="18"/>
              </w:rPr>
            </w:pPr>
            <w:r w:rsidRPr="009725EA">
              <w:rPr>
                <w:sz w:val="18"/>
                <w:szCs w:val="18"/>
              </w:rPr>
              <w:t>Excess Capacity Adj.</w:t>
            </w:r>
          </w:p>
        </w:tc>
        <w:tc>
          <w:tcPr>
            <w:tcW w:w="2521" w:type="dxa"/>
            <w:vAlign w:val="center"/>
          </w:tcPr>
          <w:p w14:paraId="6E044905" w14:textId="10503430" w:rsidR="0052418C" w:rsidRPr="009725EA" w:rsidRDefault="0052418C" w:rsidP="00677DC9">
            <w:pPr>
              <w:jc w:val="center"/>
              <w:cnfStyle w:val="100000000000" w:firstRow="1" w:lastRow="0" w:firstColumn="0" w:lastColumn="0" w:oddVBand="0" w:evenVBand="0" w:oddHBand="0" w:evenHBand="0" w:firstRowFirstColumn="0" w:firstRowLastColumn="0" w:lastRowFirstColumn="0" w:lastRowLastColumn="0"/>
              <w:rPr>
                <w:sz w:val="18"/>
                <w:szCs w:val="18"/>
              </w:rPr>
            </w:pPr>
            <w:r w:rsidRPr="009725EA">
              <w:rPr>
                <w:sz w:val="18"/>
                <w:szCs w:val="18"/>
              </w:rPr>
              <w:t>Hospital</w:t>
            </w:r>
          </w:p>
        </w:tc>
        <w:tc>
          <w:tcPr>
            <w:tcW w:w="832" w:type="dxa"/>
            <w:vAlign w:val="center"/>
          </w:tcPr>
          <w:p w14:paraId="7B7D5243" w14:textId="77777777" w:rsidR="00E87DCF" w:rsidRPr="009725EA" w:rsidRDefault="0052418C" w:rsidP="00913EC9">
            <w:pPr>
              <w:jc w:val="right"/>
              <w:cnfStyle w:val="100000000000" w:firstRow="1" w:lastRow="0" w:firstColumn="0" w:lastColumn="0" w:oddVBand="0" w:evenVBand="0" w:oddHBand="0" w:evenHBand="0" w:firstRowFirstColumn="0" w:firstRowLastColumn="0" w:lastRowFirstColumn="0" w:lastRowLastColumn="0"/>
              <w:rPr>
                <w:b w:val="0"/>
                <w:bCs w:val="0"/>
                <w:sz w:val="18"/>
                <w:szCs w:val="18"/>
              </w:rPr>
            </w:pPr>
            <w:r w:rsidRPr="009725EA">
              <w:rPr>
                <w:sz w:val="18"/>
                <w:szCs w:val="18"/>
              </w:rPr>
              <w:t xml:space="preserve">Change </w:t>
            </w:r>
          </w:p>
          <w:p w14:paraId="3572386F" w14:textId="6ACDFD5A" w:rsidR="0052418C" w:rsidRPr="009725EA" w:rsidRDefault="00E87DCF" w:rsidP="00913EC9">
            <w:pPr>
              <w:jc w:val="right"/>
              <w:cnfStyle w:val="100000000000" w:firstRow="1" w:lastRow="0" w:firstColumn="0" w:lastColumn="0" w:oddVBand="0" w:evenVBand="0" w:oddHBand="0" w:evenHBand="0" w:firstRowFirstColumn="0" w:firstRowLastColumn="0" w:lastRowFirstColumn="0" w:lastRowLastColumn="0"/>
              <w:rPr>
                <w:sz w:val="18"/>
                <w:szCs w:val="18"/>
              </w:rPr>
            </w:pPr>
            <w:r w:rsidRPr="009725EA">
              <w:rPr>
                <w:sz w:val="18"/>
                <w:szCs w:val="18"/>
              </w:rPr>
              <w:t>from</w:t>
            </w:r>
            <w:r w:rsidR="0052418C" w:rsidRPr="009725EA">
              <w:rPr>
                <w:sz w:val="18"/>
                <w:szCs w:val="18"/>
              </w:rPr>
              <w:t xml:space="preserve"> 2010</w:t>
            </w:r>
          </w:p>
        </w:tc>
        <w:tc>
          <w:tcPr>
            <w:tcW w:w="1559" w:type="dxa"/>
            <w:vAlign w:val="center"/>
          </w:tcPr>
          <w:p w14:paraId="79EBB849" w14:textId="39C64657" w:rsidR="0052418C" w:rsidRPr="009725EA" w:rsidRDefault="0052418C" w:rsidP="00913EC9">
            <w:pPr>
              <w:jc w:val="right"/>
              <w:cnfStyle w:val="100000000000" w:firstRow="1" w:lastRow="0" w:firstColumn="0" w:lastColumn="0" w:oddVBand="0" w:evenVBand="0" w:oddHBand="0" w:evenHBand="0" w:firstRowFirstColumn="0" w:firstRowLastColumn="0" w:lastRowFirstColumn="0" w:lastRowLastColumn="0"/>
              <w:rPr>
                <w:sz w:val="18"/>
                <w:szCs w:val="18"/>
              </w:rPr>
            </w:pPr>
            <w:r w:rsidRPr="009725EA">
              <w:rPr>
                <w:sz w:val="18"/>
                <w:szCs w:val="18"/>
              </w:rPr>
              <w:t>Excess Capacity Adj.</w:t>
            </w:r>
          </w:p>
        </w:tc>
      </w:tr>
      <w:tr w:rsidR="00D5463B" w14:paraId="66397FA0" w14:textId="77777777" w:rsidTr="00972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AA544AD" w14:textId="79C53606" w:rsidR="00D5463B" w:rsidRPr="009725EA" w:rsidRDefault="00D5463B" w:rsidP="00D5463B">
            <w:pPr>
              <w:rPr>
                <w:sz w:val="18"/>
                <w:szCs w:val="18"/>
              </w:rPr>
            </w:pPr>
            <w:r w:rsidRPr="009725EA">
              <w:rPr>
                <w:rFonts w:ascii="Calibri" w:hAnsi="Calibri" w:cs="Calibri"/>
                <w:color w:val="000000"/>
                <w:sz w:val="18"/>
                <w:szCs w:val="18"/>
              </w:rPr>
              <w:t xml:space="preserve">Anne Arundel </w:t>
            </w:r>
          </w:p>
        </w:tc>
        <w:tc>
          <w:tcPr>
            <w:tcW w:w="810" w:type="dxa"/>
            <w:vAlign w:val="center"/>
          </w:tcPr>
          <w:p w14:paraId="014864BD" w14:textId="5107B33F"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7652</w:t>
            </w:r>
          </w:p>
        </w:tc>
        <w:tc>
          <w:tcPr>
            <w:tcW w:w="1439" w:type="dxa"/>
            <w:vAlign w:val="center"/>
          </w:tcPr>
          <w:p w14:paraId="514D4980" w14:textId="2F746954"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$0</w:t>
            </w:r>
          </w:p>
        </w:tc>
        <w:tc>
          <w:tcPr>
            <w:tcW w:w="2521" w:type="dxa"/>
            <w:vAlign w:val="bottom"/>
          </w:tcPr>
          <w:p w14:paraId="1D099F1A" w14:textId="5A4113D4" w:rsidR="00D5463B" w:rsidRPr="009725EA" w:rsidRDefault="00D5463B" w:rsidP="00284F61">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MedStar Union Hospital</w:t>
            </w:r>
          </w:p>
        </w:tc>
        <w:tc>
          <w:tcPr>
            <w:tcW w:w="832" w:type="dxa"/>
            <w:vAlign w:val="center"/>
          </w:tcPr>
          <w:p w14:paraId="15296118" w14:textId="71D109E0"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-19341</w:t>
            </w:r>
          </w:p>
        </w:tc>
        <w:tc>
          <w:tcPr>
            <w:tcW w:w="1559" w:type="dxa"/>
            <w:vAlign w:val="center"/>
          </w:tcPr>
          <w:p w14:paraId="6F7E957B" w14:textId="7B74D36D"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-$23,236,327</w:t>
            </w:r>
          </w:p>
        </w:tc>
      </w:tr>
      <w:tr w:rsidR="00D5463B" w14:paraId="226FF406" w14:textId="77777777" w:rsidTr="009725EA">
        <w:tc>
          <w:tcPr>
            <w:cnfStyle w:val="001000000000" w:firstRow="0" w:lastRow="0" w:firstColumn="1" w:lastColumn="0" w:oddVBand="0" w:evenVBand="0" w:oddHBand="0" w:evenHBand="0" w:firstRowFirstColumn="0" w:firstRowLastColumn="0" w:lastRowFirstColumn="0" w:lastRowLastColumn="0"/>
            <w:tcW w:w="2425" w:type="dxa"/>
          </w:tcPr>
          <w:p w14:paraId="46E2055A" w14:textId="1FF99582" w:rsidR="00D5463B" w:rsidRPr="009725EA" w:rsidRDefault="00D5463B" w:rsidP="00D5463B">
            <w:pPr>
              <w:rPr>
                <w:sz w:val="18"/>
                <w:szCs w:val="18"/>
              </w:rPr>
            </w:pPr>
            <w:r w:rsidRPr="009725EA">
              <w:rPr>
                <w:rFonts w:ascii="Calibri" w:hAnsi="Calibri" w:cs="Calibri"/>
                <w:color w:val="000000"/>
                <w:sz w:val="18"/>
                <w:szCs w:val="18"/>
              </w:rPr>
              <w:t>Atlantic General Hospital</w:t>
            </w:r>
          </w:p>
        </w:tc>
        <w:tc>
          <w:tcPr>
            <w:tcW w:w="810" w:type="dxa"/>
            <w:vAlign w:val="center"/>
          </w:tcPr>
          <w:p w14:paraId="67F41A92" w14:textId="44E95579"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-2384</w:t>
            </w:r>
          </w:p>
        </w:tc>
        <w:tc>
          <w:tcPr>
            <w:tcW w:w="1439" w:type="dxa"/>
            <w:vAlign w:val="center"/>
          </w:tcPr>
          <w:p w14:paraId="1AAC3AD1" w14:textId="4680D41B"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-$2,864,144</w:t>
            </w:r>
          </w:p>
        </w:tc>
        <w:tc>
          <w:tcPr>
            <w:tcW w:w="2521" w:type="dxa"/>
            <w:vAlign w:val="bottom"/>
          </w:tcPr>
          <w:p w14:paraId="5C592D5B" w14:textId="4BE002F2" w:rsidR="00D5463B" w:rsidRPr="009725EA" w:rsidRDefault="00D5463B" w:rsidP="00284F61">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Mercy Medical Center</w:t>
            </w:r>
          </w:p>
        </w:tc>
        <w:tc>
          <w:tcPr>
            <w:tcW w:w="832" w:type="dxa"/>
            <w:vAlign w:val="center"/>
          </w:tcPr>
          <w:p w14:paraId="642DD632" w14:textId="6BDDCB9D"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-12517</w:t>
            </w:r>
          </w:p>
        </w:tc>
        <w:tc>
          <w:tcPr>
            <w:tcW w:w="1559" w:type="dxa"/>
            <w:vAlign w:val="center"/>
          </w:tcPr>
          <w:p w14:paraId="4D7F29B5" w14:textId="36D92DBD"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-$15,037,956</w:t>
            </w:r>
          </w:p>
        </w:tc>
      </w:tr>
      <w:tr w:rsidR="00D5463B" w14:paraId="325187E2" w14:textId="77777777" w:rsidTr="00972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BF159E7" w14:textId="5755DEC8" w:rsidR="00D5463B" w:rsidRPr="009725EA" w:rsidRDefault="00D5463B" w:rsidP="00D5463B">
            <w:pPr>
              <w:rPr>
                <w:sz w:val="18"/>
                <w:szCs w:val="18"/>
              </w:rPr>
            </w:pPr>
            <w:r w:rsidRPr="009725EA">
              <w:rPr>
                <w:rFonts w:ascii="Calibri" w:hAnsi="Calibri" w:cs="Calibri"/>
                <w:color w:val="000000"/>
                <w:sz w:val="18"/>
                <w:szCs w:val="18"/>
              </w:rPr>
              <w:t>Bon Secours Hospital</w:t>
            </w:r>
          </w:p>
        </w:tc>
        <w:tc>
          <w:tcPr>
            <w:tcW w:w="810" w:type="dxa"/>
            <w:vAlign w:val="center"/>
          </w:tcPr>
          <w:p w14:paraId="3512D6F3" w14:textId="145089BB"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-17420</w:t>
            </w:r>
          </w:p>
        </w:tc>
        <w:tc>
          <w:tcPr>
            <w:tcW w:w="1439" w:type="dxa"/>
            <w:vAlign w:val="center"/>
          </w:tcPr>
          <w:p w14:paraId="2ECCEE90" w14:textId="70C09410"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-$20,928,433</w:t>
            </w:r>
          </w:p>
        </w:tc>
        <w:tc>
          <w:tcPr>
            <w:tcW w:w="2521" w:type="dxa"/>
            <w:vAlign w:val="bottom"/>
          </w:tcPr>
          <w:p w14:paraId="06E8CC54" w14:textId="44BC6E1F" w:rsidR="00D5463B" w:rsidRPr="009725EA" w:rsidRDefault="00D5463B" w:rsidP="00284F61">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Meritus Medical Center</w:t>
            </w:r>
          </w:p>
        </w:tc>
        <w:tc>
          <w:tcPr>
            <w:tcW w:w="832" w:type="dxa"/>
            <w:vAlign w:val="center"/>
          </w:tcPr>
          <w:p w14:paraId="2BF366F8" w14:textId="0BD97986"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-4057</w:t>
            </w:r>
          </w:p>
        </w:tc>
        <w:tc>
          <w:tcPr>
            <w:tcW w:w="1559" w:type="dxa"/>
            <w:vAlign w:val="center"/>
          </w:tcPr>
          <w:p w14:paraId="33C1F144" w14:textId="3117D07D"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-$4,874,090</w:t>
            </w:r>
          </w:p>
        </w:tc>
      </w:tr>
      <w:tr w:rsidR="00D5463B" w14:paraId="691953E1" w14:textId="77777777" w:rsidTr="009725EA">
        <w:tc>
          <w:tcPr>
            <w:cnfStyle w:val="001000000000" w:firstRow="0" w:lastRow="0" w:firstColumn="1" w:lastColumn="0" w:oddVBand="0" w:evenVBand="0" w:oddHBand="0" w:evenHBand="0" w:firstRowFirstColumn="0" w:firstRowLastColumn="0" w:lastRowFirstColumn="0" w:lastRowLastColumn="0"/>
            <w:tcW w:w="2425" w:type="dxa"/>
          </w:tcPr>
          <w:p w14:paraId="7CD6BC32" w14:textId="26FD0E71" w:rsidR="00D5463B" w:rsidRPr="009725EA" w:rsidRDefault="00D5463B" w:rsidP="00D5463B">
            <w:pPr>
              <w:rPr>
                <w:sz w:val="18"/>
                <w:szCs w:val="18"/>
              </w:rPr>
            </w:pPr>
            <w:r w:rsidRPr="009725EA">
              <w:rPr>
                <w:rFonts w:ascii="Calibri" w:hAnsi="Calibri" w:cs="Calibri"/>
                <w:color w:val="000000"/>
                <w:sz w:val="18"/>
                <w:szCs w:val="18"/>
              </w:rPr>
              <w:t>Calvert Memorial Hospital</w:t>
            </w:r>
          </w:p>
        </w:tc>
        <w:tc>
          <w:tcPr>
            <w:tcW w:w="810" w:type="dxa"/>
            <w:vAlign w:val="center"/>
          </w:tcPr>
          <w:p w14:paraId="54FEB4DC" w14:textId="551FDCCA"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-5818</w:t>
            </w:r>
          </w:p>
        </w:tc>
        <w:tc>
          <w:tcPr>
            <w:tcW w:w="1439" w:type="dxa"/>
            <w:vAlign w:val="center"/>
          </w:tcPr>
          <w:p w14:paraId="4A6D4EF0" w14:textId="4266261F"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-$6,989,760</w:t>
            </w:r>
          </w:p>
        </w:tc>
        <w:tc>
          <w:tcPr>
            <w:tcW w:w="2521" w:type="dxa"/>
            <w:vAlign w:val="bottom"/>
          </w:tcPr>
          <w:p w14:paraId="5E7A200F" w14:textId="79A617D5" w:rsidR="00D5463B" w:rsidRPr="009725EA" w:rsidRDefault="00D5463B" w:rsidP="00284F61">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Northwest Hospital Center</w:t>
            </w:r>
          </w:p>
        </w:tc>
        <w:tc>
          <w:tcPr>
            <w:tcW w:w="832" w:type="dxa"/>
            <w:vAlign w:val="center"/>
          </w:tcPr>
          <w:p w14:paraId="0E2CB53F" w14:textId="73ED5111"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-3917</w:t>
            </w:r>
          </w:p>
        </w:tc>
        <w:tc>
          <w:tcPr>
            <w:tcW w:w="1559" w:type="dxa"/>
            <w:vAlign w:val="center"/>
          </w:tcPr>
          <w:p w14:paraId="6431E489" w14:textId="724C01C4"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-$4,705,894</w:t>
            </w:r>
          </w:p>
        </w:tc>
      </w:tr>
      <w:tr w:rsidR="00D5463B" w14:paraId="7F499C35" w14:textId="77777777" w:rsidTr="00972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BB3BF19" w14:textId="63D14CF3" w:rsidR="00D5463B" w:rsidRPr="009725EA" w:rsidRDefault="00D5463B" w:rsidP="00D5463B">
            <w:pPr>
              <w:rPr>
                <w:sz w:val="18"/>
                <w:szCs w:val="18"/>
              </w:rPr>
            </w:pPr>
            <w:r w:rsidRPr="009725EA">
              <w:rPr>
                <w:rFonts w:ascii="Calibri" w:hAnsi="Calibri" w:cs="Calibri"/>
                <w:color w:val="000000"/>
                <w:sz w:val="18"/>
                <w:szCs w:val="18"/>
              </w:rPr>
              <w:t>Carroll Hospital Center</w:t>
            </w:r>
          </w:p>
        </w:tc>
        <w:tc>
          <w:tcPr>
            <w:tcW w:w="810" w:type="dxa"/>
            <w:vAlign w:val="center"/>
          </w:tcPr>
          <w:p w14:paraId="09B6EC31" w14:textId="6F81F060"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-8213</w:t>
            </w:r>
          </w:p>
        </w:tc>
        <w:tc>
          <w:tcPr>
            <w:tcW w:w="1439" w:type="dxa"/>
            <w:vAlign w:val="center"/>
          </w:tcPr>
          <w:p w14:paraId="498FB990" w14:textId="66EF7481"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-$9,867,119</w:t>
            </w:r>
          </w:p>
        </w:tc>
        <w:tc>
          <w:tcPr>
            <w:tcW w:w="2521" w:type="dxa"/>
            <w:vAlign w:val="bottom"/>
          </w:tcPr>
          <w:p w14:paraId="29CEB822" w14:textId="0DA286D5" w:rsidR="00D5463B" w:rsidRPr="009725EA" w:rsidRDefault="00D5463B" w:rsidP="00284F61">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Peninsula Regional </w:t>
            </w:r>
          </w:p>
        </w:tc>
        <w:tc>
          <w:tcPr>
            <w:tcW w:w="832" w:type="dxa"/>
            <w:vAlign w:val="center"/>
          </w:tcPr>
          <w:p w14:paraId="7A7ABCA0" w14:textId="5DC82ABB"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-17516</w:t>
            </w:r>
          </w:p>
        </w:tc>
        <w:tc>
          <w:tcPr>
            <w:tcW w:w="1559" w:type="dxa"/>
            <w:vAlign w:val="center"/>
          </w:tcPr>
          <w:p w14:paraId="51A342E1" w14:textId="631C42F7"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-$21,043,767</w:t>
            </w:r>
          </w:p>
        </w:tc>
      </w:tr>
      <w:tr w:rsidR="00D5463B" w14:paraId="12A3418E" w14:textId="77777777" w:rsidTr="009725EA">
        <w:tc>
          <w:tcPr>
            <w:cnfStyle w:val="001000000000" w:firstRow="0" w:lastRow="0" w:firstColumn="1" w:lastColumn="0" w:oddVBand="0" w:evenVBand="0" w:oddHBand="0" w:evenHBand="0" w:firstRowFirstColumn="0" w:firstRowLastColumn="0" w:lastRowFirstColumn="0" w:lastRowLastColumn="0"/>
            <w:tcW w:w="2425" w:type="dxa"/>
          </w:tcPr>
          <w:p w14:paraId="45FAA1BA" w14:textId="0B556CC8" w:rsidR="00D5463B" w:rsidRPr="009725EA" w:rsidRDefault="00D5463B" w:rsidP="00D5463B">
            <w:pPr>
              <w:rPr>
                <w:sz w:val="18"/>
                <w:szCs w:val="18"/>
              </w:rPr>
            </w:pPr>
            <w:r w:rsidRPr="009725EA">
              <w:rPr>
                <w:rFonts w:ascii="Calibri" w:hAnsi="Calibri" w:cs="Calibri"/>
                <w:color w:val="000000"/>
                <w:sz w:val="18"/>
                <w:szCs w:val="18"/>
              </w:rPr>
              <w:t>Doctors Community Hospital</w:t>
            </w:r>
          </w:p>
        </w:tc>
        <w:tc>
          <w:tcPr>
            <w:tcW w:w="810" w:type="dxa"/>
            <w:vAlign w:val="center"/>
          </w:tcPr>
          <w:p w14:paraId="3B1B3BCE" w14:textId="673AE80E"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540</w:t>
            </w:r>
          </w:p>
        </w:tc>
        <w:tc>
          <w:tcPr>
            <w:tcW w:w="1439" w:type="dxa"/>
            <w:vAlign w:val="center"/>
          </w:tcPr>
          <w:p w14:paraId="1ED22282" w14:textId="59E55227"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$0</w:t>
            </w:r>
          </w:p>
        </w:tc>
        <w:tc>
          <w:tcPr>
            <w:tcW w:w="2521" w:type="dxa"/>
            <w:vAlign w:val="bottom"/>
          </w:tcPr>
          <w:p w14:paraId="7E829271" w14:textId="2F1B528D" w:rsidR="00D5463B" w:rsidRPr="009725EA" w:rsidRDefault="00D5463B" w:rsidP="00284F61">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Prince Georges </w:t>
            </w:r>
          </w:p>
        </w:tc>
        <w:tc>
          <w:tcPr>
            <w:tcW w:w="832" w:type="dxa"/>
            <w:vAlign w:val="center"/>
          </w:tcPr>
          <w:p w14:paraId="7238E23F" w14:textId="506D7CE6"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-8313</w:t>
            </w:r>
          </w:p>
        </w:tc>
        <w:tc>
          <w:tcPr>
            <w:tcW w:w="1559" w:type="dxa"/>
            <w:vAlign w:val="center"/>
          </w:tcPr>
          <w:p w14:paraId="0B4C8BFE" w14:textId="135D5E4C"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-$9,987,259</w:t>
            </w:r>
          </w:p>
        </w:tc>
      </w:tr>
      <w:tr w:rsidR="00D5463B" w14:paraId="31F31863" w14:textId="77777777" w:rsidTr="00972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C16937E" w14:textId="347B5052" w:rsidR="00D5463B" w:rsidRPr="009725EA" w:rsidRDefault="00D5463B" w:rsidP="00D5463B">
            <w:pPr>
              <w:rPr>
                <w:sz w:val="18"/>
                <w:szCs w:val="18"/>
              </w:rPr>
            </w:pPr>
            <w:r w:rsidRPr="009725EA">
              <w:rPr>
                <w:rFonts w:ascii="Calibri" w:hAnsi="Calibri" w:cs="Calibri"/>
                <w:color w:val="000000"/>
                <w:sz w:val="18"/>
                <w:szCs w:val="18"/>
              </w:rPr>
              <w:t xml:space="preserve">Fort Washington </w:t>
            </w:r>
          </w:p>
        </w:tc>
        <w:tc>
          <w:tcPr>
            <w:tcW w:w="810" w:type="dxa"/>
            <w:vAlign w:val="center"/>
          </w:tcPr>
          <w:p w14:paraId="29251760" w14:textId="48680410"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-3043</w:t>
            </w:r>
          </w:p>
        </w:tc>
        <w:tc>
          <w:tcPr>
            <w:tcW w:w="1439" w:type="dxa"/>
            <w:vAlign w:val="center"/>
          </w:tcPr>
          <w:p w14:paraId="0EFE861C" w14:textId="5970A916"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-$3,655,868</w:t>
            </w:r>
          </w:p>
        </w:tc>
        <w:tc>
          <w:tcPr>
            <w:tcW w:w="2521" w:type="dxa"/>
            <w:vAlign w:val="bottom"/>
          </w:tcPr>
          <w:p w14:paraId="556B978B" w14:textId="463AB567" w:rsidR="00D5463B" w:rsidRPr="009725EA" w:rsidRDefault="00D5463B" w:rsidP="00284F61">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Shady Grove Adventist </w:t>
            </w:r>
          </w:p>
        </w:tc>
        <w:tc>
          <w:tcPr>
            <w:tcW w:w="832" w:type="dxa"/>
            <w:vAlign w:val="center"/>
          </w:tcPr>
          <w:p w14:paraId="1BA19241" w14:textId="4ABE68DD"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-20086</w:t>
            </w:r>
          </w:p>
        </w:tc>
        <w:tc>
          <w:tcPr>
            <w:tcW w:w="1559" w:type="dxa"/>
            <w:vAlign w:val="center"/>
          </w:tcPr>
          <w:p w14:paraId="20748A87" w14:textId="05C9B916"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-$24,131,372</w:t>
            </w:r>
          </w:p>
        </w:tc>
      </w:tr>
      <w:tr w:rsidR="00D5463B" w14:paraId="601FC4DC" w14:textId="77777777" w:rsidTr="009725EA">
        <w:tc>
          <w:tcPr>
            <w:cnfStyle w:val="001000000000" w:firstRow="0" w:lastRow="0" w:firstColumn="1" w:lastColumn="0" w:oddVBand="0" w:evenVBand="0" w:oddHBand="0" w:evenHBand="0" w:firstRowFirstColumn="0" w:firstRowLastColumn="0" w:lastRowFirstColumn="0" w:lastRowLastColumn="0"/>
            <w:tcW w:w="2425" w:type="dxa"/>
          </w:tcPr>
          <w:p w14:paraId="7A2A7428" w14:textId="52139193" w:rsidR="00D5463B" w:rsidRPr="009725EA" w:rsidRDefault="00D5463B" w:rsidP="00D5463B">
            <w:pPr>
              <w:rPr>
                <w:sz w:val="18"/>
                <w:szCs w:val="18"/>
              </w:rPr>
            </w:pPr>
            <w:r w:rsidRPr="009725EA">
              <w:rPr>
                <w:rFonts w:ascii="Calibri" w:hAnsi="Calibri" w:cs="Calibri"/>
                <w:color w:val="000000"/>
                <w:sz w:val="18"/>
                <w:szCs w:val="18"/>
              </w:rPr>
              <w:t>Frederick Memorial Hospital</w:t>
            </w:r>
          </w:p>
        </w:tc>
        <w:tc>
          <w:tcPr>
            <w:tcW w:w="810" w:type="dxa"/>
            <w:vAlign w:val="center"/>
          </w:tcPr>
          <w:p w14:paraId="49B71206" w14:textId="53C49369"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-1421</w:t>
            </w:r>
          </w:p>
        </w:tc>
        <w:tc>
          <w:tcPr>
            <w:tcW w:w="1439" w:type="dxa"/>
            <w:vAlign w:val="center"/>
          </w:tcPr>
          <w:p w14:paraId="0F3B54D0" w14:textId="37580946"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-$1,707,193</w:t>
            </w:r>
          </w:p>
        </w:tc>
        <w:tc>
          <w:tcPr>
            <w:tcW w:w="2521" w:type="dxa"/>
            <w:vAlign w:val="bottom"/>
          </w:tcPr>
          <w:p w14:paraId="723160DD" w14:textId="26CE2975" w:rsidR="00D5463B" w:rsidRPr="009725EA" w:rsidRDefault="00D5463B" w:rsidP="00284F61">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Sinai Hospital</w:t>
            </w:r>
          </w:p>
        </w:tc>
        <w:tc>
          <w:tcPr>
            <w:tcW w:w="832" w:type="dxa"/>
            <w:vAlign w:val="center"/>
          </w:tcPr>
          <w:p w14:paraId="6B5DEC0E" w14:textId="4E192447"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-17953</w:t>
            </w:r>
          </w:p>
        </w:tc>
        <w:tc>
          <w:tcPr>
            <w:tcW w:w="1559" w:type="dxa"/>
            <w:vAlign w:val="center"/>
          </w:tcPr>
          <w:p w14:paraId="0D35B2F9" w14:textId="3591892B"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-$21,568,780</w:t>
            </w:r>
          </w:p>
        </w:tc>
      </w:tr>
      <w:tr w:rsidR="00D5463B" w14:paraId="6F51EFC6" w14:textId="77777777" w:rsidTr="00972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DD013EC" w14:textId="710A5567" w:rsidR="00D5463B" w:rsidRPr="009725EA" w:rsidRDefault="00D5463B" w:rsidP="00D5463B">
            <w:pPr>
              <w:rPr>
                <w:sz w:val="18"/>
                <w:szCs w:val="18"/>
              </w:rPr>
            </w:pPr>
            <w:r w:rsidRPr="009725EA">
              <w:rPr>
                <w:rFonts w:ascii="Calibri" w:hAnsi="Calibri" w:cs="Calibri"/>
                <w:color w:val="000000"/>
                <w:sz w:val="18"/>
                <w:szCs w:val="18"/>
              </w:rPr>
              <w:t xml:space="preserve">Garrett County Memorial </w:t>
            </w:r>
          </w:p>
        </w:tc>
        <w:tc>
          <w:tcPr>
            <w:tcW w:w="810" w:type="dxa"/>
            <w:vAlign w:val="center"/>
          </w:tcPr>
          <w:p w14:paraId="72992311" w14:textId="10D010CE"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-307</w:t>
            </w:r>
          </w:p>
        </w:tc>
        <w:tc>
          <w:tcPr>
            <w:tcW w:w="1439" w:type="dxa"/>
            <w:vAlign w:val="center"/>
          </w:tcPr>
          <w:p w14:paraId="77E33750" w14:textId="19216DC7"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-$368,831</w:t>
            </w:r>
          </w:p>
        </w:tc>
        <w:tc>
          <w:tcPr>
            <w:tcW w:w="2521" w:type="dxa"/>
            <w:vAlign w:val="bottom"/>
          </w:tcPr>
          <w:p w14:paraId="62CDE6E1" w14:textId="2B47F424" w:rsidR="00D5463B" w:rsidRPr="009725EA" w:rsidRDefault="00D5463B" w:rsidP="00284F61">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St. Agnes Hospital</w:t>
            </w:r>
          </w:p>
        </w:tc>
        <w:tc>
          <w:tcPr>
            <w:tcW w:w="832" w:type="dxa"/>
            <w:vAlign w:val="center"/>
          </w:tcPr>
          <w:p w14:paraId="101F3875" w14:textId="026DC16E"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-14317</w:t>
            </w:r>
          </w:p>
        </w:tc>
        <w:tc>
          <w:tcPr>
            <w:tcW w:w="1559" w:type="dxa"/>
            <w:vAlign w:val="center"/>
          </w:tcPr>
          <w:p w14:paraId="18C59781" w14:textId="47A23CDA"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-$17,200,480</w:t>
            </w:r>
          </w:p>
        </w:tc>
      </w:tr>
      <w:tr w:rsidR="00D5463B" w14:paraId="0779CDC8" w14:textId="77777777" w:rsidTr="009725EA">
        <w:tc>
          <w:tcPr>
            <w:cnfStyle w:val="001000000000" w:firstRow="0" w:lastRow="0" w:firstColumn="1" w:lastColumn="0" w:oddVBand="0" w:evenVBand="0" w:oddHBand="0" w:evenHBand="0" w:firstRowFirstColumn="0" w:firstRowLastColumn="0" w:lastRowFirstColumn="0" w:lastRowLastColumn="0"/>
            <w:tcW w:w="2425" w:type="dxa"/>
          </w:tcPr>
          <w:p w14:paraId="35687CCF" w14:textId="28E840CA" w:rsidR="00D5463B" w:rsidRPr="009725EA" w:rsidRDefault="009725EA" w:rsidP="00D5463B">
            <w:pPr>
              <w:rPr>
                <w:sz w:val="18"/>
                <w:szCs w:val="18"/>
              </w:rPr>
            </w:pPr>
            <w:r>
              <w:rPr>
                <w:rFonts w:ascii="Calibri" w:hAnsi="Calibri" w:cs="Calibri"/>
                <w:color w:val="000000"/>
                <w:sz w:val="18"/>
                <w:szCs w:val="18"/>
              </w:rPr>
              <w:t>GBMC</w:t>
            </w:r>
          </w:p>
        </w:tc>
        <w:tc>
          <w:tcPr>
            <w:tcW w:w="810" w:type="dxa"/>
            <w:vAlign w:val="center"/>
          </w:tcPr>
          <w:p w14:paraId="0488F109" w14:textId="086516F6"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-7678</w:t>
            </w:r>
          </w:p>
        </w:tc>
        <w:tc>
          <w:tcPr>
            <w:tcW w:w="1439" w:type="dxa"/>
            <w:vAlign w:val="center"/>
          </w:tcPr>
          <w:p w14:paraId="1493A5F6" w14:textId="292E9630"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-$9,224,369</w:t>
            </w:r>
          </w:p>
        </w:tc>
        <w:tc>
          <w:tcPr>
            <w:tcW w:w="2521" w:type="dxa"/>
            <w:vAlign w:val="bottom"/>
          </w:tcPr>
          <w:p w14:paraId="7F5290FA" w14:textId="36055143" w:rsidR="00D5463B" w:rsidRPr="009725EA" w:rsidRDefault="00D5463B" w:rsidP="00284F61">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Suburban Hospital</w:t>
            </w:r>
          </w:p>
        </w:tc>
        <w:tc>
          <w:tcPr>
            <w:tcW w:w="832" w:type="dxa"/>
            <w:vAlign w:val="center"/>
          </w:tcPr>
          <w:p w14:paraId="1D90B305" w14:textId="050B4E8F"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5986</w:t>
            </w:r>
          </w:p>
        </w:tc>
        <w:tc>
          <w:tcPr>
            <w:tcW w:w="1559" w:type="dxa"/>
            <w:vAlign w:val="center"/>
          </w:tcPr>
          <w:p w14:paraId="53308561" w14:textId="1DD187E9"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$0</w:t>
            </w:r>
          </w:p>
        </w:tc>
      </w:tr>
      <w:tr w:rsidR="00D5463B" w14:paraId="3845F07C" w14:textId="77777777" w:rsidTr="00972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2FC67C6" w14:textId="7B447977" w:rsidR="00D5463B" w:rsidRPr="009725EA" w:rsidRDefault="00D5463B" w:rsidP="00D5463B">
            <w:pPr>
              <w:rPr>
                <w:sz w:val="18"/>
                <w:szCs w:val="18"/>
              </w:rPr>
            </w:pPr>
            <w:r w:rsidRPr="009725EA">
              <w:rPr>
                <w:rFonts w:ascii="Calibri" w:hAnsi="Calibri" w:cs="Calibri"/>
                <w:color w:val="000000"/>
                <w:sz w:val="18"/>
                <w:szCs w:val="18"/>
              </w:rPr>
              <w:t>Harford Memorial Hospital</w:t>
            </w:r>
          </w:p>
        </w:tc>
        <w:tc>
          <w:tcPr>
            <w:tcW w:w="810" w:type="dxa"/>
            <w:vAlign w:val="center"/>
          </w:tcPr>
          <w:p w14:paraId="6825E647" w14:textId="0CF4B5C2"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-2299</w:t>
            </w:r>
          </w:p>
        </w:tc>
        <w:tc>
          <w:tcPr>
            <w:tcW w:w="1439" w:type="dxa"/>
            <w:vAlign w:val="center"/>
          </w:tcPr>
          <w:p w14:paraId="11001959" w14:textId="22ED79C4"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-$2,762,024</w:t>
            </w:r>
          </w:p>
        </w:tc>
        <w:tc>
          <w:tcPr>
            <w:tcW w:w="2521" w:type="dxa"/>
            <w:vAlign w:val="bottom"/>
          </w:tcPr>
          <w:p w14:paraId="4BD91FDB" w14:textId="0A57C5D2" w:rsidR="00D5463B" w:rsidRPr="009725EA" w:rsidRDefault="00D5463B" w:rsidP="00284F61">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Union Hospital of Cecil County</w:t>
            </w:r>
          </w:p>
        </w:tc>
        <w:tc>
          <w:tcPr>
            <w:tcW w:w="832" w:type="dxa"/>
            <w:vAlign w:val="center"/>
          </w:tcPr>
          <w:p w14:paraId="63A7FB0F" w14:textId="644CCA66"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-9771</w:t>
            </w:r>
          </w:p>
        </w:tc>
        <w:tc>
          <w:tcPr>
            <w:tcW w:w="1559" w:type="dxa"/>
            <w:vAlign w:val="center"/>
          </w:tcPr>
          <w:p w14:paraId="3E575ADF" w14:textId="70FDA556"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-$11,738,904</w:t>
            </w:r>
          </w:p>
        </w:tc>
      </w:tr>
      <w:tr w:rsidR="00D5463B" w14:paraId="7CF29919" w14:textId="77777777" w:rsidTr="009725EA">
        <w:tc>
          <w:tcPr>
            <w:cnfStyle w:val="001000000000" w:firstRow="0" w:lastRow="0" w:firstColumn="1" w:lastColumn="0" w:oddVBand="0" w:evenVBand="0" w:oddHBand="0" w:evenHBand="0" w:firstRowFirstColumn="0" w:firstRowLastColumn="0" w:lastRowFirstColumn="0" w:lastRowLastColumn="0"/>
            <w:tcW w:w="2425" w:type="dxa"/>
          </w:tcPr>
          <w:p w14:paraId="6E2785DB" w14:textId="300654FC" w:rsidR="00D5463B" w:rsidRPr="009725EA" w:rsidRDefault="00D5463B" w:rsidP="00D5463B">
            <w:pPr>
              <w:rPr>
                <w:rFonts w:ascii="Calibri" w:hAnsi="Calibri" w:cs="Calibri"/>
                <w:color w:val="000000"/>
                <w:sz w:val="18"/>
                <w:szCs w:val="18"/>
              </w:rPr>
            </w:pPr>
            <w:r w:rsidRPr="009725EA">
              <w:rPr>
                <w:rFonts w:ascii="Calibri" w:hAnsi="Calibri" w:cs="Calibri"/>
                <w:color w:val="000000"/>
                <w:sz w:val="18"/>
                <w:szCs w:val="18"/>
              </w:rPr>
              <w:t>Holy Cross Hospital</w:t>
            </w:r>
          </w:p>
        </w:tc>
        <w:tc>
          <w:tcPr>
            <w:tcW w:w="810" w:type="dxa"/>
            <w:vAlign w:val="center"/>
          </w:tcPr>
          <w:p w14:paraId="7D472754" w14:textId="4298D9B2"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-1024</w:t>
            </w:r>
          </w:p>
        </w:tc>
        <w:tc>
          <w:tcPr>
            <w:tcW w:w="1439" w:type="dxa"/>
            <w:vAlign w:val="center"/>
          </w:tcPr>
          <w:p w14:paraId="2DBCBCA0" w14:textId="7CE45AAD"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-$1,230,236</w:t>
            </w:r>
          </w:p>
        </w:tc>
        <w:tc>
          <w:tcPr>
            <w:tcW w:w="2521" w:type="dxa"/>
            <w:vAlign w:val="bottom"/>
          </w:tcPr>
          <w:p w14:paraId="3C9D0A63" w14:textId="5C48CCA4" w:rsidR="00D5463B" w:rsidRPr="009725EA" w:rsidRDefault="00D5463B" w:rsidP="00284F61">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UM Baltimore Washington </w:t>
            </w:r>
          </w:p>
        </w:tc>
        <w:tc>
          <w:tcPr>
            <w:tcW w:w="832" w:type="dxa"/>
            <w:vAlign w:val="center"/>
          </w:tcPr>
          <w:p w14:paraId="6FA43DA5" w14:textId="5CF31068"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-9525</w:t>
            </w:r>
          </w:p>
        </w:tc>
        <w:tc>
          <w:tcPr>
            <w:tcW w:w="1559" w:type="dxa"/>
            <w:vAlign w:val="center"/>
          </w:tcPr>
          <w:p w14:paraId="0ADDE04D" w14:textId="73C943BD"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-$11,443,359</w:t>
            </w:r>
          </w:p>
        </w:tc>
      </w:tr>
      <w:tr w:rsidR="00D5463B" w14:paraId="0FE7756C" w14:textId="77777777" w:rsidTr="00972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1E85DF4" w14:textId="2AF56E25" w:rsidR="00D5463B" w:rsidRPr="009725EA" w:rsidRDefault="00D5463B" w:rsidP="00D5463B">
            <w:pPr>
              <w:rPr>
                <w:sz w:val="18"/>
                <w:szCs w:val="18"/>
              </w:rPr>
            </w:pPr>
            <w:r w:rsidRPr="009725EA">
              <w:rPr>
                <w:rFonts w:ascii="Calibri" w:hAnsi="Calibri" w:cs="Calibri"/>
                <w:color w:val="000000"/>
                <w:sz w:val="18"/>
                <w:szCs w:val="18"/>
              </w:rPr>
              <w:t xml:space="preserve">Howard County General </w:t>
            </w:r>
          </w:p>
        </w:tc>
        <w:tc>
          <w:tcPr>
            <w:tcW w:w="810" w:type="dxa"/>
            <w:vAlign w:val="center"/>
          </w:tcPr>
          <w:p w14:paraId="4A691582" w14:textId="09E71571"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3033</w:t>
            </w:r>
          </w:p>
        </w:tc>
        <w:tc>
          <w:tcPr>
            <w:tcW w:w="1439" w:type="dxa"/>
            <w:vAlign w:val="center"/>
          </w:tcPr>
          <w:p w14:paraId="3C6AFB17" w14:textId="012E3AC4"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$0</w:t>
            </w:r>
          </w:p>
        </w:tc>
        <w:tc>
          <w:tcPr>
            <w:tcW w:w="2521" w:type="dxa"/>
            <w:vAlign w:val="bottom"/>
          </w:tcPr>
          <w:p w14:paraId="6F2F6A2F" w14:textId="40B8E49B" w:rsidR="00D5463B" w:rsidRPr="009725EA" w:rsidRDefault="00D5463B" w:rsidP="00284F61">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UM Charles Regional </w:t>
            </w:r>
          </w:p>
        </w:tc>
        <w:tc>
          <w:tcPr>
            <w:tcW w:w="832" w:type="dxa"/>
            <w:vAlign w:val="center"/>
          </w:tcPr>
          <w:p w14:paraId="09097C32" w14:textId="1691A3C7"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-4557</w:t>
            </w:r>
          </w:p>
        </w:tc>
        <w:tc>
          <w:tcPr>
            <w:tcW w:w="1559" w:type="dxa"/>
            <w:vAlign w:val="center"/>
          </w:tcPr>
          <w:p w14:paraId="4BEE4C07" w14:textId="6C44CCBA"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-$5,474,791</w:t>
            </w:r>
          </w:p>
        </w:tc>
      </w:tr>
      <w:tr w:rsidR="00D5463B" w14:paraId="4295219E" w14:textId="77777777" w:rsidTr="009725EA">
        <w:tc>
          <w:tcPr>
            <w:cnfStyle w:val="001000000000" w:firstRow="0" w:lastRow="0" w:firstColumn="1" w:lastColumn="0" w:oddVBand="0" w:evenVBand="0" w:oddHBand="0" w:evenHBand="0" w:firstRowFirstColumn="0" w:firstRowLastColumn="0" w:lastRowFirstColumn="0" w:lastRowLastColumn="0"/>
            <w:tcW w:w="2425" w:type="dxa"/>
          </w:tcPr>
          <w:p w14:paraId="3D9071A6" w14:textId="3203EFB8" w:rsidR="00D5463B" w:rsidRPr="009725EA" w:rsidRDefault="00D5463B" w:rsidP="00D5463B">
            <w:pPr>
              <w:rPr>
                <w:sz w:val="18"/>
                <w:szCs w:val="18"/>
              </w:rPr>
            </w:pPr>
            <w:r w:rsidRPr="009725EA">
              <w:rPr>
                <w:rFonts w:ascii="Calibri" w:hAnsi="Calibri" w:cs="Calibri"/>
                <w:color w:val="000000"/>
                <w:sz w:val="18"/>
                <w:szCs w:val="18"/>
              </w:rPr>
              <w:t xml:space="preserve">Johns Hopkins Bayview </w:t>
            </w:r>
          </w:p>
        </w:tc>
        <w:tc>
          <w:tcPr>
            <w:tcW w:w="810" w:type="dxa"/>
            <w:vAlign w:val="center"/>
          </w:tcPr>
          <w:p w14:paraId="6964B6BB" w14:textId="098CD7AB"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-6370</w:t>
            </w:r>
          </w:p>
        </w:tc>
        <w:tc>
          <w:tcPr>
            <w:tcW w:w="1439" w:type="dxa"/>
            <w:vAlign w:val="center"/>
          </w:tcPr>
          <w:p w14:paraId="57C3246F" w14:textId="7B3A68F9"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-$7,652,934</w:t>
            </w:r>
          </w:p>
        </w:tc>
        <w:tc>
          <w:tcPr>
            <w:tcW w:w="2521" w:type="dxa"/>
            <w:vAlign w:val="bottom"/>
          </w:tcPr>
          <w:p w14:paraId="7459A3DE" w14:textId="417B1F80" w:rsidR="00D5463B" w:rsidRPr="009725EA" w:rsidRDefault="00D5463B" w:rsidP="00284F61">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UM Medical Center</w:t>
            </w:r>
          </w:p>
        </w:tc>
        <w:tc>
          <w:tcPr>
            <w:tcW w:w="832" w:type="dxa"/>
            <w:vAlign w:val="center"/>
          </w:tcPr>
          <w:p w14:paraId="2DF06AEB" w14:textId="07BB4F57"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11025</w:t>
            </w:r>
          </w:p>
        </w:tc>
        <w:tc>
          <w:tcPr>
            <w:tcW w:w="1559" w:type="dxa"/>
            <w:vAlign w:val="center"/>
          </w:tcPr>
          <w:p w14:paraId="7B42892B" w14:textId="37DF6E82"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$0</w:t>
            </w:r>
          </w:p>
        </w:tc>
      </w:tr>
      <w:tr w:rsidR="00D5463B" w14:paraId="23864F37" w14:textId="77777777" w:rsidTr="00972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E3792EC" w14:textId="0ADA1EF5" w:rsidR="00D5463B" w:rsidRPr="009725EA" w:rsidRDefault="00D5463B" w:rsidP="00D5463B">
            <w:pPr>
              <w:rPr>
                <w:sz w:val="18"/>
                <w:szCs w:val="18"/>
              </w:rPr>
            </w:pPr>
            <w:r w:rsidRPr="009725EA">
              <w:rPr>
                <w:rFonts w:ascii="Calibri" w:hAnsi="Calibri" w:cs="Calibri"/>
                <w:color w:val="000000"/>
                <w:sz w:val="18"/>
                <w:szCs w:val="18"/>
              </w:rPr>
              <w:t>Johns Hopkins Hospital</w:t>
            </w:r>
          </w:p>
        </w:tc>
        <w:tc>
          <w:tcPr>
            <w:tcW w:w="810" w:type="dxa"/>
            <w:vAlign w:val="center"/>
          </w:tcPr>
          <w:p w14:paraId="650C507B" w14:textId="6CE25247"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37174</w:t>
            </w:r>
          </w:p>
        </w:tc>
        <w:tc>
          <w:tcPr>
            <w:tcW w:w="1439" w:type="dxa"/>
            <w:vAlign w:val="center"/>
          </w:tcPr>
          <w:p w14:paraId="24787C7D" w14:textId="417B4D40"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$0</w:t>
            </w:r>
          </w:p>
        </w:tc>
        <w:tc>
          <w:tcPr>
            <w:tcW w:w="2521" w:type="dxa"/>
            <w:vAlign w:val="bottom"/>
          </w:tcPr>
          <w:p w14:paraId="3D4CA047" w14:textId="312F7C09" w:rsidR="00D5463B" w:rsidRPr="009725EA" w:rsidRDefault="00D5463B" w:rsidP="00284F61">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UM Midtown Campus</w:t>
            </w:r>
          </w:p>
        </w:tc>
        <w:tc>
          <w:tcPr>
            <w:tcW w:w="832" w:type="dxa"/>
            <w:vAlign w:val="center"/>
          </w:tcPr>
          <w:p w14:paraId="3FAD879A" w14:textId="26E75EA9"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-14959</w:t>
            </w:r>
          </w:p>
        </w:tc>
        <w:tc>
          <w:tcPr>
            <w:tcW w:w="1559" w:type="dxa"/>
            <w:vAlign w:val="center"/>
          </w:tcPr>
          <w:p w14:paraId="7F38078B" w14:textId="15273FC1"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-$17,971,781</w:t>
            </w:r>
          </w:p>
        </w:tc>
      </w:tr>
      <w:tr w:rsidR="00D5463B" w14:paraId="46DC17E6" w14:textId="77777777" w:rsidTr="009725EA">
        <w:tc>
          <w:tcPr>
            <w:cnfStyle w:val="001000000000" w:firstRow="0" w:lastRow="0" w:firstColumn="1" w:lastColumn="0" w:oddVBand="0" w:evenVBand="0" w:oddHBand="0" w:evenHBand="0" w:firstRowFirstColumn="0" w:firstRowLastColumn="0" w:lastRowFirstColumn="0" w:lastRowLastColumn="0"/>
            <w:tcW w:w="2425" w:type="dxa"/>
          </w:tcPr>
          <w:p w14:paraId="7299C439" w14:textId="324F79FA" w:rsidR="00D5463B" w:rsidRPr="009725EA" w:rsidRDefault="00D5463B" w:rsidP="00D5463B">
            <w:pPr>
              <w:rPr>
                <w:sz w:val="18"/>
                <w:szCs w:val="18"/>
              </w:rPr>
            </w:pPr>
            <w:r w:rsidRPr="009725EA">
              <w:rPr>
                <w:rFonts w:ascii="Calibri" w:hAnsi="Calibri" w:cs="Calibri"/>
                <w:color w:val="000000"/>
                <w:sz w:val="18"/>
                <w:szCs w:val="18"/>
              </w:rPr>
              <w:t>Laurel Regional Hospital</w:t>
            </w:r>
          </w:p>
        </w:tc>
        <w:tc>
          <w:tcPr>
            <w:tcW w:w="810" w:type="dxa"/>
            <w:vAlign w:val="center"/>
          </w:tcPr>
          <w:p w14:paraId="1009B758" w14:textId="2E072A9D"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-5288</w:t>
            </w:r>
          </w:p>
        </w:tc>
        <w:tc>
          <w:tcPr>
            <w:tcW w:w="1439" w:type="dxa"/>
            <w:vAlign w:val="center"/>
          </w:tcPr>
          <w:p w14:paraId="5FCB6F87" w14:textId="63FA84C0"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-$6,353,017</w:t>
            </w:r>
          </w:p>
        </w:tc>
        <w:tc>
          <w:tcPr>
            <w:tcW w:w="2521" w:type="dxa"/>
            <w:vAlign w:val="bottom"/>
          </w:tcPr>
          <w:p w14:paraId="1A826F9A" w14:textId="1228D559" w:rsidR="00D5463B" w:rsidRPr="009725EA" w:rsidRDefault="00033598" w:rsidP="00284F61">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UMROI</w:t>
            </w:r>
          </w:p>
        </w:tc>
        <w:tc>
          <w:tcPr>
            <w:tcW w:w="832" w:type="dxa"/>
            <w:vAlign w:val="center"/>
          </w:tcPr>
          <w:p w14:paraId="19002D75" w14:textId="4068A769"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-1103</w:t>
            </w:r>
          </w:p>
        </w:tc>
        <w:tc>
          <w:tcPr>
            <w:tcW w:w="1559" w:type="dxa"/>
            <w:vAlign w:val="center"/>
          </w:tcPr>
          <w:p w14:paraId="36DC920F" w14:textId="09EB470E"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-$1,325,147</w:t>
            </w:r>
          </w:p>
        </w:tc>
      </w:tr>
      <w:tr w:rsidR="00D5463B" w14:paraId="06943C2B" w14:textId="77777777" w:rsidTr="00972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48DB337" w14:textId="1CC3B10A" w:rsidR="00D5463B" w:rsidRPr="009725EA" w:rsidRDefault="00D5463B" w:rsidP="00D5463B">
            <w:pPr>
              <w:rPr>
                <w:sz w:val="18"/>
                <w:szCs w:val="18"/>
              </w:rPr>
            </w:pPr>
            <w:r w:rsidRPr="009725EA">
              <w:rPr>
                <w:rFonts w:ascii="Calibri" w:hAnsi="Calibri" w:cs="Calibri"/>
                <w:color w:val="000000"/>
                <w:sz w:val="18"/>
                <w:szCs w:val="18"/>
              </w:rPr>
              <w:t>McCready Memorial Hospital</w:t>
            </w:r>
          </w:p>
        </w:tc>
        <w:tc>
          <w:tcPr>
            <w:tcW w:w="810" w:type="dxa"/>
            <w:vAlign w:val="center"/>
          </w:tcPr>
          <w:p w14:paraId="4B210498" w14:textId="1A6B86B4"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-1290</w:t>
            </w:r>
          </w:p>
        </w:tc>
        <w:tc>
          <w:tcPr>
            <w:tcW w:w="1439" w:type="dxa"/>
            <w:vAlign w:val="center"/>
          </w:tcPr>
          <w:p w14:paraId="4CBA1D39" w14:textId="2A1B7877"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-$1,549,809</w:t>
            </w:r>
          </w:p>
        </w:tc>
        <w:tc>
          <w:tcPr>
            <w:tcW w:w="2521" w:type="dxa"/>
            <w:vAlign w:val="bottom"/>
          </w:tcPr>
          <w:p w14:paraId="1B000407" w14:textId="18E686BF" w:rsidR="00D5463B" w:rsidRPr="009725EA" w:rsidRDefault="00033598" w:rsidP="00284F61">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UM</w:t>
            </w:r>
            <w:r w:rsidR="00D5463B" w:rsidRPr="009725EA">
              <w:rPr>
                <w:rFonts w:ascii="Calibri" w:hAnsi="Calibri" w:cs="Calibri"/>
                <w:b/>
                <w:bCs/>
                <w:color w:val="000000"/>
                <w:sz w:val="18"/>
                <w:szCs w:val="18"/>
              </w:rPr>
              <w:t xml:space="preserve"> Chestertown</w:t>
            </w:r>
          </w:p>
        </w:tc>
        <w:tc>
          <w:tcPr>
            <w:tcW w:w="832" w:type="dxa"/>
            <w:vAlign w:val="center"/>
          </w:tcPr>
          <w:p w14:paraId="6AA73EBB" w14:textId="1AD01FE1"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-7037</w:t>
            </w:r>
          </w:p>
        </w:tc>
        <w:tc>
          <w:tcPr>
            <w:tcW w:w="1559" w:type="dxa"/>
            <w:vAlign w:val="center"/>
          </w:tcPr>
          <w:p w14:paraId="2D1E82FF" w14:textId="3D63C0F2"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-$8,454,270</w:t>
            </w:r>
          </w:p>
        </w:tc>
      </w:tr>
      <w:tr w:rsidR="00D5463B" w14:paraId="57326D9E" w14:textId="77777777" w:rsidTr="009725EA">
        <w:tc>
          <w:tcPr>
            <w:cnfStyle w:val="001000000000" w:firstRow="0" w:lastRow="0" w:firstColumn="1" w:lastColumn="0" w:oddVBand="0" w:evenVBand="0" w:oddHBand="0" w:evenHBand="0" w:firstRowFirstColumn="0" w:firstRowLastColumn="0" w:lastRowFirstColumn="0" w:lastRowLastColumn="0"/>
            <w:tcW w:w="2425" w:type="dxa"/>
          </w:tcPr>
          <w:p w14:paraId="7FD4F4B1" w14:textId="40FF3089" w:rsidR="00D5463B" w:rsidRPr="009725EA" w:rsidRDefault="00D5463B" w:rsidP="00D5463B">
            <w:pPr>
              <w:rPr>
                <w:sz w:val="18"/>
                <w:szCs w:val="18"/>
              </w:rPr>
            </w:pPr>
            <w:r w:rsidRPr="009725EA">
              <w:rPr>
                <w:rFonts w:ascii="Calibri" w:hAnsi="Calibri" w:cs="Calibri"/>
                <w:color w:val="000000"/>
                <w:sz w:val="18"/>
                <w:szCs w:val="18"/>
              </w:rPr>
              <w:t xml:space="preserve">MedStar Franklin Square </w:t>
            </w:r>
          </w:p>
        </w:tc>
        <w:tc>
          <w:tcPr>
            <w:tcW w:w="810" w:type="dxa"/>
            <w:vAlign w:val="center"/>
          </w:tcPr>
          <w:p w14:paraId="27BC178C" w14:textId="5FAC2DFD"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-2027</w:t>
            </w:r>
          </w:p>
        </w:tc>
        <w:tc>
          <w:tcPr>
            <w:tcW w:w="1439" w:type="dxa"/>
            <w:vAlign w:val="center"/>
          </w:tcPr>
          <w:p w14:paraId="75E02967" w14:textId="6B6D3207"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-$2,435,243</w:t>
            </w:r>
          </w:p>
        </w:tc>
        <w:tc>
          <w:tcPr>
            <w:tcW w:w="2521" w:type="dxa"/>
            <w:vAlign w:val="bottom"/>
          </w:tcPr>
          <w:p w14:paraId="33A14290" w14:textId="54139814" w:rsidR="00D5463B" w:rsidRPr="009725EA" w:rsidRDefault="00033598" w:rsidP="00284F61">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UM </w:t>
            </w:r>
            <w:r w:rsidR="00D5463B" w:rsidRPr="009725EA">
              <w:rPr>
                <w:rFonts w:ascii="Calibri" w:hAnsi="Calibri" w:cs="Calibri"/>
                <w:b/>
                <w:bCs/>
                <w:color w:val="000000"/>
                <w:sz w:val="18"/>
                <w:szCs w:val="18"/>
              </w:rPr>
              <w:t xml:space="preserve"> Dorchester</w:t>
            </w:r>
          </w:p>
        </w:tc>
        <w:tc>
          <w:tcPr>
            <w:tcW w:w="832" w:type="dxa"/>
            <w:vAlign w:val="center"/>
          </w:tcPr>
          <w:p w14:paraId="4C8368C0" w14:textId="5F8359B9"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-3105</w:t>
            </w:r>
          </w:p>
        </w:tc>
        <w:tc>
          <w:tcPr>
            <w:tcW w:w="1559" w:type="dxa"/>
            <w:vAlign w:val="center"/>
          </w:tcPr>
          <w:p w14:paraId="685670CE" w14:textId="4D15ED5E"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-$3,730,355</w:t>
            </w:r>
          </w:p>
        </w:tc>
      </w:tr>
      <w:tr w:rsidR="00D5463B" w14:paraId="7B891BAA" w14:textId="77777777" w:rsidTr="00972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4A43DFC" w14:textId="18F5DB94" w:rsidR="00D5463B" w:rsidRPr="009725EA" w:rsidRDefault="00D5463B" w:rsidP="00D5463B">
            <w:pPr>
              <w:rPr>
                <w:sz w:val="18"/>
                <w:szCs w:val="18"/>
              </w:rPr>
            </w:pPr>
            <w:r w:rsidRPr="009725EA">
              <w:rPr>
                <w:rFonts w:ascii="Calibri" w:hAnsi="Calibri" w:cs="Calibri"/>
                <w:color w:val="000000"/>
                <w:sz w:val="18"/>
                <w:szCs w:val="18"/>
              </w:rPr>
              <w:t xml:space="preserve">MedStar Good Samaritan </w:t>
            </w:r>
          </w:p>
        </w:tc>
        <w:tc>
          <w:tcPr>
            <w:tcW w:w="810" w:type="dxa"/>
            <w:vAlign w:val="center"/>
          </w:tcPr>
          <w:p w14:paraId="6BEAC27D" w14:textId="461758B9"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-25685</w:t>
            </w:r>
          </w:p>
        </w:tc>
        <w:tc>
          <w:tcPr>
            <w:tcW w:w="1439" w:type="dxa"/>
            <w:vAlign w:val="center"/>
          </w:tcPr>
          <w:p w14:paraId="28341C5D" w14:textId="08B384AE"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-$30,858,025</w:t>
            </w:r>
          </w:p>
        </w:tc>
        <w:tc>
          <w:tcPr>
            <w:tcW w:w="2521" w:type="dxa"/>
            <w:vAlign w:val="bottom"/>
          </w:tcPr>
          <w:p w14:paraId="7230E570" w14:textId="524DAEC9" w:rsidR="00D5463B" w:rsidRPr="009725EA" w:rsidRDefault="00033598" w:rsidP="00284F61">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UM </w:t>
            </w:r>
            <w:r w:rsidR="00D5463B" w:rsidRPr="009725EA">
              <w:rPr>
                <w:rFonts w:ascii="Calibri" w:hAnsi="Calibri" w:cs="Calibri"/>
                <w:b/>
                <w:bCs/>
                <w:color w:val="000000"/>
                <w:sz w:val="18"/>
                <w:szCs w:val="18"/>
              </w:rPr>
              <w:t>Easton</w:t>
            </w:r>
          </w:p>
        </w:tc>
        <w:tc>
          <w:tcPr>
            <w:tcW w:w="832" w:type="dxa"/>
            <w:vAlign w:val="center"/>
          </w:tcPr>
          <w:p w14:paraId="58DEE8BB" w14:textId="7AD3F888"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-3887</w:t>
            </w:r>
          </w:p>
        </w:tc>
        <w:tc>
          <w:tcPr>
            <w:tcW w:w="1559" w:type="dxa"/>
            <w:vAlign w:val="center"/>
          </w:tcPr>
          <w:p w14:paraId="7A932F43" w14:textId="30F2623B"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-$4,669,852</w:t>
            </w:r>
          </w:p>
        </w:tc>
      </w:tr>
      <w:tr w:rsidR="00D5463B" w14:paraId="3ED55EF2" w14:textId="77777777" w:rsidTr="009725EA">
        <w:tc>
          <w:tcPr>
            <w:cnfStyle w:val="001000000000" w:firstRow="0" w:lastRow="0" w:firstColumn="1" w:lastColumn="0" w:oddVBand="0" w:evenVBand="0" w:oddHBand="0" w:evenHBand="0" w:firstRowFirstColumn="0" w:firstRowLastColumn="0" w:lastRowFirstColumn="0" w:lastRowLastColumn="0"/>
            <w:tcW w:w="2425" w:type="dxa"/>
          </w:tcPr>
          <w:p w14:paraId="55F7528D" w14:textId="64304BE4" w:rsidR="00D5463B" w:rsidRPr="009725EA" w:rsidRDefault="00D5463B" w:rsidP="00D5463B">
            <w:pPr>
              <w:rPr>
                <w:sz w:val="18"/>
                <w:szCs w:val="18"/>
              </w:rPr>
            </w:pPr>
            <w:r w:rsidRPr="009725EA">
              <w:rPr>
                <w:rFonts w:ascii="Calibri" w:hAnsi="Calibri" w:cs="Calibri"/>
                <w:color w:val="000000"/>
                <w:sz w:val="18"/>
                <w:szCs w:val="18"/>
              </w:rPr>
              <w:t xml:space="preserve">MedStar Harbor Hospital </w:t>
            </w:r>
          </w:p>
        </w:tc>
        <w:tc>
          <w:tcPr>
            <w:tcW w:w="810" w:type="dxa"/>
            <w:vAlign w:val="center"/>
          </w:tcPr>
          <w:p w14:paraId="0C26C690" w14:textId="15076C98"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-15431</w:t>
            </w:r>
          </w:p>
        </w:tc>
        <w:tc>
          <w:tcPr>
            <w:tcW w:w="1439" w:type="dxa"/>
            <w:vAlign w:val="center"/>
          </w:tcPr>
          <w:p w14:paraId="469C45E6" w14:textId="58DDB199"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-$18,538,843</w:t>
            </w:r>
          </w:p>
        </w:tc>
        <w:tc>
          <w:tcPr>
            <w:tcW w:w="2521" w:type="dxa"/>
            <w:vAlign w:val="bottom"/>
          </w:tcPr>
          <w:p w14:paraId="74325C3F" w14:textId="66E89E7C" w:rsidR="00D5463B" w:rsidRPr="009725EA" w:rsidRDefault="00033598" w:rsidP="00284F61">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UM St</w:t>
            </w:r>
            <w:r w:rsidR="00D5463B" w:rsidRPr="009725EA">
              <w:rPr>
                <w:rFonts w:ascii="Calibri" w:hAnsi="Calibri" w:cs="Calibri"/>
                <w:b/>
                <w:bCs/>
                <w:color w:val="000000"/>
                <w:sz w:val="18"/>
                <w:szCs w:val="18"/>
              </w:rPr>
              <w:t xml:space="preserve"> Joseph </w:t>
            </w:r>
          </w:p>
        </w:tc>
        <w:tc>
          <w:tcPr>
            <w:tcW w:w="832" w:type="dxa"/>
            <w:vAlign w:val="center"/>
          </w:tcPr>
          <w:p w14:paraId="4B09D8F8" w14:textId="29940658"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-13805</w:t>
            </w:r>
          </w:p>
        </w:tc>
        <w:tc>
          <w:tcPr>
            <w:tcW w:w="1559" w:type="dxa"/>
            <w:vAlign w:val="center"/>
          </w:tcPr>
          <w:p w14:paraId="53D57424" w14:textId="2EC42647"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-$16,585,362</w:t>
            </w:r>
          </w:p>
        </w:tc>
      </w:tr>
      <w:tr w:rsidR="00D5463B" w14:paraId="557EDE0E" w14:textId="77777777" w:rsidTr="00972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6D82894" w14:textId="3740873A" w:rsidR="00D5463B" w:rsidRPr="009725EA" w:rsidRDefault="00D5463B" w:rsidP="00D5463B">
            <w:pPr>
              <w:rPr>
                <w:sz w:val="18"/>
                <w:szCs w:val="18"/>
              </w:rPr>
            </w:pPr>
            <w:r w:rsidRPr="009725EA">
              <w:rPr>
                <w:rFonts w:ascii="Calibri" w:hAnsi="Calibri" w:cs="Calibri"/>
                <w:color w:val="000000"/>
                <w:sz w:val="18"/>
                <w:szCs w:val="18"/>
              </w:rPr>
              <w:t>Montgomery Medical Center</w:t>
            </w:r>
          </w:p>
        </w:tc>
        <w:tc>
          <w:tcPr>
            <w:tcW w:w="810" w:type="dxa"/>
            <w:vAlign w:val="center"/>
          </w:tcPr>
          <w:p w14:paraId="0D999514" w14:textId="49E44811"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-10183</w:t>
            </w:r>
          </w:p>
        </w:tc>
        <w:tc>
          <w:tcPr>
            <w:tcW w:w="1439" w:type="dxa"/>
            <w:vAlign w:val="center"/>
          </w:tcPr>
          <w:p w14:paraId="57F8D58A" w14:textId="55AD8F4A"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-$12,233,882</w:t>
            </w:r>
          </w:p>
        </w:tc>
        <w:tc>
          <w:tcPr>
            <w:tcW w:w="2521" w:type="dxa"/>
            <w:vAlign w:val="bottom"/>
          </w:tcPr>
          <w:p w14:paraId="0024EE98" w14:textId="0514FA47" w:rsidR="00D5463B" w:rsidRPr="009725EA" w:rsidRDefault="00D5463B" w:rsidP="00284F61">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Upper Chesapeake </w:t>
            </w:r>
          </w:p>
        </w:tc>
        <w:tc>
          <w:tcPr>
            <w:tcW w:w="832" w:type="dxa"/>
            <w:vAlign w:val="center"/>
          </w:tcPr>
          <w:p w14:paraId="23E2006E" w14:textId="4D2C66FC"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-1507</w:t>
            </w:r>
          </w:p>
        </w:tc>
        <w:tc>
          <w:tcPr>
            <w:tcW w:w="1559" w:type="dxa"/>
            <w:vAlign w:val="center"/>
          </w:tcPr>
          <w:p w14:paraId="3037532E" w14:textId="3B77BB32"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-$1,810,514</w:t>
            </w:r>
          </w:p>
        </w:tc>
      </w:tr>
      <w:tr w:rsidR="00D5463B" w14:paraId="1630D009" w14:textId="77777777" w:rsidTr="009725EA">
        <w:tc>
          <w:tcPr>
            <w:cnfStyle w:val="001000000000" w:firstRow="0" w:lastRow="0" w:firstColumn="1" w:lastColumn="0" w:oddVBand="0" w:evenVBand="0" w:oddHBand="0" w:evenHBand="0" w:firstRowFirstColumn="0" w:firstRowLastColumn="0" w:lastRowFirstColumn="0" w:lastRowLastColumn="0"/>
            <w:tcW w:w="2425" w:type="dxa"/>
          </w:tcPr>
          <w:p w14:paraId="7F19B0D3" w14:textId="2BDC6443" w:rsidR="00D5463B" w:rsidRPr="009725EA" w:rsidRDefault="00D5463B" w:rsidP="00D5463B">
            <w:pPr>
              <w:rPr>
                <w:sz w:val="18"/>
                <w:szCs w:val="18"/>
              </w:rPr>
            </w:pPr>
            <w:r w:rsidRPr="009725EA">
              <w:rPr>
                <w:rFonts w:ascii="Calibri" w:hAnsi="Calibri" w:cs="Calibri"/>
                <w:color w:val="000000"/>
                <w:sz w:val="18"/>
                <w:szCs w:val="18"/>
              </w:rPr>
              <w:t xml:space="preserve">MedStar Southern Maryland </w:t>
            </w:r>
          </w:p>
        </w:tc>
        <w:tc>
          <w:tcPr>
            <w:tcW w:w="810" w:type="dxa"/>
            <w:vAlign w:val="center"/>
          </w:tcPr>
          <w:p w14:paraId="17A18484" w14:textId="189B0A29"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-10847</w:t>
            </w:r>
          </w:p>
        </w:tc>
        <w:tc>
          <w:tcPr>
            <w:tcW w:w="1439" w:type="dxa"/>
            <w:vAlign w:val="center"/>
          </w:tcPr>
          <w:p w14:paraId="2A658B27" w14:textId="0EE17547"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sz w:val="18"/>
                <w:szCs w:val="18"/>
              </w:rPr>
            </w:pPr>
            <w:r w:rsidRPr="009725EA">
              <w:rPr>
                <w:rFonts w:ascii="Calibri" w:hAnsi="Calibri" w:cs="Calibri"/>
                <w:color w:val="000000"/>
                <w:sz w:val="18"/>
                <w:szCs w:val="18"/>
              </w:rPr>
              <w:t>-$13,031,614</w:t>
            </w:r>
          </w:p>
        </w:tc>
        <w:tc>
          <w:tcPr>
            <w:tcW w:w="2521" w:type="dxa"/>
            <w:vAlign w:val="bottom"/>
          </w:tcPr>
          <w:p w14:paraId="149830C9" w14:textId="10D2399B" w:rsidR="00D5463B" w:rsidRPr="009725EA" w:rsidRDefault="00D5463B" w:rsidP="00284F61">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 xml:space="preserve">Washington Adventist </w:t>
            </w:r>
          </w:p>
        </w:tc>
        <w:tc>
          <w:tcPr>
            <w:tcW w:w="832" w:type="dxa"/>
            <w:vAlign w:val="center"/>
          </w:tcPr>
          <w:p w14:paraId="2D944BCA" w14:textId="12387B8A"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-24083</w:t>
            </w:r>
          </w:p>
        </w:tc>
        <w:tc>
          <w:tcPr>
            <w:tcW w:w="1559" w:type="dxa"/>
            <w:vAlign w:val="center"/>
          </w:tcPr>
          <w:p w14:paraId="2D2C43C6" w14:textId="1BE80752" w:rsidR="00D5463B" w:rsidRPr="009725EA" w:rsidRDefault="00D5463B" w:rsidP="000F61C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-$28,933,378</w:t>
            </w:r>
          </w:p>
        </w:tc>
      </w:tr>
      <w:tr w:rsidR="00D5463B" w14:paraId="45738966" w14:textId="77777777" w:rsidTr="00972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9A99939" w14:textId="7A5CE8F9" w:rsidR="00D5463B" w:rsidRPr="009725EA" w:rsidRDefault="00D5463B" w:rsidP="00D5463B">
            <w:pPr>
              <w:rPr>
                <w:sz w:val="18"/>
                <w:szCs w:val="18"/>
              </w:rPr>
            </w:pPr>
            <w:r w:rsidRPr="009725EA">
              <w:rPr>
                <w:rFonts w:ascii="Calibri" w:hAnsi="Calibri" w:cs="Calibri"/>
                <w:color w:val="000000"/>
                <w:sz w:val="18"/>
                <w:szCs w:val="18"/>
              </w:rPr>
              <w:t>MedStar St. Mary's Hospital</w:t>
            </w:r>
          </w:p>
        </w:tc>
        <w:tc>
          <w:tcPr>
            <w:tcW w:w="810" w:type="dxa"/>
            <w:vAlign w:val="center"/>
          </w:tcPr>
          <w:p w14:paraId="2A680323" w14:textId="5962A3E6"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2506</w:t>
            </w:r>
          </w:p>
        </w:tc>
        <w:tc>
          <w:tcPr>
            <w:tcW w:w="1439" w:type="dxa"/>
            <w:vAlign w:val="center"/>
          </w:tcPr>
          <w:p w14:paraId="734D30FA" w14:textId="383689BE"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sz w:val="18"/>
                <w:szCs w:val="18"/>
              </w:rPr>
            </w:pPr>
            <w:r w:rsidRPr="009725EA">
              <w:rPr>
                <w:rFonts w:ascii="Calibri" w:hAnsi="Calibri" w:cs="Calibri"/>
                <w:color w:val="000000"/>
                <w:sz w:val="18"/>
                <w:szCs w:val="18"/>
              </w:rPr>
              <w:t>$0</w:t>
            </w:r>
          </w:p>
        </w:tc>
        <w:tc>
          <w:tcPr>
            <w:tcW w:w="2521" w:type="dxa"/>
            <w:vAlign w:val="bottom"/>
          </w:tcPr>
          <w:p w14:paraId="735CC9CC" w14:textId="556EEA42" w:rsidR="00D5463B" w:rsidRPr="009725EA" w:rsidRDefault="00033598" w:rsidP="00284F61">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9725EA">
              <w:rPr>
                <w:rFonts w:ascii="Calibri" w:hAnsi="Calibri" w:cs="Calibri"/>
                <w:b/>
                <w:bCs/>
                <w:color w:val="000000"/>
                <w:sz w:val="18"/>
                <w:szCs w:val="18"/>
              </w:rPr>
              <w:t>W.</w:t>
            </w:r>
            <w:r w:rsidR="00D5463B" w:rsidRPr="009725EA">
              <w:rPr>
                <w:rFonts w:ascii="Calibri" w:hAnsi="Calibri" w:cs="Calibri"/>
                <w:b/>
                <w:bCs/>
                <w:color w:val="000000"/>
                <w:sz w:val="18"/>
                <w:szCs w:val="18"/>
              </w:rPr>
              <w:t xml:space="preserve"> Maryland Regional </w:t>
            </w:r>
          </w:p>
        </w:tc>
        <w:tc>
          <w:tcPr>
            <w:tcW w:w="832" w:type="dxa"/>
            <w:vAlign w:val="center"/>
          </w:tcPr>
          <w:p w14:paraId="49B6955D" w14:textId="199578EB"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-13010</w:t>
            </w:r>
          </w:p>
        </w:tc>
        <w:tc>
          <w:tcPr>
            <w:tcW w:w="1559" w:type="dxa"/>
            <w:vAlign w:val="center"/>
          </w:tcPr>
          <w:p w14:paraId="7C8CED2B" w14:textId="164C9582" w:rsidR="00D5463B" w:rsidRPr="009725EA" w:rsidRDefault="00D5463B" w:rsidP="000F61C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725EA">
              <w:rPr>
                <w:rFonts w:ascii="Calibri" w:hAnsi="Calibri" w:cs="Calibri"/>
                <w:color w:val="000000"/>
                <w:sz w:val="18"/>
                <w:szCs w:val="18"/>
              </w:rPr>
              <w:t>-$15,630,247</w:t>
            </w:r>
          </w:p>
        </w:tc>
      </w:tr>
    </w:tbl>
    <w:p w14:paraId="6BEE776C" w14:textId="77777777" w:rsidR="001630A6" w:rsidRDefault="001630A6" w:rsidP="001630A6">
      <w:bookmarkStart w:id="12" w:name="_Toc26373854"/>
    </w:p>
    <w:p w14:paraId="3C961F53" w14:textId="5ACBAA45" w:rsidR="001630A6" w:rsidRDefault="001630A6" w:rsidP="001630A6">
      <w:r>
        <w:t>Once all calculations are completed, markup is applied to bring costs to charges.</w:t>
      </w:r>
    </w:p>
    <w:p w14:paraId="1031760A" w14:textId="31119597" w:rsidR="0009517F" w:rsidRDefault="0009517F" w:rsidP="007B7DE8">
      <w:pPr>
        <w:pStyle w:val="Heading1"/>
        <w:rPr>
          <w:b/>
          <w:bCs/>
          <w:sz w:val="22"/>
          <w:szCs w:val="22"/>
        </w:rPr>
      </w:pPr>
      <w:r>
        <w:rPr>
          <w:b/>
          <w:bCs/>
          <w:sz w:val="22"/>
          <w:szCs w:val="22"/>
        </w:rPr>
        <w:t>Stakeholder Comments</w:t>
      </w:r>
      <w:bookmarkEnd w:id="12"/>
    </w:p>
    <w:p w14:paraId="16936EE2" w14:textId="246C53FE" w:rsidR="0009517F" w:rsidRDefault="0009517F" w:rsidP="00E505A8">
      <w:r>
        <w:t>Staff received six comment letters from stakeholders, e.g. Johns Hopkins Health System (JHHS), University of Maryland Medical System (UMMS), Adventis</w:t>
      </w:r>
      <w:r w:rsidR="00D94151">
        <w:t xml:space="preserve">t HealthCare, Greater Baltimore </w:t>
      </w:r>
      <w:r>
        <w:t>Medical Center (GBMC), CareFirst, and</w:t>
      </w:r>
      <w:r w:rsidR="00CA5889">
        <w:t xml:space="preserve"> the Maryland Hospital Association</w:t>
      </w:r>
      <w:r>
        <w:t xml:space="preserve"> </w:t>
      </w:r>
      <w:r w:rsidR="00CA5889">
        <w:t>(</w:t>
      </w:r>
      <w:r>
        <w:t>MHA</w:t>
      </w:r>
      <w:r w:rsidR="00CA5889">
        <w:t>)</w:t>
      </w:r>
      <w:r>
        <w:t xml:space="preserve">. All comments were supportive </w:t>
      </w:r>
      <w:r w:rsidR="0097116C">
        <w:t xml:space="preserve">of a dedicated capital policy. </w:t>
      </w:r>
    </w:p>
    <w:p w14:paraId="5CB76BED" w14:textId="70475CB6" w:rsidR="00347FC4" w:rsidRDefault="00BC40F8" w:rsidP="00E505A8">
      <w:r>
        <w:t>JHHS</w:t>
      </w:r>
      <w:r w:rsidR="000C757E">
        <w:t xml:space="preserve">, Adventist, and </w:t>
      </w:r>
      <w:r>
        <w:t xml:space="preserve">CareFirst support the use of the scaling factor </w:t>
      </w:r>
      <w:r w:rsidR="00AA3526">
        <w:t xml:space="preserve">for the amount of capital funding </w:t>
      </w:r>
      <w:r>
        <w:t>based on efficiency</w:t>
      </w:r>
      <w:r w:rsidR="00AA3526">
        <w:t xml:space="preserve"> scores, using the ICC and the TCOC scores. </w:t>
      </w:r>
      <w:r w:rsidR="00F25138">
        <w:t xml:space="preserve">UMMS, </w:t>
      </w:r>
      <w:r w:rsidR="000C757E">
        <w:t>GBMC</w:t>
      </w:r>
      <w:r w:rsidR="00F25138">
        <w:t xml:space="preserve">, and the MHA commented that </w:t>
      </w:r>
      <w:r w:rsidR="00D87D46">
        <w:t xml:space="preserve">scaling the capital funding based on efficiency </w:t>
      </w:r>
      <w:r w:rsidR="000D05E3">
        <w:t>is too limited and would r</w:t>
      </w:r>
      <w:r w:rsidR="00B634F1">
        <w:t>estrict access to rate support. S</w:t>
      </w:r>
      <w:r w:rsidR="00234372">
        <w:t>taff believe that it is</w:t>
      </w:r>
      <w:r w:rsidR="00B634F1">
        <w:t xml:space="preserve"> appropriate to </w:t>
      </w:r>
      <w:r w:rsidR="00234372">
        <w:t>adjus</w:t>
      </w:r>
      <w:r w:rsidR="00DA0056">
        <w:t>t the amount of capi</w:t>
      </w:r>
      <w:r w:rsidR="00FA7964">
        <w:t xml:space="preserve">tal funding based on efficiency. </w:t>
      </w:r>
      <w:r w:rsidR="00B9446D">
        <w:t>The ICC indicates that hospitals</w:t>
      </w:r>
      <w:r w:rsidR="00A647DE">
        <w:t>’</w:t>
      </w:r>
      <w:r w:rsidR="00B9446D">
        <w:t xml:space="preserve"> cost per case is relatively high</w:t>
      </w:r>
      <w:r w:rsidR="00D94151">
        <w:t>, meaning that the hospitals have</w:t>
      </w:r>
      <w:r w:rsidR="00B9446D">
        <w:t xml:space="preserve"> the opportunity to finance their capital project through improvements in internal cost efficiency.</w:t>
      </w:r>
      <w:r w:rsidR="00B614D0">
        <w:t xml:space="preserve"> Several of </w:t>
      </w:r>
      <w:r w:rsidR="00B614D0">
        <w:lastRenderedPageBreak/>
        <w:t xml:space="preserve">the commenters also suggested moving to an attainment based TCOC measure. The </w:t>
      </w:r>
      <w:r w:rsidR="00CF582E">
        <w:t>s</w:t>
      </w:r>
      <w:r w:rsidR="00B614D0">
        <w:t>taff is exploring doing so</w:t>
      </w:r>
      <w:r w:rsidR="00CA5889">
        <w:t>,</w:t>
      </w:r>
      <w:r w:rsidR="00B614D0">
        <w:t xml:space="preserve"> but recommends proceeding with </w:t>
      </w:r>
      <w:r w:rsidR="00A647DE">
        <w:t xml:space="preserve">this </w:t>
      </w:r>
      <w:r w:rsidR="0049187D">
        <w:t xml:space="preserve">improvement </w:t>
      </w:r>
      <w:r w:rsidR="00A647DE">
        <w:t>in future</w:t>
      </w:r>
      <w:r w:rsidR="0049187D">
        <w:t xml:space="preserve"> policy</w:t>
      </w:r>
      <w:r w:rsidR="00A647DE">
        <w:t xml:space="preserve"> iterations</w:t>
      </w:r>
      <w:r w:rsidR="0049187D">
        <w:t>.</w:t>
      </w:r>
    </w:p>
    <w:p w14:paraId="78017526" w14:textId="6EB87E08" w:rsidR="000208FD" w:rsidRDefault="000208FD" w:rsidP="00E505A8">
      <w:r>
        <w:t>JHHS, UMMS, Adventist, GBMC, and the MHA expressed concern that the 35</w:t>
      </w:r>
      <w:r w:rsidR="00CF582E">
        <w:t xml:space="preserve"> percent</w:t>
      </w:r>
      <w:r>
        <w:t xml:space="preserve"> or $50 million threshold to receive capital funding was too restrictive because projects that were smaller than a major plant replacement would not be eligible to receive funding. Staff agree that the threshold was too restrictive for small hospitals since $50 million would be greater than 100</w:t>
      </w:r>
      <w:r w:rsidR="00CF582E">
        <w:t xml:space="preserve"> percent</w:t>
      </w:r>
      <w:r>
        <w:t xml:space="preserve"> of the hospitals permanent </w:t>
      </w:r>
      <w:r w:rsidR="00EC04D0">
        <w:t xml:space="preserve">revenue for certain small hospitals. </w:t>
      </w:r>
      <w:r w:rsidR="00CE275C">
        <w:t>Staff’</w:t>
      </w:r>
      <w:r w:rsidR="00CF582E">
        <w:t>s</w:t>
      </w:r>
      <w:r w:rsidR="00CE275C">
        <w:t xml:space="preserve"> final recommendation includes a scaled threshold based on the size of the hospital. However, staff does not recommend changing the threshold for hospitals above the median size (about $300 million). Money for capital is currently available through the hospital’s GBR and the update factor. Money added to rate</w:t>
      </w:r>
      <w:r w:rsidR="00A647DE">
        <w:t xml:space="preserve">s for major capital projects would be </w:t>
      </w:r>
      <w:r w:rsidR="00CE275C">
        <w:t xml:space="preserve">double paying for those projects. Staff believes this is appropriate for major plant replacements, given the cash flow issues involved, but considers it fiscally prudent to </w:t>
      </w:r>
      <w:r w:rsidR="0013444E">
        <w:t xml:space="preserve">exclude smaller capital projects from being eligible for rate increases on top of what is </w:t>
      </w:r>
      <w:r w:rsidR="00CA5889">
        <w:t xml:space="preserve">already </w:t>
      </w:r>
      <w:r w:rsidR="0013444E">
        <w:t xml:space="preserve">provided through the GBR. </w:t>
      </w:r>
    </w:p>
    <w:p w14:paraId="5F52A5CC" w14:textId="06D212DC" w:rsidR="00001201" w:rsidRDefault="0013444E" w:rsidP="00E505A8">
      <w:r>
        <w:t xml:space="preserve">UMMS, Adventist, and GBMC, all expressed concern that the timing of capital intensity of the hospital’s peer groups could effectively limit the </w:t>
      </w:r>
      <w:r w:rsidR="00FB6056">
        <w:t xml:space="preserve">amount of funding that the hospital could receive. Staff believe that the distribution of hospital costs within peer groups is relatively normal but do believe that the timing of a major capital project could change the peer groups capital intensity. The </w:t>
      </w:r>
      <w:r w:rsidR="00CF582E">
        <w:t>s</w:t>
      </w:r>
      <w:r w:rsidR="00FB6056">
        <w:t xml:space="preserve">taff will monitor </w:t>
      </w:r>
      <w:r w:rsidR="00001201">
        <w:t>the timing of capital cycles within each peer group to assess the impact of adding new projects on other hospitals’ eligibility for capital financing.</w:t>
      </w:r>
    </w:p>
    <w:p w14:paraId="419881A1" w14:textId="76375E55" w:rsidR="00001201" w:rsidRDefault="00875975" w:rsidP="00E505A8">
      <w:r>
        <w:t>UMMS, Adventist, and GBMC, expressed concern with the calculation of the excess capacity adjustment. Until 2014, the State operated under a</w:t>
      </w:r>
      <w:r w:rsidR="00CA5889">
        <w:t>n</w:t>
      </w:r>
      <w:r>
        <w:t xml:space="preserve"> 85</w:t>
      </w:r>
      <w:r w:rsidR="00CF582E">
        <w:t xml:space="preserve"> percent</w:t>
      </w:r>
      <w:r>
        <w:t xml:space="preserve"> </w:t>
      </w:r>
      <w:r w:rsidR="00CA5889">
        <w:t>variable cost factor (</w:t>
      </w:r>
      <w:r>
        <w:t>VCF</w:t>
      </w:r>
      <w:r w:rsidR="00CA5889">
        <w:t>)</w:t>
      </w:r>
      <w:r>
        <w:t>, which means that volume declines between 2010 and 2014 have been partially defunded. Staff agrees with this concern and have recommended that a partial credit equal to 35</w:t>
      </w:r>
      <w:r w:rsidR="00CF582E">
        <w:t xml:space="preserve"> percent</w:t>
      </w:r>
      <w:r>
        <w:t xml:space="preserve"> (the difference between the 85</w:t>
      </w:r>
      <w:r w:rsidR="00CF582E">
        <w:t xml:space="preserve"> percent</w:t>
      </w:r>
      <w:r>
        <w:t xml:space="preserve"> VCF and the 50</w:t>
      </w:r>
      <w:r w:rsidR="00CF582E">
        <w:t xml:space="preserve"> percent</w:t>
      </w:r>
      <w:r>
        <w:t xml:space="preserve"> VCF used to calculate fixed costs) be credited back to hospitals in the determination of the excess capacity costs.</w:t>
      </w:r>
      <w:r w:rsidR="003109FC">
        <w:t xml:space="preserve"> </w:t>
      </w:r>
    </w:p>
    <w:p w14:paraId="79F75992" w14:textId="452AD54B" w:rsidR="00875975" w:rsidRDefault="003109FC" w:rsidP="00E505A8">
      <w:r>
        <w:t xml:space="preserve">Adventist expressed </w:t>
      </w:r>
      <w:r w:rsidR="00397C3F">
        <w:t>the</w:t>
      </w:r>
      <w:r w:rsidR="00BD4D13">
        <w:t xml:space="preserve"> concern </w:t>
      </w:r>
      <w:r w:rsidR="00CA5889">
        <w:t xml:space="preserve">that </w:t>
      </w:r>
      <w:r w:rsidR="009C022C">
        <w:t xml:space="preserve">fixed costs </w:t>
      </w:r>
      <w:r w:rsidR="000774BE">
        <w:t xml:space="preserve">cannot be rolled over to fund new capital projects because, by definition, those costs remain </w:t>
      </w:r>
      <w:r w:rsidR="009C022C">
        <w:t>regardless of the quantity of goods and services</w:t>
      </w:r>
      <w:r w:rsidR="006D726D">
        <w:t xml:space="preserve"> that are provided</w:t>
      </w:r>
      <w:r w:rsidR="009C022C">
        <w:t xml:space="preserve">. Staff agrees that building costs are fixed in the short-run but are not fixed when the hospital is constructing a new building. Therefore, </w:t>
      </w:r>
      <w:r w:rsidR="00CF582E">
        <w:t>s</w:t>
      </w:r>
      <w:r w:rsidR="009C022C">
        <w:t xml:space="preserve">taff consider it quite feasible that when replacing a building the hospital roll over some of their excess fixed costs. </w:t>
      </w:r>
    </w:p>
    <w:p w14:paraId="3823EBA5" w14:textId="4CE96BDB" w:rsidR="00AA427F" w:rsidRPr="00E505A8" w:rsidRDefault="00AA427F" w:rsidP="00E505A8">
      <w:r>
        <w:t xml:space="preserve">The MHA expressed concern that </w:t>
      </w:r>
      <w:r w:rsidR="00C463FC">
        <w:t xml:space="preserve">the capital funding would be subtracted from the inflation portion of the update factor. CareFirst expressed support for doing so. </w:t>
      </w:r>
      <w:r w:rsidR="00266938">
        <w:t>The GBR already includes money for existing capital projects that</w:t>
      </w:r>
      <w:r w:rsidR="0004559F">
        <w:t xml:space="preserve"> remains in the hospital’s budget </w:t>
      </w:r>
      <w:r w:rsidR="00266938">
        <w:t>after the project is fully depreciated and</w:t>
      </w:r>
      <w:r w:rsidR="00A0725A">
        <w:t xml:space="preserve"> continues to</w:t>
      </w:r>
      <w:r w:rsidR="00266938">
        <w:t xml:space="preserve"> receive the update factor. </w:t>
      </w:r>
      <w:r w:rsidR="006C35C6">
        <w:t xml:space="preserve">Additional money for capital is thus duplicative of that existing funding. However, </w:t>
      </w:r>
      <w:r w:rsidR="00CF582E">
        <w:t>s</w:t>
      </w:r>
      <w:r w:rsidR="006C35C6">
        <w:t xml:space="preserve">taff </w:t>
      </w:r>
      <w:r w:rsidR="00B73817">
        <w:t xml:space="preserve">believes that the current approach to the update factor – limiting the update factor to the lesser of GSP growth and national Medicare TCOC growth – is sufficient to constrain costs and therefore </w:t>
      </w:r>
      <w:r w:rsidR="006C35C6">
        <w:t>recommends tha</w:t>
      </w:r>
      <w:r w:rsidR="00B73817">
        <w:t>t capital funding only be removed from the update factor if one of those two tests is</w:t>
      </w:r>
      <w:r w:rsidR="0005375A">
        <w:t xml:space="preserve"> </w:t>
      </w:r>
      <w:r w:rsidR="00D17315">
        <w:t>jeopardized</w:t>
      </w:r>
      <w:r w:rsidR="0005375A">
        <w:t xml:space="preserve">. </w:t>
      </w:r>
    </w:p>
    <w:p w14:paraId="6DEEBF93" w14:textId="77777777" w:rsidR="007B7DE8" w:rsidRPr="00C646DA" w:rsidRDefault="007B7DE8" w:rsidP="007B7DE8">
      <w:pPr>
        <w:pStyle w:val="Heading1"/>
        <w:rPr>
          <w:b/>
          <w:bCs/>
          <w:sz w:val="22"/>
          <w:szCs w:val="22"/>
        </w:rPr>
      </w:pPr>
      <w:bookmarkStart w:id="13" w:name="_Toc26373855"/>
      <w:r w:rsidRPr="00C646DA">
        <w:rPr>
          <w:b/>
          <w:bCs/>
          <w:sz w:val="22"/>
          <w:szCs w:val="22"/>
        </w:rPr>
        <w:t>Recommendations</w:t>
      </w:r>
      <w:bookmarkEnd w:id="13"/>
    </w:p>
    <w:p w14:paraId="7B386EB9" w14:textId="5CC405C3" w:rsidR="007B7DE8" w:rsidRDefault="007B7DE8" w:rsidP="007B7DE8">
      <w:r>
        <w:t xml:space="preserve">Staff recommend </w:t>
      </w:r>
      <w:r w:rsidR="00C36C80">
        <w:t xml:space="preserve">that rate support be limited to capital projects that exceed </w:t>
      </w:r>
      <w:r w:rsidR="007533D5">
        <w:t xml:space="preserve">a </w:t>
      </w:r>
      <w:r w:rsidR="00A647DE">
        <w:t>threshold of 2</w:t>
      </w:r>
      <w:r w:rsidR="00F00BD5">
        <w:t xml:space="preserve">5 percent </w:t>
      </w:r>
      <w:r w:rsidR="00A647DE">
        <w:t xml:space="preserve">of permanent revenue </w:t>
      </w:r>
      <w:r w:rsidR="00F00BD5">
        <w:t>for hospitals that have</w:t>
      </w:r>
      <w:r w:rsidR="00A647DE">
        <w:t xml:space="preserve"> a</w:t>
      </w:r>
      <w:r w:rsidR="00F00BD5">
        <w:t xml:space="preserve"> permanent revenue </w:t>
      </w:r>
      <w:r w:rsidR="00A647DE">
        <w:t xml:space="preserve">base </w:t>
      </w:r>
      <w:r w:rsidR="00F00BD5">
        <w:t xml:space="preserve">of $300 million or greater.  For </w:t>
      </w:r>
      <w:r w:rsidR="00F00BD5">
        <w:lastRenderedPageBreak/>
        <w:t xml:space="preserve">smaller hospitals with permanent GBR revenue less than $300 million, the threshold will be scaled up to 50 percent of the hospital’s permanent revenue.  </w:t>
      </w:r>
      <w:r w:rsidR="00F93A2A">
        <w:t xml:space="preserve">Further, </w:t>
      </w:r>
      <w:r>
        <w:t xml:space="preserve">the </w:t>
      </w:r>
      <w:r w:rsidR="00E15C9A">
        <w:t>amount of funding</w:t>
      </w:r>
      <w:r w:rsidR="00F00BD5">
        <w:t xml:space="preserve"> for which a </w:t>
      </w:r>
      <w:r>
        <w:t xml:space="preserve">hospital’s capital </w:t>
      </w:r>
      <w:r w:rsidR="00064DBF">
        <w:t xml:space="preserve">project </w:t>
      </w:r>
      <w:r w:rsidR="00F00BD5">
        <w:t xml:space="preserve">is eligible should </w:t>
      </w:r>
      <w:r>
        <w:t xml:space="preserve">be determined through </w:t>
      </w:r>
      <w:r w:rsidR="00D40E18">
        <w:t>the</w:t>
      </w:r>
      <w:r w:rsidR="00F00BD5">
        <w:t xml:space="preserve"> following</w:t>
      </w:r>
      <w:r>
        <w:t xml:space="preserve"> three</w:t>
      </w:r>
      <w:r w:rsidR="009818B1">
        <w:t>-</w:t>
      </w:r>
      <w:r>
        <w:t>step algorithm</w:t>
      </w:r>
      <w:r w:rsidR="000B6473">
        <w:t xml:space="preserve">: </w:t>
      </w:r>
    </w:p>
    <w:p w14:paraId="3EFCA705" w14:textId="1119D606" w:rsidR="007B7DE8" w:rsidRDefault="007B7DE8" w:rsidP="00605BB5">
      <w:pPr>
        <w:pStyle w:val="ListParagraph"/>
        <w:numPr>
          <w:ilvl w:val="0"/>
          <w:numId w:val="9"/>
        </w:numPr>
      </w:pPr>
      <w:r>
        <w:t xml:space="preserve">Determine the Hospital’s </w:t>
      </w:r>
      <w:r w:rsidR="005025A1">
        <w:t>e</w:t>
      </w:r>
      <w:r>
        <w:t xml:space="preserve">ligible </w:t>
      </w:r>
      <w:r w:rsidR="005025A1">
        <w:t>f</w:t>
      </w:r>
      <w:r>
        <w:t>unding</w:t>
      </w:r>
      <w:r w:rsidR="005025A1">
        <w:t xml:space="preserve"> based on the proposed project</w:t>
      </w:r>
    </w:p>
    <w:p w14:paraId="7DA02F5F" w14:textId="35DC9B36" w:rsidR="007B7DE8" w:rsidRDefault="007B7DE8" w:rsidP="00605BB5">
      <w:pPr>
        <w:pStyle w:val="ListParagraph"/>
        <w:numPr>
          <w:ilvl w:val="0"/>
          <w:numId w:val="9"/>
        </w:numPr>
      </w:pPr>
      <w:r>
        <w:t xml:space="preserve">Apply a </w:t>
      </w:r>
      <w:r w:rsidR="005025A1">
        <w:t>s</w:t>
      </w:r>
      <w:r>
        <w:t xml:space="preserve">caling </w:t>
      </w:r>
      <w:r w:rsidR="005025A1">
        <w:t>f</w:t>
      </w:r>
      <w:r>
        <w:t xml:space="preserve">actor based on </w:t>
      </w:r>
      <w:r w:rsidR="005025A1">
        <w:t>e</w:t>
      </w:r>
      <w:r>
        <w:t>fficiency</w:t>
      </w:r>
    </w:p>
    <w:p w14:paraId="491884DE" w14:textId="57C0813B" w:rsidR="00C024B0" w:rsidRDefault="007B7DE8" w:rsidP="00605BB5">
      <w:pPr>
        <w:pStyle w:val="ListParagraph"/>
        <w:numPr>
          <w:ilvl w:val="0"/>
          <w:numId w:val="9"/>
        </w:numPr>
      </w:pPr>
      <w:r>
        <w:t xml:space="preserve">Adjust for PAU and </w:t>
      </w:r>
      <w:r w:rsidR="005025A1">
        <w:t>e</w:t>
      </w:r>
      <w:r>
        <w:t xml:space="preserve">xcess </w:t>
      </w:r>
      <w:r w:rsidR="005025A1">
        <w:t>c</w:t>
      </w:r>
      <w:r>
        <w:t>apacity</w:t>
      </w:r>
    </w:p>
    <w:p w14:paraId="1DE527B9" w14:textId="1C58AD2E" w:rsidR="00B4182B" w:rsidRDefault="00703C9C">
      <w:r>
        <w:t xml:space="preserve">Staff further recommends that the </w:t>
      </w:r>
      <w:r w:rsidR="00EB5D40">
        <w:t>amount determine</w:t>
      </w:r>
      <w:r w:rsidR="005025A1">
        <w:t>d by</w:t>
      </w:r>
      <w:r w:rsidR="00EB5D40">
        <w:t xml:space="preserve"> the </w:t>
      </w:r>
      <w:r w:rsidR="00F220E6">
        <w:t xml:space="preserve">algorithm be added to the hospitals </w:t>
      </w:r>
      <w:r w:rsidR="00A700D7">
        <w:t>permanent</w:t>
      </w:r>
      <w:r w:rsidR="00F220E6">
        <w:t xml:space="preserve"> revenue </w:t>
      </w:r>
      <w:r w:rsidR="00A700D7">
        <w:t>be</w:t>
      </w:r>
      <w:r w:rsidR="00267A04">
        <w:t>ginning</w:t>
      </w:r>
      <w:r w:rsidR="00A700D7">
        <w:t xml:space="preserve"> in the year in which a </w:t>
      </w:r>
      <w:r w:rsidR="009D0165">
        <w:t xml:space="preserve">capital project </w:t>
      </w:r>
      <w:r w:rsidR="003D731C">
        <w:t>com</w:t>
      </w:r>
      <w:r w:rsidR="009D0165">
        <w:t xml:space="preserve">es </w:t>
      </w:r>
      <w:r w:rsidR="00C019FF">
        <w:t>onl</w:t>
      </w:r>
      <w:r w:rsidR="009D0165">
        <w:t xml:space="preserve">ine. </w:t>
      </w:r>
      <w:r w:rsidR="00220ADC">
        <w:t xml:space="preserve">In that year, </w:t>
      </w:r>
      <w:r w:rsidR="00267A04">
        <w:t>s</w:t>
      </w:r>
      <w:r w:rsidR="00394E7F">
        <w:t>t</w:t>
      </w:r>
      <w:r w:rsidR="00B4182B">
        <w:t>a</w:t>
      </w:r>
      <w:r w:rsidR="00394E7F">
        <w:t xml:space="preserve">ff will recommend that the </w:t>
      </w:r>
      <w:r w:rsidR="002E3A9A">
        <w:t xml:space="preserve">amount of the </w:t>
      </w:r>
      <w:r w:rsidR="00956190">
        <w:t>capital</w:t>
      </w:r>
      <w:r w:rsidR="00341425">
        <w:t xml:space="preserve"> project be subtracted from the inflation</w:t>
      </w:r>
      <w:r w:rsidR="00330788">
        <w:t xml:space="preserve"> portion of the update </w:t>
      </w:r>
      <w:r w:rsidR="005B348F">
        <w:t>factor</w:t>
      </w:r>
      <w:r w:rsidR="00B4182B">
        <w:t>, if the update factor inclusive of capital funding would cause Maryland to exceed th</w:t>
      </w:r>
      <w:r w:rsidR="00E505A8">
        <w:t xml:space="preserve">e </w:t>
      </w:r>
      <w:r w:rsidR="00B4182B">
        <w:t>Medicare total cost of care</w:t>
      </w:r>
      <w:r w:rsidR="00E505A8">
        <w:t xml:space="preserve"> guardrail tests</w:t>
      </w:r>
      <w:r w:rsidR="00B4182B">
        <w:t xml:space="preserve"> or the growth in the gross state product (GSP).</w:t>
      </w:r>
    </w:p>
    <w:p w14:paraId="645465FE" w14:textId="058B4426" w:rsidR="00C87B26" w:rsidRPr="00C87B26" w:rsidRDefault="003D12CF" w:rsidP="00C87B26">
      <w:r>
        <w:t xml:space="preserve">Finally, </w:t>
      </w:r>
      <w:r w:rsidR="005E1A32">
        <w:t xml:space="preserve">if a hospital </w:t>
      </w:r>
      <w:r w:rsidR="00EE39FD">
        <w:t xml:space="preserve">applies </w:t>
      </w:r>
      <w:r w:rsidR="00BE50F2">
        <w:t xml:space="preserve">for </w:t>
      </w:r>
      <w:r w:rsidR="003F3E8B">
        <w:t xml:space="preserve">a </w:t>
      </w:r>
      <w:r w:rsidR="002F5663">
        <w:t xml:space="preserve">rate increase </w:t>
      </w:r>
      <w:r w:rsidR="001D51C5">
        <w:t xml:space="preserve">for a project </w:t>
      </w:r>
      <w:r w:rsidR="00F00BD5">
        <w:t>after the conclusion of the Certificate of Need approval process</w:t>
      </w:r>
      <w:r w:rsidR="00BD1088">
        <w:t xml:space="preserve">, </w:t>
      </w:r>
      <w:r w:rsidR="00267A04">
        <w:t>s</w:t>
      </w:r>
      <w:r w:rsidR="001645E5">
        <w:t xml:space="preserve">taff recommends </w:t>
      </w:r>
      <w:r w:rsidR="00C51969">
        <w:t>that the</w:t>
      </w:r>
      <w:r w:rsidR="003C0472">
        <w:t xml:space="preserve"> amount </w:t>
      </w:r>
      <w:r w:rsidR="00CA2593">
        <w:t xml:space="preserve">of funding they receive should be equal to the lesser </w:t>
      </w:r>
      <w:r w:rsidR="002A61A6">
        <w:t xml:space="preserve">of </w:t>
      </w:r>
      <w:r w:rsidR="00111377">
        <w:t xml:space="preserve">the algorithm </w:t>
      </w:r>
      <w:r w:rsidR="00A647DE">
        <w:t xml:space="preserve">result </w:t>
      </w:r>
      <w:r w:rsidR="00E34BAC">
        <w:t>w</w:t>
      </w:r>
      <w:r w:rsidR="001C18AA">
        <w:t xml:space="preserve">hen the hospital submits a rate request </w:t>
      </w:r>
      <w:r w:rsidR="00E71F85">
        <w:t xml:space="preserve">and </w:t>
      </w:r>
      <w:r w:rsidR="00020B00">
        <w:t xml:space="preserve">the </w:t>
      </w:r>
      <w:r w:rsidR="00A647DE">
        <w:t xml:space="preserve">algorithm result in the </w:t>
      </w:r>
      <w:r w:rsidR="00020B00">
        <w:t>year that the</w:t>
      </w:r>
      <w:r w:rsidR="007E6B39">
        <w:t xml:space="preserve"> project was approved through the Certificate of Need process.</w:t>
      </w:r>
      <w:r w:rsidR="00020B00">
        <w:t xml:space="preserve"> </w:t>
      </w:r>
    </w:p>
    <w:p w14:paraId="185323FF" w14:textId="430097BA" w:rsidR="002540F0" w:rsidRDefault="002540F0" w:rsidP="00360177"/>
    <w:sectPr w:rsidR="002540F0" w:rsidSect="003E6807">
      <w:footerReference w:type="default" r:id="rId8"/>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F22E91" w16cid:durableId="219257DC"/>
  <w16cid:commentId w16cid:paraId="71E08143" w16cid:durableId="219257DD"/>
  <w16cid:commentId w16cid:paraId="7D95A7D8" w16cid:durableId="219257DE"/>
  <w16cid:commentId w16cid:paraId="1BDBDCED" w16cid:durableId="219257DF"/>
  <w16cid:commentId w16cid:paraId="7678881E" w16cid:durableId="21925F33"/>
  <w16cid:commentId w16cid:paraId="184E4130" w16cid:durableId="219257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A3A92" w14:textId="77777777" w:rsidR="00521BB4" w:rsidRDefault="00521BB4" w:rsidP="00120A47">
      <w:pPr>
        <w:spacing w:after="0" w:line="240" w:lineRule="auto"/>
      </w:pPr>
      <w:r>
        <w:separator/>
      </w:r>
    </w:p>
  </w:endnote>
  <w:endnote w:type="continuationSeparator" w:id="0">
    <w:p w14:paraId="59EB2D60" w14:textId="77777777" w:rsidR="00521BB4" w:rsidRDefault="00521BB4" w:rsidP="00120A47">
      <w:pPr>
        <w:spacing w:after="0" w:line="240" w:lineRule="auto"/>
      </w:pPr>
      <w:r>
        <w:continuationSeparator/>
      </w:r>
    </w:p>
  </w:endnote>
  <w:endnote w:type="continuationNotice" w:id="1">
    <w:p w14:paraId="4D5B4D90" w14:textId="77777777" w:rsidR="00521BB4" w:rsidRDefault="00521B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272792"/>
      <w:docPartObj>
        <w:docPartGallery w:val="Page Numbers (Bottom of Page)"/>
        <w:docPartUnique/>
      </w:docPartObj>
    </w:sdtPr>
    <w:sdtEndPr>
      <w:rPr>
        <w:noProof/>
      </w:rPr>
    </w:sdtEndPr>
    <w:sdtContent>
      <w:p w14:paraId="5A1C5CE2" w14:textId="3E3609B7" w:rsidR="003D0E41" w:rsidRDefault="003D0E41">
        <w:pPr>
          <w:pStyle w:val="Footer"/>
          <w:jc w:val="right"/>
        </w:pPr>
        <w:r>
          <w:fldChar w:fldCharType="begin"/>
        </w:r>
        <w:r>
          <w:instrText xml:space="preserve"> PAGE   \* MERGEFORMAT </w:instrText>
        </w:r>
        <w:r>
          <w:fldChar w:fldCharType="separate"/>
        </w:r>
        <w:r w:rsidR="00E2700D">
          <w:rPr>
            <w:noProof/>
          </w:rPr>
          <w:t>13</w:t>
        </w:r>
        <w:r>
          <w:rPr>
            <w:noProof/>
          </w:rPr>
          <w:fldChar w:fldCharType="end"/>
        </w:r>
      </w:p>
    </w:sdtContent>
  </w:sdt>
  <w:p w14:paraId="240353E7" w14:textId="77777777" w:rsidR="003D0E41" w:rsidRDefault="003D0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63C0D" w14:textId="77777777" w:rsidR="00521BB4" w:rsidRDefault="00521BB4" w:rsidP="00120A47">
      <w:pPr>
        <w:spacing w:after="0" w:line="240" w:lineRule="auto"/>
      </w:pPr>
      <w:r>
        <w:separator/>
      </w:r>
    </w:p>
  </w:footnote>
  <w:footnote w:type="continuationSeparator" w:id="0">
    <w:p w14:paraId="13DD1DAD" w14:textId="77777777" w:rsidR="00521BB4" w:rsidRDefault="00521BB4" w:rsidP="00120A47">
      <w:pPr>
        <w:spacing w:after="0" w:line="240" w:lineRule="auto"/>
      </w:pPr>
      <w:r>
        <w:continuationSeparator/>
      </w:r>
    </w:p>
  </w:footnote>
  <w:footnote w:type="continuationNotice" w:id="1">
    <w:p w14:paraId="30222D17" w14:textId="77777777" w:rsidR="00521BB4" w:rsidRDefault="00521BB4">
      <w:pPr>
        <w:spacing w:after="0" w:line="240" w:lineRule="auto"/>
      </w:pPr>
    </w:p>
  </w:footnote>
  <w:footnote w:id="2">
    <w:p w14:paraId="6B13C778" w14:textId="62FF5A61" w:rsidR="00831481" w:rsidRDefault="00831481">
      <w:pPr>
        <w:pStyle w:val="FootnoteText"/>
      </w:pPr>
      <w:r>
        <w:rPr>
          <w:rStyle w:val="FootnoteReference"/>
        </w:rPr>
        <w:footnoteRef/>
      </w:r>
      <w:r>
        <w:t xml:space="preserve"> See Capital Threshold Calculator in Capital Methodology Workbook to determine if a project meets the threshold for rate support.</w:t>
      </w:r>
    </w:p>
  </w:footnote>
  <w:footnote w:id="3">
    <w:p w14:paraId="2A5B4B79" w14:textId="21F2BCBD" w:rsidR="003D0E41" w:rsidRDefault="003D0E41">
      <w:pPr>
        <w:pStyle w:val="FootnoteText"/>
      </w:pPr>
      <w:r>
        <w:rPr>
          <w:rStyle w:val="FootnoteReference"/>
        </w:rPr>
        <w:footnoteRef/>
      </w:r>
      <w:r>
        <w:t xml:space="preserve">The sum of </w:t>
      </w:r>
      <w:r w:rsidR="00D94151">
        <w:t>average annual interest costs and</w:t>
      </w:r>
      <w:r>
        <w:t xml:space="preserve"> depreciation</w:t>
      </w:r>
    </w:p>
  </w:footnote>
  <w:footnote w:id="4">
    <w:p w14:paraId="4E276505" w14:textId="77777777" w:rsidR="003D0E41" w:rsidRDefault="003D0E41" w:rsidP="00C85536">
      <w:pPr>
        <w:pStyle w:val="FootnoteText"/>
      </w:pPr>
      <w:r>
        <w:rPr>
          <w:rStyle w:val="FootnoteReference"/>
        </w:rPr>
        <w:footnoteRef/>
      </w:r>
      <w:r>
        <w:t xml:space="preserve"> Data on OP surgery visits only became available in 2013.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717A"/>
    <w:multiLevelType w:val="hybridMultilevel"/>
    <w:tmpl w:val="636E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35260"/>
    <w:multiLevelType w:val="hybridMultilevel"/>
    <w:tmpl w:val="0D5C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D32E4"/>
    <w:multiLevelType w:val="hybridMultilevel"/>
    <w:tmpl w:val="49640B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13471"/>
    <w:multiLevelType w:val="hybridMultilevel"/>
    <w:tmpl w:val="FCD2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E2399"/>
    <w:multiLevelType w:val="hybridMultilevel"/>
    <w:tmpl w:val="15189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6A2CDE"/>
    <w:multiLevelType w:val="hybridMultilevel"/>
    <w:tmpl w:val="E206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D61A82"/>
    <w:multiLevelType w:val="hybridMultilevel"/>
    <w:tmpl w:val="2EA6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A67B3"/>
    <w:multiLevelType w:val="hybridMultilevel"/>
    <w:tmpl w:val="15189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DF25D6"/>
    <w:multiLevelType w:val="hybridMultilevel"/>
    <w:tmpl w:val="EB40AD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FC2A25"/>
    <w:multiLevelType w:val="hybridMultilevel"/>
    <w:tmpl w:val="25EC3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9"/>
  </w:num>
  <w:num w:numId="6">
    <w:abstractNumId w:val="5"/>
  </w:num>
  <w:num w:numId="7">
    <w:abstractNumId w:val="1"/>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66A"/>
    <w:rsid w:val="00001201"/>
    <w:rsid w:val="00001255"/>
    <w:rsid w:val="00006C9E"/>
    <w:rsid w:val="000101DF"/>
    <w:rsid w:val="00010614"/>
    <w:rsid w:val="0001185C"/>
    <w:rsid w:val="000132C0"/>
    <w:rsid w:val="00015A86"/>
    <w:rsid w:val="00016A82"/>
    <w:rsid w:val="000208FD"/>
    <w:rsid w:val="00020B00"/>
    <w:rsid w:val="00021399"/>
    <w:rsid w:val="00023FE5"/>
    <w:rsid w:val="0002595C"/>
    <w:rsid w:val="00027A10"/>
    <w:rsid w:val="00031130"/>
    <w:rsid w:val="00032C99"/>
    <w:rsid w:val="00033598"/>
    <w:rsid w:val="000339E1"/>
    <w:rsid w:val="00034173"/>
    <w:rsid w:val="000373EB"/>
    <w:rsid w:val="00040C60"/>
    <w:rsid w:val="00042987"/>
    <w:rsid w:val="00043AAA"/>
    <w:rsid w:val="00043EDB"/>
    <w:rsid w:val="00044103"/>
    <w:rsid w:val="0004559F"/>
    <w:rsid w:val="00050544"/>
    <w:rsid w:val="00051003"/>
    <w:rsid w:val="000528E0"/>
    <w:rsid w:val="0005375A"/>
    <w:rsid w:val="00055412"/>
    <w:rsid w:val="000567B9"/>
    <w:rsid w:val="0005697D"/>
    <w:rsid w:val="000572CB"/>
    <w:rsid w:val="000574F8"/>
    <w:rsid w:val="0006277A"/>
    <w:rsid w:val="00063EE4"/>
    <w:rsid w:val="00064DBF"/>
    <w:rsid w:val="00064F71"/>
    <w:rsid w:val="0006664C"/>
    <w:rsid w:val="00067F2C"/>
    <w:rsid w:val="0007307C"/>
    <w:rsid w:val="000774BE"/>
    <w:rsid w:val="00082D04"/>
    <w:rsid w:val="00083746"/>
    <w:rsid w:val="000853B1"/>
    <w:rsid w:val="00085581"/>
    <w:rsid w:val="0009271B"/>
    <w:rsid w:val="00093D54"/>
    <w:rsid w:val="0009517F"/>
    <w:rsid w:val="00095EBB"/>
    <w:rsid w:val="00097B6F"/>
    <w:rsid w:val="000A1058"/>
    <w:rsid w:val="000A1941"/>
    <w:rsid w:val="000B2F8E"/>
    <w:rsid w:val="000B4CB4"/>
    <w:rsid w:val="000B56E1"/>
    <w:rsid w:val="000B6473"/>
    <w:rsid w:val="000B7C40"/>
    <w:rsid w:val="000C06C3"/>
    <w:rsid w:val="000C0C6F"/>
    <w:rsid w:val="000C2255"/>
    <w:rsid w:val="000C3BCC"/>
    <w:rsid w:val="000C42A4"/>
    <w:rsid w:val="000C56BA"/>
    <w:rsid w:val="000C722C"/>
    <w:rsid w:val="000C74D2"/>
    <w:rsid w:val="000C757E"/>
    <w:rsid w:val="000D05E3"/>
    <w:rsid w:val="000D0813"/>
    <w:rsid w:val="000D0D4B"/>
    <w:rsid w:val="000D4AC1"/>
    <w:rsid w:val="000D52BA"/>
    <w:rsid w:val="000E086B"/>
    <w:rsid w:val="000E2A00"/>
    <w:rsid w:val="000E3285"/>
    <w:rsid w:val="000E346E"/>
    <w:rsid w:val="000E5BEE"/>
    <w:rsid w:val="000E6469"/>
    <w:rsid w:val="000F3E8A"/>
    <w:rsid w:val="000F4A1F"/>
    <w:rsid w:val="000F4BB3"/>
    <w:rsid w:val="000F61C5"/>
    <w:rsid w:val="000F6BEA"/>
    <w:rsid w:val="000F6E38"/>
    <w:rsid w:val="000F7493"/>
    <w:rsid w:val="0010131F"/>
    <w:rsid w:val="00102C93"/>
    <w:rsid w:val="001049BE"/>
    <w:rsid w:val="0010699E"/>
    <w:rsid w:val="00111377"/>
    <w:rsid w:val="001118FE"/>
    <w:rsid w:val="001134A5"/>
    <w:rsid w:val="001140AE"/>
    <w:rsid w:val="0011584F"/>
    <w:rsid w:val="00115B5D"/>
    <w:rsid w:val="00120A47"/>
    <w:rsid w:val="00120D22"/>
    <w:rsid w:val="00121C2A"/>
    <w:rsid w:val="001273BE"/>
    <w:rsid w:val="00127902"/>
    <w:rsid w:val="0013016C"/>
    <w:rsid w:val="00130F1F"/>
    <w:rsid w:val="00131919"/>
    <w:rsid w:val="001326BB"/>
    <w:rsid w:val="0013444E"/>
    <w:rsid w:val="00134496"/>
    <w:rsid w:val="00134C88"/>
    <w:rsid w:val="00135693"/>
    <w:rsid w:val="00140A44"/>
    <w:rsid w:val="00140BCD"/>
    <w:rsid w:val="00142018"/>
    <w:rsid w:val="00144113"/>
    <w:rsid w:val="00144533"/>
    <w:rsid w:val="001449C7"/>
    <w:rsid w:val="00144AAE"/>
    <w:rsid w:val="00144FEB"/>
    <w:rsid w:val="00145442"/>
    <w:rsid w:val="00146914"/>
    <w:rsid w:val="00147B4C"/>
    <w:rsid w:val="00150387"/>
    <w:rsid w:val="00152323"/>
    <w:rsid w:val="00157008"/>
    <w:rsid w:val="001577B3"/>
    <w:rsid w:val="0016081B"/>
    <w:rsid w:val="00160C40"/>
    <w:rsid w:val="00161F66"/>
    <w:rsid w:val="001630A6"/>
    <w:rsid w:val="00164425"/>
    <w:rsid w:val="001645E5"/>
    <w:rsid w:val="00164AFA"/>
    <w:rsid w:val="00165B24"/>
    <w:rsid w:val="00165C8B"/>
    <w:rsid w:val="0016707A"/>
    <w:rsid w:val="00167B73"/>
    <w:rsid w:val="001720E9"/>
    <w:rsid w:val="00173689"/>
    <w:rsid w:val="00173E3D"/>
    <w:rsid w:val="00181431"/>
    <w:rsid w:val="001820E4"/>
    <w:rsid w:val="001827E6"/>
    <w:rsid w:val="00182CF6"/>
    <w:rsid w:val="00182D95"/>
    <w:rsid w:val="001854B8"/>
    <w:rsid w:val="00185514"/>
    <w:rsid w:val="00187528"/>
    <w:rsid w:val="0019080E"/>
    <w:rsid w:val="00191AF4"/>
    <w:rsid w:val="0019619A"/>
    <w:rsid w:val="001968DE"/>
    <w:rsid w:val="001A320A"/>
    <w:rsid w:val="001A578A"/>
    <w:rsid w:val="001B28CF"/>
    <w:rsid w:val="001B2C31"/>
    <w:rsid w:val="001B2DB2"/>
    <w:rsid w:val="001B347F"/>
    <w:rsid w:val="001B355D"/>
    <w:rsid w:val="001B379E"/>
    <w:rsid w:val="001B46D9"/>
    <w:rsid w:val="001B6D21"/>
    <w:rsid w:val="001B765A"/>
    <w:rsid w:val="001B79B5"/>
    <w:rsid w:val="001C18AA"/>
    <w:rsid w:val="001C2541"/>
    <w:rsid w:val="001C2F2D"/>
    <w:rsid w:val="001C3C10"/>
    <w:rsid w:val="001C5949"/>
    <w:rsid w:val="001D1795"/>
    <w:rsid w:val="001D3CAE"/>
    <w:rsid w:val="001D42EC"/>
    <w:rsid w:val="001D51C5"/>
    <w:rsid w:val="001D6D47"/>
    <w:rsid w:val="001D72BA"/>
    <w:rsid w:val="001D7A13"/>
    <w:rsid w:val="001D7AA9"/>
    <w:rsid w:val="001E0ADE"/>
    <w:rsid w:val="001E0CB2"/>
    <w:rsid w:val="001E117D"/>
    <w:rsid w:val="001E1DFD"/>
    <w:rsid w:val="001E67FE"/>
    <w:rsid w:val="001F0A06"/>
    <w:rsid w:val="001F12D2"/>
    <w:rsid w:val="001F17BD"/>
    <w:rsid w:val="001F6664"/>
    <w:rsid w:val="001F79A8"/>
    <w:rsid w:val="00201C34"/>
    <w:rsid w:val="002075EB"/>
    <w:rsid w:val="00207DB8"/>
    <w:rsid w:val="00211207"/>
    <w:rsid w:val="002142B2"/>
    <w:rsid w:val="00220ADC"/>
    <w:rsid w:val="002239B1"/>
    <w:rsid w:val="00223ED6"/>
    <w:rsid w:val="00226192"/>
    <w:rsid w:val="00227E41"/>
    <w:rsid w:val="00230D76"/>
    <w:rsid w:val="00230F17"/>
    <w:rsid w:val="00232659"/>
    <w:rsid w:val="00233410"/>
    <w:rsid w:val="00234372"/>
    <w:rsid w:val="00235AE1"/>
    <w:rsid w:val="00236CAB"/>
    <w:rsid w:val="00240807"/>
    <w:rsid w:val="00243364"/>
    <w:rsid w:val="00246375"/>
    <w:rsid w:val="00250466"/>
    <w:rsid w:val="0025145B"/>
    <w:rsid w:val="002531A6"/>
    <w:rsid w:val="002540F0"/>
    <w:rsid w:val="00255AF1"/>
    <w:rsid w:val="00257E30"/>
    <w:rsid w:val="00260B90"/>
    <w:rsid w:val="00262FF0"/>
    <w:rsid w:val="00263CD1"/>
    <w:rsid w:val="002642AD"/>
    <w:rsid w:val="00266938"/>
    <w:rsid w:val="002675F5"/>
    <w:rsid w:val="00267A04"/>
    <w:rsid w:val="0027392C"/>
    <w:rsid w:val="002767DA"/>
    <w:rsid w:val="00277BFC"/>
    <w:rsid w:val="00277FAD"/>
    <w:rsid w:val="00282228"/>
    <w:rsid w:val="0028268E"/>
    <w:rsid w:val="00283138"/>
    <w:rsid w:val="00284F61"/>
    <w:rsid w:val="0028730B"/>
    <w:rsid w:val="0029131F"/>
    <w:rsid w:val="002922A2"/>
    <w:rsid w:val="00292C18"/>
    <w:rsid w:val="00296D48"/>
    <w:rsid w:val="002972C0"/>
    <w:rsid w:val="002A293C"/>
    <w:rsid w:val="002A3295"/>
    <w:rsid w:val="002A5695"/>
    <w:rsid w:val="002A61A6"/>
    <w:rsid w:val="002B5349"/>
    <w:rsid w:val="002B6D1A"/>
    <w:rsid w:val="002B76BA"/>
    <w:rsid w:val="002C2E9C"/>
    <w:rsid w:val="002C53AD"/>
    <w:rsid w:val="002C7062"/>
    <w:rsid w:val="002C7126"/>
    <w:rsid w:val="002C76F4"/>
    <w:rsid w:val="002C7F14"/>
    <w:rsid w:val="002D12CD"/>
    <w:rsid w:val="002D1755"/>
    <w:rsid w:val="002D3ED3"/>
    <w:rsid w:val="002D4016"/>
    <w:rsid w:val="002D4827"/>
    <w:rsid w:val="002E0849"/>
    <w:rsid w:val="002E1F86"/>
    <w:rsid w:val="002E2B80"/>
    <w:rsid w:val="002E3A9A"/>
    <w:rsid w:val="002E3E08"/>
    <w:rsid w:val="002E5BD1"/>
    <w:rsid w:val="002E5EB9"/>
    <w:rsid w:val="002E6045"/>
    <w:rsid w:val="002E6FA0"/>
    <w:rsid w:val="002E7267"/>
    <w:rsid w:val="002F47C3"/>
    <w:rsid w:val="002F5663"/>
    <w:rsid w:val="00301D3B"/>
    <w:rsid w:val="00302D1D"/>
    <w:rsid w:val="00304553"/>
    <w:rsid w:val="0031057E"/>
    <w:rsid w:val="00310860"/>
    <w:rsid w:val="003109FC"/>
    <w:rsid w:val="0031586D"/>
    <w:rsid w:val="00315C68"/>
    <w:rsid w:val="0031710A"/>
    <w:rsid w:val="00320248"/>
    <w:rsid w:val="00322B59"/>
    <w:rsid w:val="00324EC8"/>
    <w:rsid w:val="003253C8"/>
    <w:rsid w:val="003261AF"/>
    <w:rsid w:val="003271FD"/>
    <w:rsid w:val="003273FE"/>
    <w:rsid w:val="00330788"/>
    <w:rsid w:val="00332B3D"/>
    <w:rsid w:val="00334DB1"/>
    <w:rsid w:val="003406C7"/>
    <w:rsid w:val="00341425"/>
    <w:rsid w:val="00342C40"/>
    <w:rsid w:val="00344C45"/>
    <w:rsid w:val="00347124"/>
    <w:rsid w:val="003476FA"/>
    <w:rsid w:val="00347FC4"/>
    <w:rsid w:val="0035075F"/>
    <w:rsid w:val="00352AAD"/>
    <w:rsid w:val="003532BE"/>
    <w:rsid w:val="00354D32"/>
    <w:rsid w:val="00355743"/>
    <w:rsid w:val="00357520"/>
    <w:rsid w:val="00357822"/>
    <w:rsid w:val="00357D07"/>
    <w:rsid w:val="00360177"/>
    <w:rsid w:val="00362AF9"/>
    <w:rsid w:val="003660CF"/>
    <w:rsid w:val="003664F7"/>
    <w:rsid w:val="003679FF"/>
    <w:rsid w:val="0037002B"/>
    <w:rsid w:val="00371355"/>
    <w:rsid w:val="00373F17"/>
    <w:rsid w:val="0037400F"/>
    <w:rsid w:val="00374477"/>
    <w:rsid w:val="00374517"/>
    <w:rsid w:val="0038057E"/>
    <w:rsid w:val="003811DF"/>
    <w:rsid w:val="0038314B"/>
    <w:rsid w:val="0038339A"/>
    <w:rsid w:val="00384485"/>
    <w:rsid w:val="00384993"/>
    <w:rsid w:val="00386053"/>
    <w:rsid w:val="00387B2E"/>
    <w:rsid w:val="00392BC9"/>
    <w:rsid w:val="00393ED4"/>
    <w:rsid w:val="00394E7F"/>
    <w:rsid w:val="003953B1"/>
    <w:rsid w:val="00396CBB"/>
    <w:rsid w:val="00397C3F"/>
    <w:rsid w:val="003A013D"/>
    <w:rsid w:val="003A16F0"/>
    <w:rsid w:val="003A1BC9"/>
    <w:rsid w:val="003A1D2F"/>
    <w:rsid w:val="003A3F82"/>
    <w:rsid w:val="003A797C"/>
    <w:rsid w:val="003A7B90"/>
    <w:rsid w:val="003B0166"/>
    <w:rsid w:val="003B1D01"/>
    <w:rsid w:val="003B24A6"/>
    <w:rsid w:val="003B53C7"/>
    <w:rsid w:val="003B6C0C"/>
    <w:rsid w:val="003B71BB"/>
    <w:rsid w:val="003C0472"/>
    <w:rsid w:val="003C41AA"/>
    <w:rsid w:val="003D0E41"/>
    <w:rsid w:val="003D12CF"/>
    <w:rsid w:val="003D5D2F"/>
    <w:rsid w:val="003D6678"/>
    <w:rsid w:val="003D731C"/>
    <w:rsid w:val="003E0AC8"/>
    <w:rsid w:val="003E33EF"/>
    <w:rsid w:val="003E6807"/>
    <w:rsid w:val="003F305F"/>
    <w:rsid w:val="003F3CBE"/>
    <w:rsid w:val="003F3E8B"/>
    <w:rsid w:val="003F4C51"/>
    <w:rsid w:val="003F612A"/>
    <w:rsid w:val="003F79BA"/>
    <w:rsid w:val="00400761"/>
    <w:rsid w:val="0040365A"/>
    <w:rsid w:val="00403A59"/>
    <w:rsid w:val="00406030"/>
    <w:rsid w:val="00406E72"/>
    <w:rsid w:val="00410576"/>
    <w:rsid w:val="00413BA7"/>
    <w:rsid w:val="00415460"/>
    <w:rsid w:val="00416083"/>
    <w:rsid w:val="0041679D"/>
    <w:rsid w:val="00417365"/>
    <w:rsid w:val="00420D32"/>
    <w:rsid w:val="00421E62"/>
    <w:rsid w:val="00425A16"/>
    <w:rsid w:val="00426024"/>
    <w:rsid w:val="00430435"/>
    <w:rsid w:val="004321F7"/>
    <w:rsid w:val="004323DB"/>
    <w:rsid w:val="00433088"/>
    <w:rsid w:val="0043571A"/>
    <w:rsid w:val="004377D7"/>
    <w:rsid w:val="0044092F"/>
    <w:rsid w:val="00444629"/>
    <w:rsid w:val="00445E0E"/>
    <w:rsid w:val="00446056"/>
    <w:rsid w:val="0044649B"/>
    <w:rsid w:val="00454B45"/>
    <w:rsid w:val="00455D15"/>
    <w:rsid w:val="0045766B"/>
    <w:rsid w:val="0046140B"/>
    <w:rsid w:val="00461D28"/>
    <w:rsid w:val="00466E65"/>
    <w:rsid w:val="004737E6"/>
    <w:rsid w:val="0047492F"/>
    <w:rsid w:val="00475FBD"/>
    <w:rsid w:val="00477C70"/>
    <w:rsid w:val="00482137"/>
    <w:rsid w:val="00486922"/>
    <w:rsid w:val="004870C9"/>
    <w:rsid w:val="00487DB6"/>
    <w:rsid w:val="004900E7"/>
    <w:rsid w:val="004909E2"/>
    <w:rsid w:val="004912A1"/>
    <w:rsid w:val="0049187D"/>
    <w:rsid w:val="004975BD"/>
    <w:rsid w:val="004A23E2"/>
    <w:rsid w:val="004A4848"/>
    <w:rsid w:val="004A4FE4"/>
    <w:rsid w:val="004A5565"/>
    <w:rsid w:val="004A5568"/>
    <w:rsid w:val="004A78C3"/>
    <w:rsid w:val="004B09CF"/>
    <w:rsid w:val="004B33EB"/>
    <w:rsid w:val="004B6A55"/>
    <w:rsid w:val="004B70F3"/>
    <w:rsid w:val="004B797C"/>
    <w:rsid w:val="004C03C1"/>
    <w:rsid w:val="004C3946"/>
    <w:rsid w:val="004C6BD9"/>
    <w:rsid w:val="004C792E"/>
    <w:rsid w:val="004D0156"/>
    <w:rsid w:val="004D656F"/>
    <w:rsid w:val="004D6D6E"/>
    <w:rsid w:val="004D7D35"/>
    <w:rsid w:val="004E0536"/>
    <w:rsid w:val="004E2FB3"/>
    <w:rsid w:val="004E4D54"/>
    <w:rsid w:val="004E5652"/>
    <w:rsid w:val="004F19B0"/>
    <w:rsid w:val="004F1D23"/>
    <w:rsid w:val="004F2113"/>
    <w:rsid w:val="004F311F"/>
    <w:rsid w:val="004F3FA1"/>
    <w:rsid w:val="004F4A31"/>
    <w:rsid w:val="004F5909"/>
    <w:rsid w:val="005025A1"/>
    <w:rsid w:val="0050408E"/>
    <w:rsid w:val="00517260"/>
    <w:rsid w:val="005175C3"/>
    <w:rsid w:val="00520FA5"/>
    <w:rsid w:val="00521BB4"/>
    <w:rsid w:val="0052418C"/>
    <w:rsid w:val="005308EC"/>
    <w:rsid w:val="005317CC"/>
    <w:rsid w:val="00531BFE"/>
    <w:rsid w:val="00532042"/>
    <w:rsid w:val="00532EF2"/>
    <w:rsid w:val="005330E4"/>
    <w:rsid w:val="00533145"/>
    <w:rsid w:val="0053346A"/>
    <w:rsid w:val="00536297"/>
    <w:rsid w:val="0054355A"/>
    <w:rsid w:val="00545EF8"/>
    <w:rsid w:val="00547781"/>
    <w:rsid w:val="005633A0"/>
    <w:rsid w:val="005643DB"/>
    <w:rsid w:val="00565134"/>
    <w:rsid w:val="005658E3"/>
    <w:rsid w:val="00565B76"/>
    <w:rsid w:val="00566C89"/>
    <w:rsid w:val="00566F15"/>
    <w:rsid w:val="00570A0D"/>
    <w:rsid w:val="005723B2"/>
    <w:rsid w:val="00580003"/>
    <w:rsid w:val="00582CCE"/>
    <w:rsid w:val="0058505F"/>
    <w:rsid w:val="00586935"/>
    <w:rsid w:val="005976EB"/>
    <w:rsid w:val="005A05A8"/>
    <w:rsid w:val="005A0679"/>
    <w:rsid w:val="005A25DC"/>
    <w:rsid w:val="005A318E"/>
    <w:rsid w:val="005A57F9"/>
    <w:rsid w:val="005A5DDE"/>
    <w:rsid w:val="005A75F1"/>
    <w:rsid w:val="005B058B"/>
    <w:rsid w:val="005B1CAE"/>
    <w:rsid w:val="005B2233"/>
    <w:rsid w:val="005B348F"/>
    <w:rsid w:val="005B3E33"/>
    <w:rsid w:val="005B5A47"/>
    <w:rsid w:val="005B6BAA"/>
    <w:rsid w:val="005C082D"/>
    <w:rsid w:val="005C0FE9"/>
    <w:rsid w:val="005C19BA"/>
    <w:rsid w:val="005C1DA8"/>
    <w:rsid w:val="005C3322"/>
    <w:rsid w:val="005C546D"/>
    <w:rsid w:val="005C633A"/>
    <w:rsid w:val="005D07CE"/>
    <w:rsid w:val="005D13A5"/>
    <w:rsid w:val="005D1B1B"/>
    <w:rsid w:val="005D2930"/>
    <w:rsid w:val="005D2FDC"/>
    <w:rsid w:val="005D4954"/>
    <w:rsid w:val="005D629D"/>
    <w:rsid w:val="005D6C9C"/>
    <w:rsid w:val="005E1A32"/>
    <w:rsid w:val="005E367B"/>
    <w:rsid w:val="005E3E42"/>
    <w:rsid w:val="005E4A1F"/>
    <w:rsid w:val="005F2A6F"/>
    <w:rsid w:val="005F66F1"/>
    <w:rsid w:val="005F6863"/>
    <w:rsid w:val="005F6D02"/>
    <w:rsid w:val="005F7287"/>
    <w:rsid w:val="00600A74"/>
    <w:rsid w:val="00600D1F"/>
    <w:rsid w:val="00601C91"/>
    <w:rsid w:val="00601FEB"/>
    <w:rsid w:val="00602B90"/>
    <w:rsid w:val="0060399B"/>
    <w:rsid w:val="00603F89"/>
    <w:rsid w:val="006046A1"/>
    <w:rsid w:val="00604D3F"/>
    <w:rsid w:val="0060538F"/>
    <w:rsid w:val="00605849"/>
    <w:rsid w:val="00605BB5"/>
    <w:rsid w:val="00607DD7"/>
    <w:rsid w:val="006107F0"/>
    <w:rsid w:val="0061250A"/>
    <w:rsid w:val="00612AF5"/>
    <w:rsid w:val="00613685"/>
    <w:rsid w:val="006162BE"/>
    <w:rsid w:val="00616E97"/>
    <w:rsid w:val="006202DF"/>
    <w:rsid w:val="00620F6F"/>
    <w:rsid w:val="0062108A"/>
    <w:rsid w:val="006235B6"/>
    <w:rsid w:val="0062415B"/>
    <w:rsid w:val="00624CB0"/>
    <w:rsid w:val="00627810"/>
    <w:rsid w:val="00627EEC"/>
    <w:rsid w:val="00632606"/>
    <w:rsid w:val="006328D6"/>
    <w:rsid w:val="00635218"/>
    <w:rsid w:val="00636EC4"/>
    <w:rsid w:val="006435AA"/>
    <w:rsid w:val="00646523"/>
    <w:rsid w:val="00646D23"/>
    <w:rsid w:val="00653292"/>
    <w:rsid w:val="0065703B"/>
    <w:rsid w:val="0065765F"/>
    <w:rsid w:val="006612A8"/>
    <w:rsid w:val="00662359"/>
    <w:rsid w:val="00662451"/>
    <w:rsid w:val="00663732"/>
    <w:rsid w:val="0066632F"/>
    <w:rsid w:val="00666357"/>
    <w:rsid w:val="006714EB"/>
    <w:rsid w:val="00671B56"/>
    <w:rsid w:val="00672361"/>
    <w:rsid w:val="00674B99"/>
    <w:rsid w:val="006756BC"/>
    <w:rsid w:val="0067584A"/>
    <w:rsid w:val="00677DC9"/>
    <w:rsid w:val="00681951"/>
    <w:rsid w:val="0068446A"/>
    <w:rsid w:val="00692ECC"/>
    <w:rsid w:val="006967F0"/>
    <w:rsid w:val="00697D19"/>
    <w:rsid w:val="006A1EDD"/>
    <w:rsid w:val="006A2E98"/>
    <w:rsid w:val="006A41AD"/>
    <w:rsid w:val="006A44EA"/>
    <w:rsid w:val="006A5B48"/>
    <w:rsid w:val="006A7E76"/>
    <w:rsid w:val="006B00CE"/>
    <w:rsid w:val="006B0D5C"/>
    <w:rsid w:val="006B2359"/>
    <w:rsid w:val="006B47AE"/>
    <w:rsid w:val="006B5F7D"/>
    <w:rsid w:val="006B65BE"/>
    <w:rsid w:val="006C134D"/>
    <w:rsid w:val="006C197B"/>
    <w:rsid w:val="006C35C6"/>
    <w:rsid w:val="006C4109"/>
    <w:rsid w:val="006C7EFE"/>
    <w:rsid w:val="006D1895"/>
    <w:rsid w:val="006D1A69"/>
    <w:rsid w:val="006D726D"/>
    <w:rsid w:val="006E2705"/>
    <w:rsid w:val="006E3995"/>
    <w:rsid w:val="006E5DC4"/>
    <w:rsid w:val="006E7B67"/>
    <w:rsid w:val="006F1DF7"/>
    <w:rsid w:val="006F432B"/>
    <w:rsid w:val="007001EC"/>
    <w:rsid w:val="00700520"/>
    <w:rsid w:val="007011B4"/>
    <w:rsid w:val="00703C9C"/>
    <w:rsid w:val="00704423"/>
    <w:rsid w:val="00704B1A"/>
    <w:rsid w:val="007102AE"/>
    <w:rsid w:val="00711270"/>
    <w:rsid w:val="007117EF"/>
    <w:rsid w:val="007137F1"/>
    <w:rsid w:val="007152EF"/>
    <w:rsid w:val="00715BED"/>
    <w:rsid w:val="00717ED1"/>
    <w:rsid w:val="00720CB2"/>
    <w:rsid w:val="007214D2"/>
    <w:rsid w:val="00722AD7"/>
    <w:rsid w:val="00723BEE"/>
    <w:rsid w:val="00725362"/>
    <w:rsid w:val="00726648"/>
    <w:rsid w:val="007277E3"/>
    <w:rsid w:val="0073067B"/>
    <w:rsid w:val="00730831"/>
    <w:rsid w:val="0073152C"/>
    <w:rsid w:val="007337E7"/>
    <w:rsid w:val="00735A49"/>
    <w:rsid w:val="007370C3"/>
    <w:rsid w:val="0073769B"/>
    <w:rsid w:val="00744798"/>
    <w:rsid w:val="007516F3"/>
    <w:rsid w:val="007533D5"/>
    <w:rsid w:val="007540A8"/>
    <w:rsid w:val="00754D1F"/>
    <w:rsid w:val="00754F21"/>
    <w:rsid w:val="00756344"/>
    <w:rsid w:val="00757B43"/>
    <w:rsid w:val="007600D5"/>
    <w:rsid w:val="00760220"/>
    <w:rsid w:val="00760DB6"/>
    <w:rsid w:val="0076144E"/>
    <w:rsid w:val="007667E2"/>
    <w:rsid w:val="00772BA0"/>
    <w:rsid w:val="00773002"/>
    <w:rsid w:val="00774473"/>
    <w:rsid w:val="00774A42"/>
    <w:rsid w:val="007760D7"/>
    <w:rsid w:val="007776F5"/>
    <w:rsid w:val="00777A8A"/>
    <w:rsid w:val="00780A92"/>
    <w:rsid w:val="00781093"/>
    <w:rsid w:val="00782184"/>
    <w:rsid w:val="007822F6"/>
    <w:rsid w:val="00782599"/>
    <w:rsid w:val="0078277E"/>
    <w:rsid w:val="007905F2"/>
    <w:rsid w:val="0079108C"/>
    <w:rsid w:val="007938A4"/>
    <w:rsid w:val="00793944"/>
    <w:rsid w:val="007963D7"/>
    <w:rsid w:val="007A070F"/>
    <w:rsid w:val="007A08D1"/>
    <w:rsid w:val="007A5E91"/>
    <w:rsid w:val="007B06C8"/>
    <w:rsid w:val="007B7DE8"/>
    <w:rsid w:val="007C083F"/>
    <w:rsid w:val="007C275F"/>
    <w:rsid w:val="007D1784"/>
    <w:rsid w:val="007D434B"/>
    <w:rsid w:val="007D49F7"/>
    <w:rsid w:val="007D6332"/>
    <w:rsid w:val="007D63C8"/>
    <w:rsid w:val="007D77B9"/>
    <w:rsid w:val="007E074C"/>
    <w:rsid w:val="007E0DBF"/>
    <w:rsid w:val="007E23E3"/>
    <w:rsid w:val="007E27F4"/>
    <w:rsid w:val="007E48C7"/>
    <w:rsid w:val="007E5B2A"/>
    <w:rsid w:val="007E5D57"/>
    <w:rsid w:val="007E6B39"/>
    <w:rsid w:val="007E715D"/>
    <w:rsid w:val="007E7E09"/>
    <w:rsid w:val="007F1020"/>
    <w:rsid w:val="007F2A7F"/>
    <w:rsid w:val="007F6E97"/>
    <w:rsid w:val="00801800"/>
    <w:rsid w:val="00801C61"/>
    <w:rsid w:val="00802831"/>
    <w:rsid w:val="008119E3"/>
    <w:rsid w:val="00814869"/>
    <w:rsid w:val="00814D8C"/>
    <w:rsid w:val="0081575C"/>
    <w:rsid w:val="008158B0"/>
    <w:rsid w:val="00817A0D"/>
    <w:rsid w:val="00820897"/>
    <w:rsid w:val="00823926"/>
    <w:rsid w:val="00824A13"/>
    <w:rsid w:val="00831481"/>
    <w:rsid w:val="00834577"/>
    <w:rsid w:val="00835B35"/>
    <w:rsid w:val="00835DD9"/>
    <w:rsid w:val="00843FAC"/>
    <w:rsid w:val="008456B2"/>
    <w:rsid w:val="008457A7"/>
    <w:rsid w:val="008461ED"/>
    <w:rsid w:val="0085077D"/>
    <w:rsid w:val="00850ADC"/>
    <w:rsid w:val="008534AA"/>
    <w:rsid w:val="00853B6B"/>
    <w:rsid w:val="00855F92"/>
    <w:rsid w:val="008631CE"/>
    <w:rsid w:val="0086414B"/>
    <w:rsid w:val="008648A8"/>
    <w:rsid w:val="008649A6"/>
    <w:rsid w:val="00864AD3"/>
    <w:rsid w:val="0086767C"/>
    <w:rsid w:val="00867EF2"/>
    <w:rsid w:val="008712F2"/>
    <w:rsid w:val="008722EC"/>
    <w:rsid w:val="00873747"/>
    <w:rsid w:val="00875513"/>
    <w:rsid w:val="00875975"/>
    <w:rsid w:val="00877637"/>
    <w:rsid w:val="00881B80"/>
    <w:rsid w:val="0088333B"/>
    <w:rsid w:val="00883FAE"/>
    <w:rsid w:val="0088539F"/>
    <w:rsid w:val="008872F9"/>
    <w:rsid w:val="0088781C"/>
    <w:rsid w:val="008879F3"/>
    <w:rsid w:val="00890602"/>
    <w:rsid w:val="00890AA6"/>
    <w:rsid w:val="00891D30"/>
    <w:rsid w:val="00891D34"/>
    <w:rsid w:val="00893983"/>
    <w:rsid w:val="00893FFE"/>
    <w:rsid w:val="00894542"/>
    <w:rsid w:val="00895185"/>
    <w:rsid w:val="008A0D46"/>
    <w:rsid w:val="008A11CF"/>
    <w:rsid w:val="008A191D"/>
    <w:rsid w:val="008A2232"/>
    <w:rsid w:val="008A4563"/>
    <w:rsid w:val="008A4AD3"/>
    <w:rsid w:val="008A5BB9"/>
    <w:rsid w:val="008B3530"/>
    <w:rsid w:val="008B380F"/>
    <w:rsid w:val="008B7105"/>
    <w:rsid w:val="008C0424"/>
    <w:rsid w:val="008C08FF"/>
    <w:rsid w:val="008C098D"/>
    <w:rsid w:val="008C421F"/>
    <w:rsid w:val="008C459C"/>
    <w:rsid w:val="008C4B65"/>
    <w:rsid w:val="008C5079"/>
    <w:rsid w:val="008C5FB5"/>
    <w:rsid w:val="008D080B"/>
    <w:rsid w:val="008D1123"/>
    <w:rsid w:val="008D4516"/>
    <w:rsid w:val="008D454D"/>
    <w:rsid w:val="008D4BCC"/>
    <w:rsid w:val="008D519F"/>
    <w:rsid w:val="008D5227"/>
    <w:rsid w:val="008D59A3"/>
    <w:rsid w:val="008D743A"/>
    <w:rsid w:val="008E0C1A"/>
    <w:rsid w:val="008E0C67"/>
    <w:rsid w:val="008E26B9"/>
    <w:rsid w:val="008E374D"/>
    <w:rsid w:val="008E5C91"/>
    <w:rsid w:val="008F0214"/>
    <w:rsid w:val="008F154B"/>
    <w:rsid w:val="008F32BE"/>
    <w:rsid w:val="008F439C"/>
    <w:rsid w:val="008F4AF2"/>
    <w:rsid w:val="008F5B20"/>
    <w:rsid w:val="008F716A"/>
    <w:rsid w:val="008F7833"/>
    <w:rsid w:val="00900414"/>
    <w:rsid w:val="00904961"/>
    <w:rsid w:val="00905492"/>
    <w:rsid w:val="00907EF5"/>
    <w:rsid w:val="009118EB"/>
    <w:rsid w:val="00912D9E"/>
    <w:rsid w:val="00913E34"/>
    <w:rsid w:val="00913EC9"/>
    <w:rsid w:val="00915C2B"/>
    <w:rsid w:val="00916539"/>
    <w:rsid w:val="00916983"/>
    <w:rsid w:val="00916E35"/>
    <w:rsid w:val="00922AB7"/>
    <w:rsid w:val="00925628"/>
    <w:rsid w:val="00930030"/>
    <w:rsid w:val="00930F1A"/>
    <w:rsid w:val="00931272"/>
    <w:rsid w:val="0093319D"/>
    <w:rsid w:val="00934A9C"/>
    <w:rsid w:val="00934DDE"/>
    <w:rsid w:val="00936F29"/>
    <w:rsid w:val="00942D21"/>
    <w:rsid w:val="00943A2D"/>
    <w:rsid w:val="009450BF"/>
    <w:rsid w:val="0094741D"/>
    <w:rsid w:val="00950D3F"/>
    <w:rsid w:val="00951B02"/>
    <w:rsid w:val="00952845"/>
    <w:rsid w:val="00956190"/>
    <w:rsid w:val="009628D6"/>
    <w:rsid w:val="00963FD9"/>
    <w:rsid w:val="00965855"/>
    <w:rsid w:val="0097073A"/>
    <w:rsid w:val="0097116C"/>
    <w:rsid w:val="009725EA"/>
    <w:rsid w:val="00974287"/>
    <w:rsid w:val="00974898"/>
    <w:rsid w:val="00975D93"/>
    <w:rsid w:val="009818B1"/>
    <w:rsid w:val="009824A4"/>
    <w:rsid w:val="00983A32"/>
    <w:rsid w:val="009876FD"/>
    <w:rsid w:val="00990118"/>
    <w:rsid w:val="00991957"/>
    <w:rsid w:val="00995B92"/>
    <w:rsid w:val="00996CA2"/>
    <w:rsid w:val="009971D3"/>
    <w:rsid w:val="009A0C92"/>
    <w:rsid w:val="009A37F2"/>
    <w:rsid w:val="009A3FA3"/>
    <w:rsid w:val="009A5B3E"/>
    <w:rsid w:val="009A65A1"/>
    <w:rsid w:val="009A7C82"/>
    <w:rsid w:val="009B02B8"/>
    <w:rsid w:val="009B1A96"/>
    <w:rsid w:val="009B2E32"/>
    <w:rsid w:val="009B38D2"/>
    <w:rsid w:val="009B478D"/>
    <w:rsid w:val="009B6043"/>
    <w:rsid w:val="009B6128"/>
    <w:rsid w:val="009C022C"/>
    <w:rsid w:val="009C05E9"/>
    <w:rsid w:val="009C1DE0"/>
    <w:rsid w:val="009C326E"/>
    <w:rsid w:val="009C4059"/>
    <w:rsid w:val="009C56A0"/>
    <w:rsid w:val="009D0165"/>
    <w:rsid w:val="009D11DA"/>
    <w:rsid w:val="009D52B4"/>
    <w:rsid w:val="009D6667"/>
    <w:rsid w:val="009D66A7"/>
    <w:rsid w:val="009D6C87"/>
    <w:rsid w:val="009E3348"/>
    <w:rsid w:val="009E58C4"/>
    <w:rsid w:val="009E749C"/>
    <w:rsid w:val="009E766A"/>
    <w:rsid w:val="009E7879"/>
    <w:rsid w:val="009F0CEA"/>
    <w:rsid w:val="009F2362"/>
    <w:rsid w:val="009F6F60"/>
    <w:rsid w:val="00A001BF"/>
    <w:rsid w:val="00A007A8"/>
    <w:rsid w:val="00A05E4C"/>
    <w:rsid w:val="00A0725A"/>
    <w:rsid w:val="00A13CC3"/>
    <w:rsid w:val="00A1406E"/>
    <w:rsid w:val="00A14DE7"/>
    <w:rsid w:val="00A15186"/>
    <w:rsid w:val="00A15EEC"/>
    <w:rsid w:val="00A16746"/>
    <w:rsid w:val="00A205A2"/>
    <w:rsid w:val="00A21BDC"/>
    <w:rsid w:val="00A22294"/>
    <w:rsid w:val="00A222AD"/>
    <w:rsid w:val="00A279AE"/>
    <w:rsid w:val="00A33D1B"/>
    <w:rsid w:val="00A34126"/>
    <w:rsid w:val="00A34446"/>
    <w:rsid w:val="00A34A72"/>
    <w:rsid w:val="00A40A4D"/>
    <w:rsid w:val="00A416B1"/>
    <w:rsid w:val="00A47677"/>
    <w:rsid w:val="00A47FDC"/>
    <w:rsid w:val="00A512BF"/>
    <w:rsid w:val="00A52D89"/>
    <w:rsid w:val="00A52F92"/>
    <w:rsid w:val="00A562F2"/>
    <w:rsid w:val="00A64010"/>
    <w:rsid w:val="00A647DE"/>
    <w:rsid w:val="00A6528B"/>
    <w:rsid w:val="00A700D7"/>
    <w:rsid w:val="00A70137"/>
    <w:rsid w:val="00A71316"/>
    <w:rsid w:val="00A724CA"/>
    <w:rsid w:val="00A75C46"/>
    <w:rsid w:val="00A75E32"/>
    <w:rsid w:val="00A77762"/>
    <w:rsid w:val="00A777F7"/>
    <w:rsid w:val="00A77D8D"/>
    <w:rsid w:val="00A847B3"/>
    <w:rsid w:val="00A855E4"/>
    <w:rsid w:val="00A857A5"/>
    <w:rsid w:val="00A86682"/>
    <w:rsid w:val="00A90511"/>
    <w:rsid w:val="00A94472"/>
    <w:rsid w:val="00A9674D"/>
    <w:rsid w:val="00AA3526"/>
    <w:rsid w:val="00AA427F"/>
    <w:rsid w:val="00AA4990"/>
    <w:rsid w:val="00AA4D60"/>
    <w:rsid w:val="00AA5563"/>
    <w:rsid w:val="00AB14CB"/>
    <w:rsid w:val="00AB1E40"/>
    <w:rsid w:val="00AB39B8"/>
    <w:rsid w:val="00AB6660"/>
    <w:rsid w:val="00AB7FA9"/>
    <w:rsid w:val="00AC120D"/>
    <w:rsid w:val="00AC218C"/>
    <w:rsid w:val="00AC25D8"/>
    <w:rsid w:val="00AC34AE"/>
    <w:rsid w:val="00AC42CE"/>
    <w:rsid w:val="00AC4781"/>
    <w:rsid w:val="00AC696F"/>
    <w:rsid w:val="00AD1656"/>
    <w:rsid w:val="00AD1BAE"/>
    <w:rsid w:val="00AD6448"/>
    <w:rsid w:val="00AE5FE8"/>
    <w:rsid w:val="00AF077B"/>
    <w:rsid w:val="00AF110E"/>
    <w:rsid w:val="00AF1786"/>
    <w:rsid w:val="00AF5787"/>
    <w:rsid w:val="00AF6E6B"/>
    <w:rsid w:val="00B01764"/>
    <w:rsid w:val="00B01C3D"/>
    <w:rsid w:val="00B04D81"/>
    <w:rsid w:val="00B05458"/>
    <w:rsid w:val="00B13BB8"/>
    <w:rsid w:val="00B14D24"/>
    <w:rsid w:val="00B15853"/>
    <w:rsid w:val="00B17314"/>
    <w:rsid w:val="00B205F0"/>
    <w:rsid w:val="00B225F4"/>
    <w:rsid w:val="00B258F8"/>
    <w:rsid w:val="00B26642"/>
    <w:rsid w:val="00B27411"/>
    <w:rsid w:val="00B3008E"/>
    <w:rsid w:val="00B301B6"/>
    <w:rsid w:val="00B3638F"/>
    <w:rsid w:val="00B4182B"/>
    <w:rsid w:val="00B44BFB"/>
    <w:rsid w:val="00B50313"/>
    <w:rsid w:val="00B53A58"/>
    <w:rsid w:val="00B53DCC"/>
    <w:rsid w:val="00B540AF"/>
    <w:rsid w:val="00B56B73"/>
    <w:rsid w:val="00B60A8D"/>
    <w:rsid w:val="00B60DDA"/>
    <w:rsid w:val="00B614D0"/>
    <w:rsid w:val="00B634F1"/>
    <w:rsid w:val="00B6353A"/>
    <w:rsid w:val="00B672CA"/>
    <w:rsid w:val="00B71BBA"/>
    <w:rsid w:val="00B72C2E"/>
    <w:rsid w:val="00B73817"/>
    <w:rsid w:val="00B810E3"/>
    <w:rsid w:val="00B84FBD"/>
    <w:rsid w:val="00B8573B"/>
    <w:rsid w:val="00B90BD3"/>
    <w:rsid w:val="00B924B9"/>
    <w:rsid w:val="00B93DB7"/>
    <w:rsid w:val="00B9446D"/>
    <w:rsid w:val="00B9467A"/>
    <w:rsid w:val="00B96C30"/>
    <w:rsid w:val="00BA07E4"/>
    <w:rsid w:val="00BA2DB6"/>
    <w:rsid w:val="00BA4D48"/>
    <w:rsid w:val="00BA59A6"/>
    <w:rsid w:val="00BB054F"/>
    <w:rsid w:val="00BB1521"/>
    <w:rsid w:val="00BB179B"/>
    <w:rsid w:val="00BB378D"/>
    <w:rsid w:val="00BB4B50"/>
    <w:rsid w:val="00BB4D98"/>
    <w:rsid w:val="00BB4E06"/>
    <w:rsid w:val="00BB653E"/>
    <w:rsid w:val="00BC25FF"/>
    <w:rsid w:val="00BC2A16"/>
    <w:rsid w:val="00BC40F8"/>
    <w:rsid w:val="00BC578B"/>
    <w:rsid w:val="00BC76EE"/>
    <w:rsid w:val="00BD021E"/>
    <w:rsid w:val="00BD1088"/>
    <w:rsid w:val="00BD4D13"/>
    <w:rsid w:val="00BD72BE"/>
    <w:rsid w:val="00BE1354"/>
    <w:rsid w:val="00BE2B41"/>
    <w:rsid w:val="00BE50F2"/>
    <w:rsid w:val="00BE6E1D"/>
    <w:rsid w:val="00BE782E"/>
    <w:rsid w:val="00BF288A"/>
    <w:rsid w:val="00BF354C"/>
    <w:rsid w:val="00BF7304"/>
    <w:rsid w:val="00BF7987"/>
    <w:rsid w:val="00C00F7D"/>
    <w:rsid w:val="00C019FF"/>
    <w:rsid w:val="00C024B0"/>
    <w:rsid w:val="00C027CC"/>
    <w:rsid w:val="00C034C9"/>
    <w:rsid w:val="00C040B0"/>
    <w:rsid w:val="00C06A6E"/>
    <w:rsid w:val="00C0713E"/>
    <w:rsid w:val="00C07277"/>
    <w:rsid w:val="00C101BF"/>
    <w:rsid w:val="00C10B88"/>
    <w:rsid w:val="00C11404"/>
    <w:rsid w:val="00C11865"/>
    <w:rsid w:val="00C1296C"/>
    <w:rsid w:val="00C15C08"/>
    <w:rsid w:val="00C22AA9"/>
    <w:rsid w:val="00C247D1"/>
    <w:rsid w:val="00C2500C"/>
    <w:rsid w:val="00C25053"/>
    <w:rsid w:val="00C26AA6"/>
    <w:rsid w:val="00C275C2"/>
    <w:rsid w:val="00C32AAB"/>
    <w:rsid w:val="00C33B28"/>
    <w:rsid w:val="00C34BBC"/>
    <w:rsid w:val="00C35163"/>
    <w:rsid w:val="00C35EEB"/>
    <w:rsid w:val="00C365F9"/>
    <w:rsid w:val="00C36C80"/>
    <w:rsid w:val="00C37834"/>
    <w:rsid w:val="00C37949"/>
    <w:rsid w:val="00C40AEF"/>
    <w:rsid w:val="00C426BD"/>
    <w:rsid w:val="00C45A17"/>
    <w:rsid w:val="00C463FC"/>
    <w:rsid w:val="00C46574"/>
    <w:rsid w:val="00C469B3"/>
    <w:rsid w:val="00C50006"/>
    <w:rsid w:val="00C51969"/>
    <w:rsid w:val="00C53935"/>
    <w:rsid w:val="00C57BF2"/>
    <w:rsid w:val="00C605EC"/>
    <w:rsid w:val="00C60FF4"/>
    <w:rsid w:val="00C615BE"/>
    <w:rsid w:val="00C626AD"/>
    <w:rsid w:val="00C646DA"/>
    <w:rsid w:val="00C70EF5"/>
    <w:rsid w:val="00C720BB"/>
    <w:rsid w:val="00C73555"/>
    <w:rsid w:val="00C74C86"/>
    <w:rsid w:val="00C74D3E"/>
    <w:rsid w:val="00C7675C"/>
    <w:rsid w:val="00C809D4"/>
    <w:rsid w:val="00C80E5D"/>
    <w:rsid w:val="00C828B4"/>
    <w:rsid w:val="00C8407D"/>
    <w:rsid w:val="00C85536"/>
    <w:rsid w:val="00C855AA"/>
    <w:rsid w:val="00C85ADD"/>
    <w:rsid w:val="00C862E3"/>
    <w:rsid w:val="00C87B26"/>
    <w:rsid w:val="00C90341"/>
    <w:rsid w:val="00C9044F"/>
    <w:rsid w:val="00C926C4"/>
    <w:rsid w:val="00C95AEE"/>
    <w:rsid w:val="00CA0A74"/>
    <w:rsid w:val="00CA2593"/>
    <w:rsid w:val="00CA49CD"/>
    <w:rsid w:val="00CA5889"/>
    <w:rsid w:val="00CA5C4D"/>
    <w:rsid w:val="00CA6C26"/>
    <w:rsid w:val="00CB0086"/>
    <w:rsid w:val="00CB25CF"/>
    <w:rsid w:val="00CB275A"/>
    <w:rsid w:val="00CB2870"/>
    <w:rsid w:val="00CB3CB1"/>
    <w:rsid w:val="00CC1934"/>
    <w:rsid w:val="00CC1F26"/>
    <w:rsid w:val="00CC1FE1"/>
    <w:rsid w:val="00CC1FF0"/>
    <w:rsid w:val="00CC299D"/>
    <w:rsid w:val="00CC2E90"/>
    <w:rsid w:val="00CC32AB"/>
    <w:rsid w:val="00CC44D6"/>
    <w:rsid w:val="00CC5667"/>
    <w:rsid w:val="00CD2BA7"/>
    <w:rsid w:val="00CD3A7C"/>
    <w:rsid w:val="00CD3E63"/>
    <w:rsid w:val="00CD69CD"/>
    <w:rsid w:val="00CD6C8D"/>
    <w:rsid w:val="00CD6D5E"/>
    <w:rsid w:val="00CE275C"/>
    <w:rsid w:val="00CE41A9"/>
    <w:rsid w:val="00CE4B91"/>
    <w:rsid w:val="00CE6A02"/>
    <w:rsid w:val="00CF19EF"/>
    <w:rsid w:val="00CF3818"/>
    <w:rsid w:val="00CF4657"/>
    <w:rsid w:val="00CF582E"/>
    <w:rsid w:val="00CF7020"/>
    <w:rsid w:val="00CF7F63"/>
    <w:rsid w:val="00D0384F"/>
    <w:rsid w:val="00D03FC9"/>
    <w:rsid w:val="00D07429"/>
    <w:rsid w:val="00D1072D"/>
    <w:rsid w:val="00D1309C"/>
    <w:rsid w:val="00D132E9"/>
    <w:rsid w:val="00D17315"/>
    <w:rsid w:val="00D17B0B"/>
    <w:rsid w:val="00D244BA"/>
    <w:rsid w:val="00D27A6B"/>
    <w:rsid w:val="00D303E4"/>
    <w:rsid w:val="00D31847"/>
    <w:rsid w:val="00D33F2F"/>
    <w:rsid w:val="00D34CC7"/>
    <w:rsid w:val="00D40E18"/>
    <w:rsid w:val="00D425D4"/>
    <w:rsid w:val="00D444C5"/>
    <w:rsid w:val="00D44E72"/>
    <w:rsid w:val="00D44FDA"/>
    <w:rsid w:val="00D47595"/>
    <w:rsid w:val="00D47DFB"/>
    <w:rsid w:val="00D51299"/>
    <w:rsid w:val="00D5463B"/>
    <w:rsid w:val="00D54755"/>
    <w:rsid w:val="00D54C5E"/>
    <w:rsid w:val="00D567BD"/>
    <w:rsid w:val="00D56B05"/>
    <w:rsid w:val="00D638CA"/>
    <w:rsid w:val="00D64330"/>
    <w:rsid w:val="00D64481"/>
    <w:rsid w:val="00D64B36"/>
    <w:rsid w:val="00D654A4"/>
    <w:rsid w:val="00D6745C"/>
    <w:rsid w:val="00D7079E"/>
    <w:rsid w:val="00D71644"/>
    <w:rsid w:val="00D71804"/>
    <w:rsid w:val="00D72F12"/>
    <w:rsid w:val="00D73495"/>
    <w:rsid w:val="00D74991"/>
    <w:rsid w:val="00D777F0"/>
    <w:rsid w:val="00D8046C"/>
    <w:rsid w:val="00D81AFA"/>
    <w:rsid w:val="00D830F4"/>
    <w:rsid w:val="00D8620C"/>
    <w:rsid w:val="00D8636B"/>
    <w:rsid w:val="00D87D46"/>
    <w:rsid w:val="00D90C63"/>
    <w:rsid w:val="00D9306A"/>
    <w:rsid w:val="00D94151"/>
    <w:rsid w:val="00D944B0"/>
    <w:rsid w:val="00D94C0E"/>
    <w:rsid w:val="00D957AA"/>
    <w:rsid w:val="00D96700"/>
    <w:rsid w:val="00DA0056"/>
    <w:rsid w:val="00DA0690"/>
    <w:rsid w:val="00DA0F04"/>
    <w:rsid w:val="00DA0F77"/>
    <w:rsid w:val="00DA1483"/>
    <w:rsid w:val="00DA1B3B"/>
    <w:rsid w:val="00DA23D9"/>
    <w:rsid w:val="00DA2DB0"/>
    <w:rsid w:val="00DA7A14"/>
    <w:rsid w:val="00DB0EFC"/>
    <w:rsid w:val="00DB4E17"/>
    <w:rsid w:val="00DB6F6C"/>
    <w:rsid w:val="00DB773D"/>
    <w:rsid w:val="00DB79B3"/>
    <w:rsid w:val="00DC0BD0"/>
    <w:rsid w:val="00DC129B"/>
    <w:rsid w:val="00DC16A3"/>
    <w:rsid w:val="00DC2944"/>
    <w:rsid w:val="00DD1EDB"/>
    <w:rsid w:val="00DD32D6"/>
    <w:rsid w:val="00DD6FE9"/>
    <w:rsid w:val="00DE1E5F"/>
    <w:rsid w:val="00DE2148"/>
    <w:rsid w:val="00DE4109"/>
    <w:rsid w:val="00DF196D"/>
    <w:rsid w:val="00E032AD"/>
    <w:rsid w:val="00E03937"/>
    <w:rsid w:val="00E05341"/>
    <w:rsid w:val="00E06C48"/>
    <w:rsid w:val="00E1379A"/>
    <w:rsid w:val="00E13EF1"/>
    <w:rsid w:val="00E144FF"/>
    <w:rsid w:val="00E15C9A"/>
    <w:rsid w:val="00E17072"/>
    <w:rsid w:val="00E17490"/>
    <w:rsid w:val="00E20495"/>
    <w:rsid w:val="00E22B77"/>
    <w:rsid w:val="00E233AE"/>
    <w:rsid w:val="00E267AF"/>
    <w:rsid w:val="00E26F48"/>
    <w:rsid w:val="00E2700D"/>
    <w:rsid w:val="00E2758B"/>
    <w:rsid w:val="00E3175E"/>
    <w:rsid w:val="00E31880"/>
    <w:rsid w:val="00E320C7"/>
    <w:rsid w:val="00E32996"/>
    <w:rsid w:val="00E3375A"/>
    <w:rsid w:val="00E3430B"/>
    <w:rsid w:val="00E34BAC"/>
    <w:rsid w:val="00E37041"/>
    <w:rsid w:val="00E40988"/>
    <w:rsid w:val="00E41A6E"/>
    <w:rsid w:val="00E4541D"/>
    <w:rsid w:val="00E505A8"/>
    <w:rsid w:val="00E50A4B"/>
    <w:rsid w:val="00E51B62"/>
    <w:rsid w:val="00E51F91"/>
    <w:rsid w:val="00E5616F"/>
    <w:rsid w:val="00E62C5F"/>
    <w:rsid w:val="00E6693F"/>
    <w:rsid w:val="00E7087E"/>
    <w:rsid w:val="00E71F85"/>
    <w:rsid w:val="00E72143"/>
    <w:rsid w:val="00E75345"/>
    <w:rsid w:val="00E768FB"/>
    <w:rsid w:val="00E76ADD"/>
    <w:rsid w:val="00E80C9C"/>
    <w:rsid w:val="00E8201E"/>
    <w:rsid w:val="00E831DF"/>
    <w:rsid w:val="00E83DE3"/>
    <w:rsid w:val="00E856CF"/>
    <w:rsid w:val="00E87DCF"/>
    <w:rsid w:val="00E930A5"/>
    <w:rsid w:val="00E978EA"/>
    <w:rsid w:val="00EA05ED"/>
    <w:rsid w:val="00EA2AC4"/>
    <w:rsid w:val="00EA358F"/>
    <w:rsid w:val="00EA387B"/>
    <w:rsid w:val="00EA3A7A"/>
    <w:rsid w:val="00EA43C2"/>
    <w:rsid w:val="00EA452D"/>
    <w:rsid w:val="00EB0C53"/>
    <w:rsid w:val="00EB293B"/>
    <w:rsid w:val="00EB5D40"/>
    <w:rsid w:val="00EB625C"/>
    <w:rsid w:val="00EC04D0"/>
    <w:rsid w:val="00EC288E"/>
    <w:rsid w:val="00EC3921"/>
    <w:rsid w:val="00EC425C"/>
    <w:rsid w:val="00ED41FE"/>
    <w:rsid w:val="00ED6A80"/>
    <w:rsid w:val="00ED79AD"/>
    <w:rsid w:val="00EE08F8"/>
    <w:rsid w:val="00EE2059"/>
    <w:rsid w:val="00EE39FD"/>
    <w:rsid w:val="00EE4211"/>
    <w:rsid w:val="00EE43FF"/>
    <w:rsid w:val="00EE6B24"/>
    <w:rsid w:val="00EE6BDC"/>
    <w:rsid w:val="00EE6CFD"/>
    <w:rsid w:val="00EE76F9"/>
    <w:rsid w:val="00F00182"/>
    <w:rsid w:val="00F00BD5"/>
    <w:rsid w:val="00F06F28"/>
    <w:rsid w:val="00F12AE3"/>
    <w:rsid w:val="00F1494A"/>
    <w:rsid w:val="00F17EAF"/>
    <w:rsid w:val="00F20F1E"/>
    <w:rsid w:val="00F220E6"/>
    <w:rsid w:val="00F25138"/>
    <w:rsid w:val="00F25864"/>
    <w:rsid w:val="00F26D5E"/>
    <w:rsid w:val="00F3070A"/>
    <w:rsid w:val="00F31FB0"/>
    <w:rsid w:val="00F324A1"/>
    <w:rsid w:val="00F350B4"/>
    <w:rsid w:val="00F35894"/>
    <w:rsid w:val="00F408EF"/>
    <w:rsid w:val="00F40A5B"/>
    <w:rsid w:val="00F417B8"/>
    <w:rsid w:val="00F423BB"/>
    <w:rsid w:val="00F4285E"/>
    <w:rsid w:val="00F42920"/>
    <w:rsid w:val="00F429FA"/>
    <w:rsid w:val="00F4347C"/>
    <w:rsid w:val="00F440A9"/>
    <w:rsid w:val="00F47BF4"/>
    <w:rsid w:val="00F502AB"/>
    <w:rsid w:val="00F52F91"/>
    <w:rsid w:val="00F540C9"/>
    <w:rsid w:val="00F55466"/>
    <w:rsid w:val="00F6100F"/>
    <w:rsid w:val="00F62B40"/>
    <w:rsid w:val="00F63EFD"/>
    <w:rsid w:val="00F66B18"/>
    <w:rsid w:val="00F74F9F"/>
    <w:rsid w:val="00F76A9D"/>
    <w:rsid w:val="00F80A58"/>
    <w:rsid w:val="00F82B4C"/>
    <w:rsid w:val="00F84F5B"/>
    <w:rsid w:val="00F91138"/>
    <w:rsid w:val="00F92D90"/>
    <w:rsid w:val="00F935B3"/>
    <w:rsid w:val="00F93A2A"/>
    <w:rsid w:val="00F94E4D"/>
    <w:rsid w:val="00F96533"/>
    <w:rsid w:val="00FA4AD6"/>
    <w:rsid w:val="00FA5CF3"/>
    <w:rsid w:val="00FA7964"/>
    <w:rsid w:val="00FA7B0B"/>
    <w:rsid w:val="00FA7EB1"/>
    <w:rsid w:val="00FB2F02"/>
    <w:rsid w:val="00FB6056"/>
    <w:rsid w:val="00FB68B8"/>
    <w:rsid w:val="00FB6CBB"/>
    <w:rsid w:val="00FC04BA"/>
    <w:rsid w:val="00FC44B3"/>
    <w:rsid w:val="00FC50EE"/>
    <w:rsid w:val="00FC5E40"/>
    <w:rsid w:val="00FD1ED0"/>
    <w:rsid w:val="00FD2249"/>
    <w:rsid w:val="00FD3CC8"/>
    <w:rsid w:val="00FD57B8"/>
    <w:rsid w:val="00FD5A5A"/>
    <w:rsid w:val="00FD7CFD"/>
    <w:rsid w:val="00FF029E"/>
    <w:rsid w:val="00FF368F"/>
    <w:rsid w:val="00FF494A"/>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6305"/>
  <w15:chartTrackingRefBased/>
  <w15:docId w15:val="{318B2E4A-68F7-4885-AC7E-2672B1C8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57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540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43E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894"/>
    <w:rPr>
      <w:rFonts w:ascii="Segoe UI" w:hAnsi="Segoe UI" w:cs="Segoe UI"/>
      <w:sz w:val="18"/>
      <w:szCs w:val="18"/>
    </w:rPr>
  </w:style>
  <w:style w:type="paragraph" w:styleId="ListParagraph">
    <w:name w:val="List Paragraph"/>
    <w:basedOn w:val="Normal"/>
    <w:uiPriority w:val="34"/>
    <w:qFormat/>
    <w:rsid w:val="00F35894"/>
    <w:pPr>
      <w:ind w:left="720"/>
      <w:contextualSpacing/>
    </w:pPr>
  </w:style>
  <w:style w:type="character" w:customStyle="1" w:styleId="Heading1Char">
    <w:name w:val="Heading 1 Char"/>
    <w:basedOn w:val="DefaultParagraphFont"/>
    <w:link w:val="Heading1"/>
    <w:uiPriority w:val="9"/>
    <w:rsid w:val="00AF57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540F0"/>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75FBD"/>
    <w:rPr>
      <w:sz w:val="16"/>
      <w:szCs w:val="16"/>
    </w:rPr>
  </w:style>
  <w:style w:type="paragraph" w:styleId="CommentText">
    <w:name w:val="annotation text"/>
    <w:basedOn w:val="Normal"/>
    <w:link w:val="CommentTextChar"/>
    <w:uiPriority w:val="99"/>
    <w:semiHidden/>
    <w:unhideWhenUsed/>
    <w:rsid w:val="00475FBD"/>
    <w:pPr>
      <w:spacing w:line="240" w:lineRule="auto"/>
    </w:pPr>
    <w:rPr>
      <w:sz w:val="20"/>
      <w:szCs w:val="20"/>
    </w:rPr>
  </w:style>
  <w:style w:type="character" w:customStyle="1" w:styleId="CommentTextChar">
    <w:name w:val="Comment Text Char"/>
    <w:basedOn w:val="DefaultParagraphFont"/>
    <w:link w:val="CommentText"/>
    <w:uiPriority w:val="99"/>
    <w:semiHidden/>
    <w:rsid w:val="00475FBD"/>
    <w:rPr>
      <w:sz w:val="20"/>
      <w:szCs w:val="20"/>
    </w:rPr>
  </w:style>
  <w:style w:type="paragraph" w:styleId="CommentSubject">
    <w:name w:val="annotation subject"/>
    <w:basedOn w:val="CommentText"/>
    <w:next w:val="CommentText"/>
    <w:link w:val="CommentSubjectChar"/>
    <w:uiPriority w:val="99"/>
    <w:semiHidden/>
    <w:unhideWhenUsed/>
    <w:rsid w:val="00475FBD"/>
    <w:rPr>
      <w:b/>
      <w:bCs/>
    </w:rPr>
  </w:style>
  <w:style w:type="character" w:customStyle="1" w:styleId="CommentSubjectChar">
    <w:name w:val="Comment Subject Char"/>
    <w:basedOn w:val="CommentTextChar"/>
    <w:link w:val="CommentSubject"/>
    <w:uiPriority w:val="99"/>
    <w:semiHidden/>
    <w:rsid w:val="00475FBD"/>
    <w:rPr>
      <w:b/>
      <w:bCs/>
      <w:sz w:val="20"/>
      <w:szCs w:val="20"/>
    </w:rPr>
  </w:style>
  <w:style w:type="paragraph" w:styleId="FootnoteText">
    <w:name w:val="footnote text"/>
    <w:basedOn w:val="Normal"/>
    <w:link w:val="FootnoteTextChar"/>
    <w:uiPriority w:val="99"/>
    <w:semiHidden/>
    <w:unhideWhenUsed/>
    <w:rsid w:val="00120A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A47"/>
    <w:rPr>
      <w:sz w:val="20"/>
      <w:szCs w:val="20"/>
    </w:rPr>
  </w:style>
  <w:style w:type="character" w:styleId="FootnoteReference">
    <w:name w:val="footnote reference"/>
    <w:basedOn w:val="DefaultParagraphFont"/>
    <w:uiPriority w:val="99"/>
    <w:semiHidden/>
    <w:unhideWhenUsed/>
    <w:rsid w:val="00120A47"/>
    <w:rPr>
      <w:vertAlign w:val="superscript"/>
    </w:rPr>
  </w:style>
  <w:style w:type="paragraph" w:styleId="Header">
    <w:name w:val="header"/>
    <w:basedOn w:val="Normal"/>
    <w:link w:val="HeaderChar"/>
    <w:uiPriority w:val="99"/>
    <w:unhideWhenUsed/>
    <w:rsid w:val="00C46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574"/>
  </w:style>
  <w:style w:type="paragraph" w:styleId="Footer">
    <w:name w:val="footer"/>
    <w:basedOn w:val="Normal"/>
    <w:link w:val="FooterChar"/>
    <w:uiPriority w:val="99"/>
    <w:unhideWhenUsed/>
    <w:rsid w:val="00C46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574"/>
  </w:style>
  <w:style w:type="table" w:styleId="TableGrid">
    <w:name w:val="Table Grid"/>
    <w:basedOn w:val="TableNormal"/>
    <w:uiPriority w:val="39"/>
    <w:rsid w:val="005A3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3430B"/>
    <w:pPr>
      <w:outlineLvl w:val="9"/>
    </w:pPr>
  </w:style>
  <w:style w:type="paragraph" w:styleId="TOC1">
    <w:name w:val="toc 1"/>
    <w:basedOn w:val="Normal"/>
    <w:next w:val="Normal"/>
    <w:autoRedefine/>
    <w:uiPriority w:val="39"/>
    <w:unhideWhenUsed/>
    <w:rsid w:val="00E3430B"/>
    <w:pPr>
      <w:spacing w:after="100"/>
    </w:pPr>
  </w:style>
  <w:style w:type="paragraph" w:styleId="TOC2">
    <w:name w:val="toc 2"/>
    <w:basedOn w:val="Normal"/>
    <w:next w:val="Normal"/>
    <w:autoRedefine/>
    <w:uiPriority w:val="39"/>
    <w:unhideWhenUsed/>
    <w:rsid w:val="00E3430B"/>
    <w:pPr>
      <w:spacing w:after="100"/>
      <w:ind w:left="220"/>
    </w:pPr>
  </w:style>
  <w:style w:type="character" w:styleId="Hyperlink">
    <w:name w:val="Hyperlink"/>
    <w:basedOn w:val="DefaultParagraphFont"/>
    <w:uiPriority w:val="99"/>
    <w:unhideWhenUsed/>
    <w:rsid w:val="00E3430B"/>
    <w:rPr>
      <w:color w:val="0563C1" w:themeColor="hyperlink"/>
      <w:u w:val="single"/>
    </w:rPr>
  </w:style>
  <w:style w:type="character" w:customStyle="1" w:styleId="Heading3Char">
    <w:name w:val="Heading 3 Char"/>
    <w:basedOn w:val="DefaultParagraphFont"/>
    <w:link w:val="Heading3"/>
    <w:uiPriority w:val="9"/>
    <w:semiHidden/>
    <w:rsid w:val="00043EDB"/>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1E1DFD"/>
    <w:pPr>
      <w:spacing w:after="100"/>
      <w:ind w:left="440"/>
    </w:pPr>
  </w:style>
  <w:style w:type="paragraph" w:customStyle="1" w:styleId="ReportTitle">
    <w:name w:val="Report Title"/>
    <w:basedOn w:val="Normal"/>
    <w:qFormat/>
    <w:rsid w:val="003E6807"/>
    <w:pPr>
      <w:spacing w:before="3960" w:after="240" w:line="240" w:lineRule="auto"/>
      <w:jc w:val="center"/>
    </w:pPr>
    <w:rPr>
      <w:rFonts w:eastAsia="Times New Roman" w:cs="Arial"/>
      <w:b/>
      <w:color w:val="44546A" w:themeColor="text2"/>
      <w:sz w:val="40"/>
      <w:szCs w:val="24"/>
    </w:rPr>
  </w:style>
  <w:style w:type="paragraph" w:customStyle="1" w:styleId="ReportDate">
    <w:name w:val="Report Date"/>
    <w:basedOn w:val="Normal"/>
    <w:qFormat/>
    <w:rsid w:val="003E6807"/>
    <w:pPr>
      <w:spacing w:before="1440" w:after="240" w:line="240" w:lineRule="auto"/>
      <w:jc w:val="center"/>
    </w:pPr>
    <w:rPr>
      <w:rFonts w:eastAsia="Times New Roman" w:cs="Arial"/>
      <w:color w:val="4F81BD"/>
      <w:sz w:val="28"/>
      <w:szCs w:val="28"/>
    </w:rPr>
  </w:style>
  <w:style w:type="paragraph" w:customStyle="1" w:styleId="FigureTitle">
    <w:name w:val="Figure Title"/>
    <w:basedOn w:val="Normal"/>
    <w:next w:val="Normal"/>
    <w:qFormat/>
    <w:rsid w:val="003E6807"/>
    <w:pPr>
      <w:keepNext/>
      <w:spacing w:after="0" w:line="240" w:lineRule="auto"/>
      <w:jc w:val="center"/>
    </w:pPr>
    <w:rPr>
      <w:rFonts w:eastAsia="Times New Roman" w:cs="Times New Roman"/>
      <w:b/>
      <w:color w:val="4472C4" w:themeColor="accent1"/>
      <w:sz w:val="24"/>
      <w:szCs w:val="24"/>
    </w:rPr>
  </w:style>
  <w:style w:type="paragraph" w:customStyle="1" w:styleId="Default">
    <w:name w:val="Default"/>
    <w:rsid w:val="003E68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ListTable4-Accent1">
    <w:name w:val="List Table 4 Accent 1"/>
    <w:basedOn w:val="TableNormal"/>
    <w:uiPriority w:val="49"/>
    <w:rsid w:val="00677DC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basedOn w:val="Normal"/>
    <w:next w:val="Normal"/>
    <w:uiPriority w:val="35"/>
    <w:unhideWhenUsed/>
    <w:qFormat/>
    <w:rsid w:val="0019619A"/>
    <w:pPr>
      <w:spacing w:after="200" w:line="240" w:lineRule="auto"/>
    </w:pPr>
    <w:rPr>
      <w:i/>
      <w:iCs/>
      <w:color w:val="44546A" w:themeColor="text2"/>
      <w:sz w:val="18"/>
      <w:szCs w:val="18"/>
    </w:rPr>
  </w:style>
  <w:style w:type="table" w:styleId="GridTable4-Accent1">
    <w:name w:val="Grid Table 4 Accent 1"/>
    <w:basedOn w:val="TableNormal"/>
    <w:uiPriority w:val="49"/>
    <w:rsid w:val="00602B9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2258">
      <w:bodyDiv w:val="1"/>
      <w:marLeft w:val="0"/>
      <w:marRight w:val="0"/>
      <w:marTop w:val="0"/>
      <w:marBottom w:val="0"/>
      <w:divBdr>
        <w:top w:val="none" w:sz="0" w:space="0" w:color="auto"/>
        <w:left w:val="none" w:sz="0" w:space="0" w:color="auto"/>
        <w:bottom w:val="none" w:sz="0" w:space="0" w:color="auto"/>
        <w:right w:val="none" w:sz="0" w:space="0" w:color="auto"/>
      </w:divBdr>
    </w:div>
    <w:div w:id="1114010131">
      <w:bodyDiv w:val="1"/>
      <w:marLeft w:val="0"/>
      <w:marRight w:val="0"/>
      <w:marTop w:val="0"/>
      <w:marBottom w:val="0"/>
      <w:divBdr>
        <w:top w:val="none" w:sz="0" w:space="0" w:color="auto"/>
        <w:left w:val="none" w:sz="0" w:space="0" w:color="auto"/>
        <w:bottom w:val="none" w:sz="0" w:space="0" w:color="auto"/>
        <w:right w:val="none" w:sz="0" w:space="0" w:color="auto"/>
      </w:divBdr>
    </w:div>
    <w:div w:id="209127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158E0-8C1C-4917-AC9D-B3D974A7EFB4}"/>
</file>

<file path=customXml/itemProps2.xml><?xml version="1.0" encoding="utf-8"?>
<ds:datastoreItem xmlns:ds="http://schemas.openxmlformats.org/officeDocument/2006/customXml" ds:itemID="{746EEB8F-15E0-4BA5-A431-9FDC8FB2A16B}"/>
</file>

<file path=customXml/itemProps3.xml><?xml version="1.0" encoding="utf-8"?>
<ds:datastoreItem xmlns:ds="http://schemas.openxmlformats.org/officeDocument/2006/customXml" ds:itemID="{1F387DE9-4253-4EB5-9CFD-707289B69BD0}"/>
</file>

<file path=customXml/itemProps4.xml><?xml version="1.0" encoding="utf-8"?>
<ds:datastoreItem xmlns:ds="http://schemas.openxmlformats.org/officeDocument/2006/customXml" ds:itemID="{5A3CF99E-4201-4FD3-A8A9-7B736E387D83}"/>
</file>

<file path=docProps/app.xml><?xml version="1.0" encoding="utf-8"?>
<Properties xmlns="http://schemas.openxmlformats.org/officeDocument/2006/extended-properties" xmlns:vt="http://schemas.openxmlformats.org/officeDocument/2006/docPropsVTypes">
  <Template>Normal</Template>
  <TotalTime>0</TotalTime>
  <Pages>13</Pages>
  <Words>5262</Words>
  <Characters>29994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Daniel</dc:creator>
  <cp:keywords/>
  <dc:description/>
  <cp:lastModifiedBy>LaTonya Hamilton</cp:lastModifiedBy>
  <cp:revision>2</cp:revision>
  <cp:lastPrinted>2019-12-04T22:46:00Z</cp:lastPrinted>
  <dcterms:created xsi:type="dcterms:W3CDTF">2020-03-16T17:25:00Z</dcterms:created>
  <dcterms:modified xsi:type="dcterms:W3CDTF">2020-03-16T17:25:00Z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